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4A1A4">
      <w:pPr>
        <w:pStyle w:val="2"/>
        <w:ind w:firstLine="560"/>
        <w:rPr>
          <w:color w:val="000000" w:themeColor="text1"/>
          <w14:textFill>
            <w14:solidFill>
              <w14:schemeClr w14:val="tx1"/>
            </w14:solidFill>
          </w14:textFill>
        </w:rPr>
      </w:pPr>
      <w:bookmarkStart w:id="0" w:name="_Hlk57883707"/>
      <w:bookmarkStart w:id="52" w:name="_GoBack"/>
      <w:bookmarkEnd w:id="52"/>
    </w:p>
    <w:p w14:paraId="03773AF3">
      <w:pPr>
        <w:ind w:firstLine="720"/>
        <w:rPr>
          <w:color w:val="000000" w:themeColor="text1"/>
          <w:sz w:val="36"/>
          <w:szCs w:val="36"/>
          <w14:textFill>
            <w14:solidFill>
              <w14:schemeClr w14:val="tx1"/>
            </w14:solidFill>
          </w14:textFill>
        </w:rPr>
      </w:pPr>
    </w:p>
    <w:p w14:paraId="0E8A6184">
      <w:pPr>
        <w:ind w:firstLine="720"/>
        <w:rPr>
          <w:color w:val="000000" w:themeColor="text1"/>
          <w:sz w:val="36"/>
          <w:szCs w:val="36"/>
          <w14:textFill>
            <w14:solidFill>
              <w14:schemeClr w14:val="tx1"/>
            </w14:solidFill>
          </w14:textFill>
        </w:rPr>
      </w:pPr>
    </w:p>
    <w:p w14:paraId="3F328A98">
      <w:pPr>
        <w:ind w:firstLine="720"/>
        <w:rPr>
          <w:color w:val="000000" w:themeColor="text1"/>
          <w:sz w:val="36"/>
          <w:szCs w:val="36"/>
          <w14:textFill>
            <w14:solidFill>
              <w14:schemeClr w14:val="tx1"/>
            </w14:solidFill>
          </w14:textFill>
        </w:rPr>
      </w:pPr>
    </w:p>
    <w:bookmarkEnd w:id="0"/>
    <w:p w14:paraId="7815DCAA">
      <w:pPr>
        <w:adjustRightInd w:val="0"/>
        <w:snapToGrid w:val="0"/>
        <w:jc w:val="center"/>
        <w:outlineLvl w:val="0"/>
        <w:rPr>
          <w:bCs/>
          <w:color w:val="000000" w:themeColor="text1"/>
          <w:sz w:val="72"/>
          <w:szCs w:val="72"/>
          <w14:textFill>
            <w14:solidFill>
              <w14:schemeClr w14:val="tx1"/>
            </w14:solidFill>
          </w14:textFill>
        </w:rPr>
      </w:pPr>
      <w:bookmarkStart w:id="1" w:name="_Toc18392"/>
      <w:bookmarkStart w:id="2" w:name="_Toc24873"/>
      <w:r>
        <w:rPr>
          <w:bCs/>
          <w:color w:val="000000" w:themeColor="text1"/>
          <w:sz w:val="72"/>
          <w:szCs w:val="72"/>
          <w14:textFill>
            <w14:solidFill>
              <w14:schemeClr w14:val="tx1"/>
            </w14:solidFill>
          </w14:textFill>
        </w:rPr>
        <w:t>建设项目环境影响报告表</w:t>
      </w:r>
      <w:bookmarkEnd w:id="1"/>
      <w:bookmarkEnd w:id="2"/>
    </w:p>
    <w:p w14:paraId="549B07BC">
      <w:pPr>
        <w:adjustRightInd w:val="0"/>
        <w:snapToGrid w:val="0"/>
        <w:spacing w:before="192" w:beforeLines="80"/>
        <w:jc w:val="center"/>
        <w:rPr>
          <w:bCs/>
          <w:color w:val="000000" w:themeColor="text1"/>
          <w:sz w:val="48"/>
          <w:szCs w:val="48"/>
          <w14:textFill>
            <w14:solidFill>
              <w14:schemeClr w14:val="tx1"/>
            </w14:solidFill>
          </w14:textFill>
        </w:rPr>
      </w:pPr>
      <w:r>
        <w:rPr>
          <w:bCs/>
          <w:color w:val="000000" w:themeColor="text1"/>
          <w:sz w:val="48"/>
          <w:szCs w:val="48"/>
          <w14:textFill>
            <w14:solidFill>
              <w14:schemeClr w14:val="tx1"/>
            </w14:solidFill>
          </w14:textFill>
        </w:rPr>
        <w:t>（生态影响类）</w:t>
      </w:r>
    </w:p>
    <w:p w14:paraId="0A02BB3C">
      <w:pPr>
        <w:adjustRightInd w:val="0"/>
        <w:snapToGrid w:val="0"/>
        <w:spacing w:line="288" w:lineRule="auto"/>
        <w:ind w:firstLine="880"/>
        <w:jc w:val="center"/>
        <w:rPr>
          <w:color w:val="000000" w:themeColor="text1"/>
          <w:kern w:val="44"/>
          <w:sz w:val="44"/>
          <w:szCs w:val="44"/>
          <w14:textFill>
            <w14:solidFill>
              <w14:schemeClr w14:val="tx1"/>
            </w14:solidFill>
          </w14:textFill>
        </w:rPr>
      </w:pPr>
      <w:bookmarkStart w:id="3" w:name="_Hlk57883728"/>
    </w:p>
    <w:p w14:paraId="07C7D4B5">
      <w:pPr>
        <w:ind w:firstLine="1040"/>
        <w:jc w:val="center"/>
        <w:rPr>
          <w:color w:val="000000" w:themeColor="text1"/>
          <w:sz w:val="52"/>
          <w:szCs w:val="52"/>
          <w14:textFill>
            <w14:solidFill>
              <w14:schemeClr w14:val="tx1"/>
            </w14:solidFill>
          </w14:textFill>
        </w:rPr>
      </w:pPr>
    </w:p>
    <w:p w14:paraId="2D9F9770">
      <w:pPr>
        <w:ind w:firstLine="880"/>
        <w:rPr>
          <w:color w:val="000000" w:themeColor="text1"/>
          <w:sz w:val="44"/>
          <w:szCs w:val="44"/>
          <w14:textFill>
            <w14:solidFill>
              <w14:schemeClr w14:val="tx1"/>
            </w14:solidFill>
          </w14:textFill>
        </w:rPr>
      </w:pPr>
    </w:p>
    <w:p w14:paraId="45656B44">
      <w:pPr>
        <w:ind w:firstLine="880"/>
        <w:rPr>
          <w:color w:val="000000" w:themeColor="text1"/>
          <w:sz w:val="44"/>
          <w:szCs w:val="44"/>
          <w14:textFill>
            <w14:solidFill>
              <w14:schemeClr w14:val="tx1"/>
            </w14:solidFill>
          </w14:textFill>
        </w:rPr>
      </w:pPr>
    </w:p>
    <w:p w14:paraId="5BF4D244">
      <w:pPr>
        <w:pStyle w:val="46"/>
        <w:ind w:firstLine="360"/>
        <w:rPr>
          <w:color w:val="000000" w:themeColor="text1"/>
          <w14:textFill>
            <w14:solidFill>
              <w14:schemeClr w14:val="tx1"/>
            </w14:solidFill>
          </w14:textFill>
        </w:rPr>
      </w:pPr>
    </w:p>
    <w:p w14:paraId="008E3CCC">
      <w:pPr>
        <w:pStyle w:val="46"/>
        <w:ind w:firstLine="360"/>
        <w:rPr>
          <w:color w:val="000000" w:themeColor="text1"/>
          <w14:textFill>
            <w14:solidFill>
              <w14:schemeClr w14:val="tx1"/>
            </w14:solidFill>
          </w14:textFill>
        </w:rPr>
      </w:pPr>
    </w:p>
    <w:p w14:paraId="1EB6FF85">
      <w:pPr>
        <w:pStyle w:val="46"/>
        <w:ind w:firstLine="360"/>
        <w:rPr>
          <w:color w:val="000000" w:themeColor="text1"/>
          <w14:textFill>
            <w14:solidFill>
              <w14:schemeClr w14:val="tx1"/>
            </w14:solidFill>
          </w14:textFill>
        </w:rPr>
      </w:pPr>
    </w:p>
    <w:p w14:paraId="2C3695D2">
      <w:pPr>
        <w:pStyle w:val="46"/>
        <w:ind w:firstLine="360"/>
        <w:rPr>
          <w:color w:val="000000" w:themeColor="text1"/>
          <w14:textFill>
            <w14:solidFill>
              <w14:schemeClr w14:val="tx1"/>
            </w14:solidFill>
          </w14:textFill>
        </w:rPr>
      </w:pPr>
    </w:p>
    <w:p w14:paraId="3EEE0D5A">
      <w:pPr>
        <w:pStyle w:val="46"/>
        <w:ind w:firstLine="360"/>
        <w:rPr>
          <w:color w:val="000000" w:themeColor="text1"/>
          <w14:textFill>
            <w14:solidFill>
              <w14:schemeClr w14:val="tx1"/>
            </w14:solidFill>
          </w14:textFill>
        </w:rPr>
      </w:pPr>
    </w:p>
    <w:p w14:paraId="3FAE83D5">
      <w:pPr>
        <w:pStyle w:val="46"/>
        <w:ind w:firstLine="360"/>
        <w:rPr>
          <w:color w:val="000000" w:themeColor="text1"/>
          <w14:textFill>
            <w14:solidFill>
              <w14:schemeClr w14:val="tx1"/>
            </w14:solidFill>
          </w14:textFill>
        </w:rPr>
      </w:pPr>
    </w:p>
    <w:p w14:paraId="499C929A">
      <w:pPr>
        <w:ind w:firstLine="880"/>
        <w:rPr>
          <w:color w:val="000000" w:themeColor="text1"/>
          <w:sz w:val="44"/>
          <w:szCs w:val="44"/>
          <w14:textFill>
            <w14:solidFill>
              <w14:schemeClr w14:val="tx1"/>
            </w14:solidFill>
          </w14:textFill>
        </w:rPr>
      </w:pPr>
    </w:p>
    <w:p w14:paraId="6ADAAF15">
      <w:pPr>
        <w:pStyle w:val="46"/>
        <w:ind w:firstLine="360"/>
        <w:rPr>
          <w:color w:val="000000" w:themeColor="text1"/>
          <w14:textFill>
            <w14:solidFill>
              <w14:schemeClr w14:val="tx1"/>
            </w14:solidFill>
          </w14:textFill>
        </w:rPr>
      </w:pPr>
    </w:p>
    <w:p w14:paraId="0EE266A6">
      <w:pPr>
        <w:pStyle w:val="46"/>
        <w:ind w:firstLine="360"/>
        <w:rPr>
          <w:color w:val="000000" w:themeColor="text1"/>
          <w14:textFill>
            <w14:solidFill>
              <w14:schemeClr w14:val="tx1"/>
            </w14:solidFill>
          </w14:textFill>
        </w:rPr>
      </w:pPr>
    </w:p>
    <w:p w14:paraId="350C0A8D">
      <w:pPr>
        <w:pStyle w:val="46"/>
        <w:ind w:firstLine="360"/>
        <w:rPr>
          <w:color w:val="000000" w:themeColor="text1"/>
          <w14:textFill>
            <w14:solidFill>
              <w14:schemeClr w14:val="tx1"/>
            </w14:solidFill>
          </w14:textFill>
        </w:rPr>
      </w:pPr>
    </w:p>
    <w:p w14:paraId="55AD2D33">
      <w:pPr>
        <w:ind w:firstLine="880"/>
        <w:rPr>
          <w:color w:val="000000" w:themeColor="text1"/>
          <w:sz w:val="44"/>
          <w:szCs w:val="44"/>
          <w14:textFill>
            <w14:solidFill>
              <w14:schemeClr w14:val="tx1"/>
            </w14:solidFill>
          </w14:textFill>
        </w:rPr>
      </w:pPr>
    </w:p>
    <w:bookmarkEnd w:id="3"/>
    <w:p w14:paraId="15B86F92">
      <w:pPr>
        <w:adjustRightInd w:val="0"/>
        <w:snapToGrid w:val="0"/>
        <w:spacing w:line="288" w:lineRule="auto"/>
        <w:ind w:left="2640" w:leftChars="400" w:hanging="1800" w:hangingChars="500"/>
        <w:jc w:val="left"/>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项目名称：</w:t>
      </w:r>
      <w:r>
        <w:rPr>
          <w:rFonts w:hint="eastAsia"/>
          <w:color w:val="000000" w:themeColor="text1"/>
          <w:sz w:val="36"/>
          <w:szCs w:val="36"/>
          <w:u w:val="single"/>
          <w14:textFill>
            <w14:solidFill>
              <w14:schemeClr w14:val="tx1"/>
            </w14:solidFill>
          </w14:textFill>
        </w:rPr>
        <w:t>河北建投遵化15万千瓦复合型保障性光</w:t>
      </w:r>
    </w:p>
    <w:p w14:paraId="6B70C0EC">
      <w:pPr>
        <w:adjustRightInd w:val="0"/>
        <w:snapToGrid w:val="0"/>
        <w:spacing w:line="288" w:lineRule="auto"/>
        <w:ind w:left="2635" w:leftChars="1255"/>
        <w:jc w:val="left"/>
        <w:rPr>
          <w:color w:val="000000" w:themeColor="text1"/>
          <w:sz w:val="36"/>
          <w:szCs w:val="36"/>
          <w:u w:val="single"/>
          <w14:textFill>
            <w14:solidFill>
              <w14:schemeClr w14:val="tx1"/>
            </w14:solidFill>
          </w14:textFill>
        </w:rPr>
      </w:pPr>
      <w:r>
        <w:rPr>
          <w:rFonts w:hint="eastAsia"/>
          <w:color w:val="000000" w:themeColor="text1"/>
          <w:sz w:val="36"/>
          <w:szCs w:val="36"/>
          <w:u w:val="single"/>
          <w14:textFill>
            <w14:solidFill>
              <w14:schemeClr w14:val="tx1"/>
            </w14:solidFill>
          </w14:textFill>
        </w:rPr>
        <w:t xml:space="preserve">              伏发电项目          </w:t>
      </w:r>
    </w:p>
    <w:p w14:paraId="5B8DCA87">
      <w:pPr>
        <w:pStyle w:val="46"/>
        <w:ind w:firstLine="360"/>
        <w:rPr>
          <w:color w:val="000000" w:themeColor="text1"/>
          <w14:textFill>
            <w14:solidFill>
              <w14:schemeClr w14:val="tx1"/>
            </w14:solidFill>
          </w14:textFill>
        </w:rPr>
      </w:pPr>
    </w:p>
    <w:p w14:paraId="7199B2E2">
      <w:pPr>
        <w:adjustRightInd w:val="0"/>
        <w:snapToGrid w:val="0"/>
        <w:spacing w:line="288" w:lineRule="auto"/>
        <w:ind w:left="3540" w:leftChars="400" w:hanging="2700" w:hangingChars="750"/>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建设单位(盖章)：</w:t>
      </w:r>
      <w:r>
        <w:rPr>
          <w:rFonts w:hint="eastAsia"/>
          <w:color w:val="000000" w:themeColor="text1"/>
          <w:sz w:val="36"/>
          <w:szCs w:val="36"/>
          <w:u w:val="single"/>
          <w14:textFill>
            <w14:solidFill>
              <w14:schemeClr w14:val="tx1"/>
            </w14:solidFill>
          </w14:textFill>
        </w:rPr>
        <w:t xml:space="preserve">建投遵化热电有限责任公司     </w:t>
      </w:r>
    </w:p>
    <w:p w14:paraId="53FEF22F">
      <w:pPr>
        <w:pStyle w:val="46"/>
        <w:ind w:firstLine="360"/>
        <w:rPr>
          <w:color w:val="000000" w:themeColor="text1"/>
          <w14:textFill>
            <w14:solidFill>
              <w14:schemeClr w14:val="tx1"/>
            </w14:solidFill>
          </w14:textFill>
        </w:rPr>
      </w:pPr>
    </w:p>
    <w:p w14:paraId="07B1562F">
      <w:pPr>
        <w:adjustRightInd w:val="0"/>
        <w:snapToGrid w:val="0"/>
        <w:spacing w:line="288" w:lineRule="auto"/>
        <w:ind w:left="2640" w:leftChars="400" w:hanging="1800" w:hangingChars="500"/>
        <w:jc w:val="left"/>
        <w:rPr>
          <w:color w:val="000000" w:themeColor="text1"/>
          <w:sz w:val="36"/>
          <w:szCs w:val="36"/>
          <w:u w:val="single"/>
          <w14:textFill>
            <w14:solidFill>
              <w14:schemeClr w14:val="tx1"/>
            </w14:solidFill>
          </w14:textFill>
        </w:rPr>
      </w:pPr>
      <w:r>
        <w:rPr>
          <w:color w:val="000000" w:themeColor="text1"/>
          <w:sz w:val="36"/>
          <w:szCs w:val="36"/>
          <w14:textFill>
            <w14:solidFill>
              <w14:schemeClr w14:val="tx1"/>
            </w14:solidFill>
          </w14:textFill>
        </w:rPr>
        <w:t>编制日期：</w:t>
      </w:r>
      <w:r>
        <w:rPr>
          <w:color w:val="000000" w:themeColor="text1"/>
          <w:sz w:val="36"/>
          <w:szCs w:val="36"/>
          <w:u w:val="single"/>
          <w14:textFill>
            <w14:solidFill>
              <w14:schemeClr w14:val="tx1"/>
            </w14:solidFill>
          </w14:textFill>
        </w:rPr>
        <w:t xml:space="preserve">          二〇二</w:t>
      </w:r>
      <w:r>
        <w:rPr>
          <w:rFonts w:hint="eastAsia"/>
          <w:color w:val="000000" w:themeColor="text1"/>
          <w:sz w:val="36"/>
          <w:szCs w:val="36"/>
          <w:u w:val="single"/>
          <w:lang w:val="en-US" w:eastAsia="zh-CN"/>
          <w14:textFill>
            <w14:solidFill>
              <w14:schemeClr w14:val="tx1"/>
            </w14:solidFill>
          </w14:textFill>
        </w:rPr>
        <w:t>五</w:t>
      </w:r>
      <w:r>
        <w:rPr>
          <w:color w:val="000000" w:themeColor="text1"/>
          <w:sz w:val="36"/>
          <w:szCs w:val="36"/>
          <w:u w:val="single"/>
          <w14:textFill>
            <w14:solidFill>
              <w14:schemeClr w14:val="tx1"/>
            </w14:solidFill>
          </w14:textFill>
        </w:rPr>
        <w:t>年</w:t>
      </w:r>
      <w:r>
        <w:rPr>
          <w:rFonts w:hint="eastAsia"/>
          <w:color w:val="000000" w:themeColor="text1"/>
          <w:sz w:val="36"/>
          <w:szCs w:val="36"/>
          <w:u w:val="single"/>
          <w:lang w:val="en-US" w:eastAsia="zh-CN"/>
          <w14:textFill>
            <w14:solidFill>
              <w14:schemeClr w14:val="tx1"/>
            </w14:solidFill>
          </w14:textFill>
        </w:rPr>
        <w:t>一</w:t>
      </w:r>
      <w:r>
        <w:rPr>
          <w:color w:val="000000" w:themeColor="text1"/>
          <w:sz w:val="36"/>
          <w:szCs w:val="36"/>
          <w:u w:val="single"/>
          <w14:textFill>
            <w14:solidFill>
              <w14:schemeClr w14:val="tx1"/>
            </w14:solidFill>
          </w14:textFill>
        </w:rPr>
        <w:t>月</w:t>
      </w:r>
      <w:r>
        <w:rPr>
          <w:rFonts w:hint="eastAsia"/>
          <w:color w:val="000000" w:themeColor="text1"/>
          <w:sz w:val="36"/>
          <w:szCs w:val="36"/>
          <w:u w:val="single"/>
          <w14:textFill>
            <w14:solidFill>
              <w14:schemeClr w14:val="tx1"/>
            </w14:solidFill>
          </w14:textFill>
        </w:rPr>
        <w:t xml:space="preserve"> </w:t>
      </w:r>
      <w:r>
        <w:rPr>
          <w:color w:val="000000" w:themeColor="text1"/>
          <w:sz w:val="36"/>
          <w:szCs w:val="36"/>
          <w:u w:val="single"/>
          <w14:textFill>
            <w14:solidFill>
              <w14:schemeClr w14:val="tx1"/>
            </w14:solidFill>
          </w14:textFill>
        </w:rPr>
        <w:t xml:space="preserve">    </w:t>
      </w:r>
      <w:r>
        <w:rPr>
          <w:rFonts w:hint="eastAsia"/>
          <w:color w:val="000000" w:themeColor="text1"/>
          <w:sz w:val="36"/>
          <w:szCs w:val="36"/>
          <w:u w:val="single"/>
          <w14:textFill>
            <w14:solidFill>
              <w14:schemeClr w14:val="tx1"/>
            </w14:solidFill>
          </w14:textFill>
        </w:rPr>
        <w:t xml:space="preserve"> </w:t>
      </w:r>
      <w:r>
        <w:rPr>
          <w:color w:val="000000" w:themeColor="text1"/>
          <w:sz w:val="36"/>
          <w:szCs w:val="36"/>
          <w:u w:val="single"/>
          <w14:textFill>
            <w14:solidFill>
              <w14:schemeClr w14:val="tx1"/>
            </w14:solidFill>
          </w14:textFill>
        </w:rPr>
        <w:t xml:space="preserve">   </w:t>
      </w:r>
    </w:p>
    <w:p w14:paraId="7FBBD9B5">
      <w:pPr>
        <w:pStyle w:val="46"/>
        <w:ind w:firstLine="360"/>
        <w:rPr>
          <w:color w:val="000000" w:themeColor="text1"/>
          <w14:textFill>
            <w14:solidFill>
              <w14:schemeClr w14:val="tx1"/>
            </w14:solidFill>
          </w14:textFill>
        </w:rPr>
      </w:pPr>
    </w:p>
    <w:p w14:paraId="7BE1A902">
      <w:pPr>
        <w:pStyle w:val="46"/>
        <w:ind w:firstLine="360"/>
        <w:rPr>
          <w:color w:val="000000" w:themeColor="text1"/>
          <w14:textFill>
            <w14:solidFill>
              <w14:schemeClr w14:val="tx1"/>
            </w14:solidFill>
          </w14:textFill>
        </w:rPr>
      </w:pPr>
    </w:p>
    <w:p w14:paraId="51F871EB">
      <w:pPr>
        <w:adjustRightInd w:val="0"/>
        <w:snapToGrid w:val="0"/>
        <w:spacing w:line="288" w:lineRule="auto"/>
        <w:ind w:firstLine="720"/>
        <w:rPr>
          <w:color w:val="000000" w:themeColor="text1"/>
          <w:sz w:val="36"/>
          <w:szCs w:val="36"/>
          <w14:textFill>
            <w14:solidFill>
              <w14:schemeClr w14:val="tx1"/>
            </w14:solidFill>
          </w14:textFill>
        </w:rPr>
      </w:pPr>
    </w:p>
    <w:p w14:paraId="48DB9B51">
      <w:pPr>
        <w:adjustRightInd w:val="0"/>
        <w:snapToGrid w:val="0"/>
        <w:spacing w:line="288" w:lineRule="auto"/>
        <w:ind w:firstLine="720"/>
        <w:jc w:val="center"/>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中华人民共和国生态环境部制</w:t>
      </w:r>
    </w:p>
    <w:p w14:paraId="42BC75F2">
      <w:pPr>
        <w:pStyle w:val="46"/>
        <w:ind w:firstLine="360"/>
        <w:rPr>
          <w:color w:val="000000" w:themeColor="text1"/>
          <w14:textFill>
            <w14:solidFill>
              <w14:schemeClr w14:val="tx1"/>
            </w14:solidFill>
          </w14:textFill>
        </w:rPr>
      </w:pPr>
      <w:r>
        <w:rPr>
          <w:color w:val="000000" w:themeColor="text1"/>
          <w14:textFill>
            <w14:solidFill>
              <w14:schemeClr w14:val="tx1"/>
            </w14:solidFill>
          </w14:textFill>
        </w:rPr>
        <w:br w:type="page"/>
      </w:r>
    </w:p>
    <w:p w14:paraId="703E5C50">
      <w:pPr>
        <w:adjustRightInd w:val="0"/>
        <w:snapToGrid w:val="0"/>
        <w:spacing w:line="288" w:lineRule="auto"/>
        <w:ind w:firstLine="720"/>
        <w:jc w:val="center"/>
        <w:rPr>
          <w:color w:val="000000" w:themeColor="text1"/>
          <w:sz w:val="36"/>
          <w:szCs w:val="36"/>
          <w14:textFill>
            <w14:solidFill>
              <w14:schemeClr w14:val="tx1"/>
            </w14:solidFill>
          </w14:textFill>
        </w:rPr>
      </w:pPr>
    </w:p>
    <w:p w14:paraId="7F75ABA1">
      <w:pPr>
        <w:pStyle w:val="46"/>
        <w:ind w:firstLine="360"/>
        <w:rPr>
          <w:color w:val="000000" w:themeColor="text1"/>
          <w14:textFill>
            <w14:solidFill>
              <w14:schemeClr w14:val="tx1"/>
            </w14:solidFill>
          </w14:textFill>
        </w:rPr>
      </w:pPr>
    </w:p>
    <w:p w14:paraId="674E1E3B">
      <w:pPr>
        <w:adjustRightInd w:val="0"/>
        <w:snapToGrid w:val="0"/>
        <w:spacing w:line="288" w:lineRule="auto"/>
        <w:ind w:firstLine="720"/>
        <w:rPr>
          <w:color w:val="000000" w:themeColor="text1"/>
          <w:sz w:val="36"/>
          <w:szCs w:val="36"/>
          <w14:textFill>
            <w14:solidFill>
              <w14:schemeClr w14:val="tx1"/>
            </w14:solidFill>
          </w14:textFill>
        </w:rPr>
        <w:sectPr>
          <w:footerReference r:id="rId5" w:type="first"/>
          <w:footerReference r:id="rId3" w:type="default"/>
          <w:footerReference r:id="rId4" w:type="even"/>
          <w:pgSz w:w="11906" w:h="16838"/>
          <w:pgMar w:top="1701" w:right="1531" w:bottom="1701" w:left="1531" w:header="851" w:footer="1077" w:gutter="0"/>
          <w:pgNumType w:start="21"/>
          <w:cols w:space="720" w:num="1"/>
          <w:docGrid w:linePitch="312" w:charSpace="0"/>
        </w:sectPr>
      </w:pPr>
      <w:r>
        <w:rPr>
          <w:color w:val="000000" w:themeColor="text1"/>
          <w:sz w:val="36"/>
          <w:szCs w:val="36"/>
          <w14:textFill>
            <w14:solidFill>
              <w14:schemeClr w14:val="tx1"/>
            </w14:solidFill>
          </w14:textFill>
        </w:rPr>
        <w:br w:type="page"/>
      </w:r>
    </w:p>
    <w:p w14:paraId="420C8DF9">
      <w:pPr>
        <w:pStyle w:val="61"/>
        <w:ind w:firstLine="600"/>
        <w:jc w:val="center"/>
        <w:outlineLvl w:val="0"/>
        <w:rPr>
          <w:rFonts w:ascii="黑体" w:hAnsi="黑体" w:eastAsia="黑体"/>
          <w:snapToGrid w:val="0"/>
          <w:color w:val="000000" w:themeColor="text1"/>
          <w:sz w:val="30"/>
          <w:szCs w:val="30"/>
          <w14:textFill>
            <w14:solidFill>
              <w14:schemeClr w14:val="tx1"/>
            </w14:solidFill>
          </w14:textFill>
        </w:rPr>
      </w:pPr>
      <w:bookmarkStart w:id="4" w:name="_Toc7629"/>
      <w:bookmarkStart w:id="5" w:name="_Toc2399"/>
      <w:r>
        <w:rPr>
          <w:rFonts w:ascii="黑体" w:hAnsi="黑体" w:eastAsia="黑体"/>
          <w:snapToGrid w:val="0"/>
          <w:color w:val="000000" w:themeColor="text1"/>
          <w:sz w:val="30"/>
          <w:szCs w:val="30"/>
          <w14:textFill>
            <w14:solidFill>
              <w14:schemeClr w14:val="tx1"/>
            </w14:solidFill>
          </w14:textFill>
        </w:rPr>
        <w:t>一、建设项目基本情况</w:t>
      </w:r>
      <w:bookmarkEnd w:id="4"/>
      <w:bookmarkEnd w:id="5"/>
    </w:p>
    <w:tbl>
      <w:tblPr>
        <w:tblStyle w:val="66"/>
        <w:tblW w:w="0" w:type="auto"/>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50"/>
        <w:gridCol w:w="2811"/>
        <w:gridCol w:w="253"/>
        <w:gridCol w:w="1598"/>
        <w:gridCol w:w="2855"/>
      </w:tblGrid>
      <w:tr w14:paraId="20AF5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50" w:type="dxa"/>
            <w:tcMar>
              <w:top w:w="16" w:type="dxa"/>
              <w:left w:w="16" w:type="dxa"/>
              <w:right w:w="16" w:type="dxa"/>
            </w:tcMar>
            <w:vAlign w:val="center"/>
          </w:tcPr>
          <w:p w14:paraId="12BEA22A">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w:t>
            </w:r>
          </w:p>
          <w:p w14:paraId="26603DEF">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目名称</w:t>
            </w:r>
          </w:p>
        </w:tc>
        <w:tc>
          <w:tcPr>
            <w:tcW w:w="7517" w:type="dxa"/>
            <w:gridSpan w:val="4"/>
            <w:vAlign w:val="center"/>
          </w:tcPr>
          <w:p w14:paraId="5CCAB98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河北建投遵化15万千瓦复合型保障性光伏发电</w:t>
            </w:r>
            <w:r>
              <w:rPr>
                <w:rFonts w:hint="eastAsia"/>
                <w:color w:val="000000" w:themeColor="text1"/>
                <w:sz w:val="24"/>
                <w14:textFill>
                  <w14:solidFill>
                    <w14:schemeClr w14:val="tx1"/>
                  </w14:solidFill>
                </w14:textFill>
              </w:rPr>
              <w:t>项目</w:t>
            </w:r>
          </w:p>
        </w:tc>
      </w:tr>
      <w:tr w14:paraId="6CC18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6" w:hRule="atLeast"/>
        </w:trPr>
        <w:tc>
          <w:tcPr>
            <w:tcW w:w="1250" w:type="dxa"/>
            <w:tcMar>
              <w:top w:w="16" w:type="dxa"/>
              <w:left w:w="16" w:type="dxa"/>
              <w:right w:w="16" w:type="dxa"/>
            </w:tcMar>
            <w:vAlign w:val="center"/>
          </w:tcPr>
          <w:p w14:paraId="096B6DE6">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517" w:type="dxa"/>
            <w:gridSpan w:val="4"/>
            <w:vAlign w:val="center"/>
          </w:tcPr>
          <w:p w14:paraId="6FB4A97F">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2311-130281-89-01-749824</w:t>
            </w:r>
          </w:p>
        </w:tc>
      </w:tr>
      <w:tr w14:paraId="40BDC3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3" w:hRule="atLeast"/>
        </w:trPr>
        <w:tc>
          <w:tcPr>
            <w:tcW w:w="1250" w:type="dxa"/>
            <w:tcMar>
              <w:top w:w="16" w:type="dxa"/>
              <w:left w:w="16" w:type="dxa"/>
              <w:right w:w="16" w:type="dxa"/>
            </w:tcMar>
            <w:vAlign w:val="center"/>
          </w:tcPr>
          <w:p w14:paraId="7CAD4AE9">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811" w:type="dxa"/>
            <w:vAlign w:val="center"/>
          </w:tcPr>
          <w:p w14:paraId="0304A77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张久成</w:t>
            </w:r>
          </w:p>
        </w:tc>
        <w:tc>
          <w:tcPr>
            <w:tcW w:w="1851" w:type="dxa"/>
            <w:gridSpan w:val="2"/>
            <w:vAlign w:val="center"/>
          </w:tcPr>
          <w:p w14:paraId="1E2CAC2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2855" w:type="dxa"/>
            <w:vAlign w:val="center"/>
          </w:tcPr>
          <w:p w14:paraId="5B0C10C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18131579635</w:t>
            </w:r>
          </w:p>
        </w:tc>
      </w:tr>
      <w:tr w14:paraId="29215E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250" w:type="dxa"/>
            <w:tcMar>
              <w:top w:w="16" w:type="dxa"/>
              <w:left w:w="16" w:type="dxa"/>
              <w:right w:w="16" w:type="dxa"/>
            </w:tcMar>
            <w:vAlign w:val="center"/>
          </w:tcPr>
          <w:p w14:paraId="5C3F1E3C">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517" w:type="dxa"/>
            <w:gridSpan w:val="4"/>
            <w:vAlign w:val="center"/>
          </w:tcPr>
          <w:p w14:paraId="395402D7">
            <w:pPr>
              <w:adjustRightInd w:val="0"/>
              <w:snapToGrid w:val="0"/>
              <w:spacing w:line="340" w:lineRule="exact"/>
              <w:jc w:val="center"/>
              <w:rPr>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河北省唐山市遵化市</w:t>
            </w:r>
            <w:r>
              <w:rPr>
                <w:color w:val="000000" w:themeColor="text1"/>
                <w:sz w:val="24"/>
                <w:lang w:bidi="ar"/>
                <w14:textFill>
                  <w14:solidFill>
                    <w14:schemeClr w14:val="tx1"/>
                  </w14:solidFill>
                </w14:textFill>
              </w:rPr>
              <w:t>铁厂镇</w:t>
            </w:r>
          </w:p>
        </w:tc>
      </w:tr>
      <w:tr w14:paraId="31722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0" w:type="dxa"/>
            <w:tcMar>
              <w:top w:w="16" w:type="dxa"/>
              <w:left w:w="16" w:type="dxa"/>
              <w:right w:w="16" w:type="dxa"/>
            </w:tcMar>
            <w:vAlign w:val="center"/>
          </w:tcPr>
          <w:p w14:paraId="507434D6">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517" w:type="dxa"/>
            <w:gridSpan w:val="4"/>
            <w:vAlign w:val="center"/>
          </w:tcPr>
          <w:p w14:paraId="4B52A89E">
            <w:pPr>
              <w:pStyle w:val="2"/>
              <w:spacing w:line="360" w:lineRule="exact"/>
              <w:ind w:firstLine="0" w:firstLineChars="0"/>
              <w:jc w:val="left"/>
              <w:rPr>
                <w:color w:val="000000" w:themeColor="text1"/>
                <w:spacing w:val="-4"/>
                <w:sz w:val="24"/>
                <w:szCs w:val="24"/>
                <w14:textFill>
                  <w14:solidFill>
                    <w14:schemeClr w14:val="tx1"/>
                  </w14:solidFill>
                </w14:textFill>
              </w:rPr>
            </w:pPr>
            <w:r>
              <w:rPr>
                <w:rFonts w:hint="eastAsia"/>
                <w:color w:val="000000" w:themeColor="text1"/>
                <w:spacing w:val="-4"/>
                <w:sz w:val="24"/>
                <w:szCs w:val="24"/>
                <w14:textFill>
                  <w14:solidFill>
                    <w14:schemeClr w14:val="tx1"/>
                  </w14:solidFill>
                </w14:textFill>
              </w:rPr>
              <w:t>升压站中心坐标：（118度</w:t>
            </w:r>
            <w:r>
              <w:rPr>
                <w:rFonts w:hint="eastAsia"/>
                <w:color w:val="000000" w:themeColor="text1"/>
                <w:spacing w:val="-4"/>
                <w:sz w:val="24"/>
                <w:szCs w:val="24"/>
                <w:lang w:val="en-US" w:eastAsia="zh-CN"/>
                <w14:textFill>
                  <w14:solidFill>
                    <w14:schemeClr w14:val="tx1"/>
                  </w14:solidFill>
                </w14:textFill>
              </w:rPr>
              <w:t>9</w:t>
            </w:r>
            <w:r>
              <w:rPr>
                <w:rFonts w:hint="eastAsia"/>
                <w:color w:val="000000" w:themeColor="text1"/>
                <w:spacing w:val="-4"/>
                <w:sz w:val="24"/>
                <w:szCs w:val="24"/>
                <w14:textFill>
                  <w14:solidFill>
                    <w14:schemeClr w14:val="tx1"/>
                  </w14:solidFill>
                </w14:textFill>
              </w:rPr>
              <w:t>分</w:t>
            </w:r>
            <w:r>
              <w:rPr>
                <w:rFonts w:hint="eastAsia"/>
                <w:color w:val="000000" w:themeColor="text1"/>
                <w:spacing w:val="-4"/>
                <w:sz w:val="24"/>
                <w:szCs w:val="24"/>
                <w:lang w:val="en-US" w:eastAsia="zh-CN"/>
                <w14:textFill>
                  <w14:solidFill>
                    <w14:schemeClr w14:val="tx1"/>
                  </w14:solidFill>
                </w14:textFill>
              </w:rPr>
              <w:t>38.231</w:t>
            </w:r>
            <w:r>
              <w:rPr>
                <w:rFonts w:hint="eastAsia"/>
                <w:color w:val="000000" w:themeColor="text1"/>
                <w:spacing w:val="-4"/>
                <w:sz w:val="24"/>
                <w:szCs w:val="24"/>
                <w14:textFill>
                  <w14:solidFill>
                    <w14:schemeClr w14:val="tx1"/>
                  </w14:solidFill>
                </w14:textFill>
              </w:rPr>
              <w:t>秒，40度1分</w:t>
            </w:r>
            <w:r>
              <w:rPr>
                <w:rFonts w:hint="eastAsia"/>
                <w:color w:val="000000" w:themeColor="text1"/>
                <w:spacing w:val="-4"/>
                <w:sz w:val="24"/>
                <w:szCs w:val="24"/>
                <w:lang w:val="en-US" w:eastAsia="zh-CN"/>
                <w14:textFill>
                  <w14:solidFill>
                    <w14:schemeClr w14:val="tx1"/>
                  </w14:solidFill>
                </w14:textFill>
              </w:rPr>
              <w:t>49.113</w:t>
            </w:r>
            <w:r>
              <w:rPr>
                <w:rFonts w:hint="eastAsia"/>
                <w:color w:val="000000" w:themeColor="text1"/>
                <w:spacing w:val="-4"/>
                <w:sz w:val="24"/>
                <w:szCs w:val="24"/>
                <w14:textFill>
                  <w14:solidFill>
                    <w14:schemeClr w14:val="tx1"/>
                  </w14:solidFill>
                </w14:textFill>
              </w:rPr>
              <w:t>秒）</w:t>
            </w:r>
          </w:p>
          <w:p w14:paraId="366E7BB5">
            <w:pPr>
              <w:pStyle w:val="2"/>
              <w:spacing w:line="360" w:lineRule="exact"/>
              <w:ind w:firstLine="0" w:firstLineChars="0"/>
              <w:jc w:val="left"/>
              <w:rPr>
                <w:color w:val="000000" w:themeColor="text1"/>
                <w:spacing w:val="-4"/>
                <w:sz w:val="24"/>
                <w:szCs w:val="24"/>
                <w14:textFill>
                  <w14:solidFill>
                    <w14:schemeClr w14:val="tx1"/>
                  </w14:solidFill>
                </w14:textFill>
              </w:rPr>
            </w:pPr>
            <w:r>
              <w:rPr>
                <w:rFonts w:hint="eastAsia"/>
                <w:color w:val="000000" w:themeColor="text1"/>
                <w:spacing w:val="-4"/>
                <w:sz w:val="24"/>
                <w:szCs w:val="24"/>
                <w14:textFill>
                  <w14:solidFill>
                    <w14:schemeClr w14:val="tx1"/>
                  </w14:solidFill>
                </w14:textFill>
              </w:rPr>
              <w:t>光伏区北区中心坐标：（118°9′48.89103″，40°2′50.62985″）</w:t>
            </w:r>
          </w:p>
          <w:p w14:paraId="327FCC20">
            <w:pPr>
              <w:pStyle w:val="2"/>
              <w:spacing w:line="360" w:lineRule="exact"/>
              <w:ind w:firstLine="0" w:firstLineChars="0"/>
              <w:jc w:val="left"/>
              <w:rPr>
                <w:color w:val="000000" w:themeColor="text1"/>
                <w:spacing w:val="-4"/>
                <w:sz w:val="24"/>
                <w:szCs w:val="24"/>
                <w14:textFill>
                  <w14:solidFill>
                    <w14:schemeClr w14:val="tx1"/>
                  </w14:solidFill>
                </w14:textFill>
              </w:rPr>
            </w:pPr>
            <w:r>
              <w:rPr>
                <w:rFonts w:hint="eastAsia"/>
                <w:color w:val="000000" w:themeColor="text1"/>
                <w:spacing w:val="-4"/>
                <w:sz w:val="24"/>
                <w:szCs w:val="24"/>
                <w14:textFill>
                  <w14:solidFill>
                    <w14:schemeClr w14:val="tx1"/>
                  </w14:solidFill>
                </w14:textFill>
              </w:rPr>
              <w:t>光伏区在北区中心坐标：（118°8′40.60414″，40°4′31.82423″）</w:t>
            </w:r>
          </w:p>
          <w:p w14:paraId="240056EB">
            <w:pPr>
              <w:pStyle w:val="2"/>
              <w:spacing w:line="360" w:lineRule="exact"/>
              <w:ind w:firstLine="0" w:firstLineChars="0"/>
              <w:jc w:val="left"/>
              <w:rPr>
                <w:color w:val="000000" w:themeColor="text1"/>
                <w:spacing w:val="-4"/>
                <w:sz w:val="24"/>
                <w:szCs w:val="24"/>
                <w14:textFill>
                  <w14:solidFill>
                    <w14:schemeClr w14:val="tx1"/>
                  </w14:solidFill>
                </w14:textFill>
              </w:rPr>
            </w:pPr>
            <w:r>
              <w:rPr>
                <w:rFonts w:hint="eastAsia"/>
                <w:color w:val="000000" w:themeColor="text1"/>
                <w:spacing w:val="-4"/>
                <w:sz w:val="24"/>
                <w:szCs w:val="24"/>
                <w14:textFill>
                  <w14:solidFill>
                    <w14:schemeClr w14:val="tx1"/>
                  </w14:solidFill>
                </w14:textFill>
              </w:rPr>
              <w:t>光伏区东区中心坐标：（118°10′14.34413″，40°1′45.81910″）</w:t>
            </w:r>
          </w:p>
          <w:p w14:paraId="39A795C5">
            <w:pPr>
              <w:pStyle w:val="2"/>
              <w:spacing w:line="360" w:lineRule="exact"/>
              <w:ind w:firstLine="0" w:firstLineChars="0"/>
              <w:jc w:val="left"/>
              <w:rPr>
                <w:rFonts w:hint="eastAsia"/>
                <w:color w:val="000000" w:themeColor="text1"/>
                <w:spacing w:val="-4"/>
                <w:sz w:val="24"/>
                <w:szCs w:val="24"/>
                <w14:textFill>
                  <w14:solidFill>
                    <w14:schemeClr w14:val="tx1"/>
                  </w14:solidFill>
                </w14:textFill>
              </w:rPr>
            </w:pPr>
            <w:r>
              <w:rPr>
                <w:rFonts w:hint="eastAsia"/>
                <w:color w:val="000000" w:themeColor="text1"/>
                <w:spacing w:val="-4"/>
                <w:sz w:val="24"/>
                <w:szCs w:val="24"/>
                <w14:textFill>
                  <w14:solidFill>
                    <w14:schemeClr w14:val="tx1"/>
                  </w14:solidFill>
                </w14:textFill>
              </w:rPr>
              <w:t>光伏区西区中心坐标：（118°8′17.54573″，40°1′53.38936″）</w:t>
            </w:r>
          </w:p>
          <w:p w14:paraId="44214170">
            <w:pPr>
              <w:pStyle w:val="2"/>
              <w:spacing w:line="360" w:lineRule="exact"/>
              <w:ind w:firstLine="0" w:firstLineChars="0"/>
              <w:jc w:val="left"/>
              <w:rPr>
                <w:bCs w:val="0"/>
                <w:color w:val="000000" w:themeColor="text1"/>
                <w:spacing w:val="-4"/>
                <w:sz w:val="24"/>
                <w:szCs w:val="24"/>
                <w14:textFill>
                  <w14:solidFill>
                    <w14:schemeClr w14:val="tx1"/>
                  </w14:solidFill>
                </w14:textFill>
              </w:rPr>
            </w:pPr>
            <w:r>
              <w:rPr>
                <w:rFonts w:hint="eastAsia"/>
                <w:color w:val="000000" w:themeColor="text1"/>
                <w:spacing w:val="-4"/>
                <w:sz w:val="24"/>
                <w:szCs w:val="24"/>
                <w14:textFill>
                  <w14:solidFill>
                    <w14:schemeClr w14:val="tx1"/>
                  </w14:solidFill>
                </w14:textFill>
              </w:rPr>
              <w:t>光伏区各区域的外延拐点具体见生态附表16-19</w:t>
            </w:r>
          </w:p>
        </w:tc>
      </w:tr>
      <w:tr w14:paraId="73882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39" w:hRule="atLeast"/>
        </w:trPr>
        <w:tc>
          <w:tcPr>
            <w:tcW w:w="1250" w:type="dxa"/>
            <w:tcMar>
              <w:top w:w="16" w:type="dxa"/>
              <w:left w:w="16" w:type="dxa"/>
              <w:right w:w="16" w:type="dxa"/>
            </w:tcMar>
            <w:vAlign w:val="center"/>
          </w:tcPr>
          <w:p w14:paraId="7B6FC5F1">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4029C24E">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3064" w:type="dxa"/>
            <w:gridSpan w:val="2"/>
            <w:vAlign w:val="center"/>
          </w:tcPr>
          <w:p w14:paraId="5A17608F">
            <w:pPr>
              <w:adjustRightInd w:val="0"/>
              <w:snapToGrid w:val="0"/>
              <w:spacing w:line="360" w:lineRule="exact"/>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四十一、电力、热力生产和供应业—90太阳能发电4416（不含居民家用光伏发电）</w:t>
            </w:r>
          </w:p>
        </w:tc>
        <w:tc>
          <w:tcPr>
            <w:tcW w:w="1598" w:type="dxa"/>
            <w:vAlign w:val="center"/>
          </w:tcPr>
          <w:p w14:paraId="0DEFEE0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用地（用海）面积（m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）/长度（km）</w:t>
            </w:r>
          </w:p>
        </w:tc>
        <w:tc>
          <w:tcPr>
            <w:tcW w:w="2855" w:type="dxa"/>
            <w:vAlign w:val="center"/>
          </w:tcPr>
          <w:p w14:paraId="1628DC27">
            <w:pPr>
              <w:adjustRightInd w:val="0"/>
              <w:snapToGrid w:val="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总用地面积273.3496公顷，其中</w:t>
            </w:r>
            <w:r>
              <w:rPr>
                <w:rFonts w:hint="eastAsia"/>
                <w:bCs/>
                <w:color w:val="000000" w:themeColor="text1"/>
                <w:sz w:val="24"/>
                <w14:textFill>
                  <w14:solidFill>
                    <w14:schemeClr w14:val="tx1"/>
                  </w14:solidFill>
                </w14:textFill>
              </w:rPr>
              <w:t>变电站及运行管理中心及配套附属设施占地面积为 1.3229</w:t>
            </w:r>
            <w:r>
              <w:rPr>
                <w:rFonts w:hint="eastAsia"/>
                <w:color w:val="000000" w:themeColor="text1"/>
                <w:sz w:val="24"/>
                <w14:textFill>
                  <w14:solidFill>
                    <w14:schemeClr w14:val="tx1"/>
                  </w14:solidFill>
                </w14:textFill>
              </w:rPr>
              <w:t>公顷</w:t>
            </w:r>
            <w:r>
              <w:rPr>
                <w:rFonts w:hint="eastAsia"/>
                <w:bCs/>
                <w:color w:val="000000" w:themeColor="text1"/>
                <w:sz w:val="24"/>
                <w:szCs w:val="22"/>
                <w14:textFill>
                  <w14:solidFill>
                    <w14:schemeClr w14:val="tx1"/>
                  </w14:solidFill>
                </w14:textFill>
              </w:rPr>
              <w:t>，光伏方阵占地面积272.0267</w:t>
            </w:r>
            <w:r>
              <w:rPr>
                <w:rFonts w:hint="eastAsia"/>
                <w:color w:val="000000" w:themeColor="text1"/>
                <w:sz w:val="24"/>
                <w14:textFill>
                  <w14:solidFill>
                    <w14:schemeClr w14:val="tx1"/>
                  </w14:solidFill>
                </w14:textFill>
              </w:rPr>
              <w:t>公顷；</w:t>
            </w:r>
          </w:p>
          <w:p w14:paraId="76C077C0">
            <w:pPr>
              <w:adjustRightInd w:val="0"/>
              <w:snapToGrid w:val="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临时用地：施工临时场地12500m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w:t>
            </w:r>
          </w:p>
        </w:tc>
      </w:tr>
      <w:tr w14:paraId="1EB7E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250" w:type="dxa"/>
            <w:tcMar>
              <w:top w:w="16" w:type="dxa"/>
              <w:left w:w="16" w:type="dxa"/>
              <w:right w:w="16" w:type="dxa"/>
            </w:tcMar>
            <w:vAlign w:val="center"/>
          </w:tcPr>
          <w:p w14:paraId="6C6646C7">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3064" w:type="dxa"/>
            <w:gridSpan w:val="2"/>
            <w:vAlign w:val="center"/>
          </w:tcPr>
          <w:p w14:paraId="6B8C5682">
            <w:pPr>
              <w:adjustRightInd w:val="0"/>
              <w:snapToGrid w:val="0"/>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sym w:font="Wingdings 2" w:char="F052"/>
            </w:r>
            <w:r>
              <w:rPr>
                <w:rFonts w:ascii="宋体" w:hAnsi="宋体"/>
                <w:color w:val="000000" w:themeColor="text1"/>
                <w:sz w:val="24"/>
                <w14:textFill>
                  <w14:solidFill>
                    <w14:schemeClr w14:val="tx1"/>
                  </w14:solidFill>
                </w14:textFill>
              </w:rPr>
              <w:t>新建（迁建）</w:t>
            </w:r>
          </w:p>
          <w:p w14:paraId="1A9B14FD">
            <w:pPr>
              <w:adjustRightInd w:val="0"/>
              <w:snapToGrid w:val="0"/>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sym w:font="Wingdings 2" w:char="00A3"/>
            </w:r>
            <w:r>
              <w:rPr>
                <w:rFonts w:ascii="宋体" w:hAnsi="宋体"/>
                <w:color w:val="000000" w:themeColor="text1"/>
                <w:sz w:val="24"/>
                <w14:textFill>
                  <w14:solidFill>
                    <w14:schemeClr w14:val="tx1"/>
                  </w14:solidFill>
                </w14:textFill>
              </w:rPr>
              <w:t>改建</w:t>
            </w:r>
          </w:p>
          <w:p w14:paraId="5D3D99B1">
            <w:pPr>
              <w:adjustRightInd w:val="0"/>
              <w:snapToGrid w:val="0"/>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sym w:font="Wingdings 2" w:char="00A3"/>
            </w:r>
            <w:r>
              <w:rPr>
                <w:rFonts w:ascii="宋体" w:hAnsi="宋体"/>
                <w:color w:val="000000" w:themeColor="text1"/>
                <w:sz w:val="24"/>
                <w14:textFill>
                  <w14:solidFill>
                    <w14:schemeClr w14:val="tx1"/>
                  </w14:solidFill>
                </w14:textFill>
              </w:rPr>
              <w:t>扩建</w:t>
            </w:r>
          </w:p>
          <w:p w14:paraId="77C4B375">
            <w:pPr>
              <w:adjustRightInd w:val="0"/>
              <w:snapToGrid w:val="0"/>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□技术改造</w:t>
            </w:r>
          </w:p>
        </w:tc>
        <w:tc>
          <w:tcPr>
            <w:tcW w:w="1598" w:type="dxa"/>
            <w:vAlign w:val="center"/>
          </w:tcPr>
          <w:p w14:paraId="02AA7FF8">
            <w:pPr>
              <w:adjustRightInd w:val="0"/>
              <w:snapToGrid w:val="0"/>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建设项目</w:t>
            </w:r>
          </w:p>
          <w:p w14:paraId="0DCB2C5C">
            <w:pPr>
              <w:adjustRightInd w:val="0"/>
              <w:snapToGrid w:val="0"/>
              <w:jc w:val="center"/>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申报情形</w:t>
            </w:r>
          </w:p>
        </w:tc>
        <w:tc>
          <w:tcPr>
            <w:tcW w:w="2855" w:type="dxa"/>
            <w:vAlign w:val="center"/>
          </w:tcPr>
          <w:p w14:paraId="59DE924C">
            <w:pPr>
              <w:adjustRightInd w:val="0"/>
              <w:snapToGrid w:val="0"/>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sym w:font="Wingdings 2" w:char="F052"/>
            </w:r>
            <w:r>
              <w:rPr>
                <w:rFonts w:ascii="宋体" w:hAnsi="宋体"/>
                <w:color w:val="000000" w:themeColor="text1"/>
                <w:sz w:val="24"/>
                <w14:textFill>
                  <w14:solidFill>
                    <w14:schemeClr w14:val="tx1"/>
                  </w14:solidFill>
                </w14:textFill>
              </w:rPr>
              <w:t>首次申报项目</w:t>
            </w:r>
          </w:p>
          <w:p w14:paraId="506E02DC">
            <w:pPr>
              <w:adjustRightInd w:val="0"/>
              <w:snapToGrid w:val="0"/>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□不予批准后再次申报项目□超五年重新审核项目</w:t>
            </w:r>
          </w:p>
          <w:p w14:paraId="15779791">
            <w:pPr>
              <w:adjustRightInd w:val="0"/>
              <w:snapToGrid w:val="0"/>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□重大变动重新报批项目</w:t>
            </w:r>
          </w:p>
        </w:tc>
      </w:tr>
      <w:tr w14:paraId="63076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3" w:hRule="atLeast"/>
        </w:trPr>
        <w:tc>
          <w:tcPr>
            <w:tcW w:w="1250" w:type="dxa"/>
            <w:tcMar>
              <w:top w:w="16" w:type="dxa"/>
              <w:left w:w="16" w:type="dxa"/>
              <w:right w:w="16" w:type="dxa"/>
            </w:tcMar>
            <w:vAlign w:val="center"/>
          </w:tcPr>
          <w:p w14:paraId="1A197C8B">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项目审批（核准/备案）部门</w:t>
            </w:r>
          </w:p>
        </w:tc>
        <w:tc>
          <w:tcPr>
            <w:tcW w:w="3064" w:type="dxa"/>
            <w:gridSpan w:val="2"/>
            <w:vAlign w:val="center"/>
          </w:tcPr>
          <w:p w14:paraId="33EAF59E">
            <w:pPr>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遵化市行政审批局</w:t>
            </w:r>
          </w:p>
        </w:tc>
        <w:tc>
          <w:tcPr>
            <w:tcW w:w="1598" w:type="dxa"/>
            <w:vAlign w:val="center"/>
          </w:tcPr>
          <w:p w14:paraId="34F6DB5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项目审批（核准/备案）文号</w:t>
            </w:r>
          </w:p>
        </w:tc>
        <w:tc>
          <w:tcPr>
            <w:tcW w:w="2855" w:type="dxa"/>
            <w:vAlign w:val="center"/>
          </w:tcPr>
          <w:p w14:paraId="2041D08D">
            <w:pPr>
              <w:adjustRightInd w:val="0"/>
              <w:snapToGrid w:val="0"/>
              <w:jc w:val="center"/>
              <w:rPr>
                <w:color w:val="000000" w:themeColor="text1"/>
                <w:spacing w:val="-12"/>
                <w:sz w:val="24"/>
                <w14:textFill>
                  <w14:solidFill>
                    <w14:schemeClr w14:val="tx1"/>
                  </w14:solidFill>
                </w14:textFill>
              </w:rPr>
            </w:pPr>
            <w:r>
              <w:rPr>
                <w:rFonts w:hint="eastAsia"/>
                <w:color w:val="000000" w:themeColor="text1"/>
                <w:spacing w:val="-12"/>
                <w:sz w:val="24"/>
                <w14:textFill>
                  <w14:solidFill>
                    <w14:schemeClr w14:val="tx1"/>
                  </w14:solidFill>
                </w14:textFill>
              </w:rPr>
              <w:t>遵审投资备字[2024]124号</w:t>
            </w:r>
          </w:p>
        </w:tc>
      </w:tr>
      <w:tr w14:paraId="6E22F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6" w:hRule="atLeast"/>
        </w:trPr>
        <w:tc>
          <w:tcPr>
            <w:tcW w:w="1250" w:type="dxa"/>
            <w:tcMar>
              <w:top w:w="16" w:type="dxa"/>
              <w:left w:w="16" w:type="dxa"/>
              <w:right w:w="16" w:type="dxa"/>
            </w:tcMar>
            <w:vAlign w:val="center"/>
          </w:tcPr>
          <w:p w14:paraId="41280676">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w:t>
            </w:r>
          </w:p>
          <w:p w14:paraId="18023E28">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（万元）</w:t>
            </w:r>
          </w:p>
        </w:tc>
        <w:tc>
          <w:tcPr>
            <w:tcW w:w="3064" w:type="dxa"/>
            <w:gridSpan w:val="2"/>
            <w:vAlign w:val="center"/>
          </w:tcPr>
          <w:p w14:paraId="1D516D24">
            <w:pPr>
              <w:adjustRightInd w:val="0"/>
              <w:snapToGrid w:val="0"/>
              <w:jc w:val="center"/>
              <w:rPr>
                <w:color w:val="000000" w:themeColor="text1"/>
                <w:sz w:val="24"/>
                <w:highlight w:val="red"/>
                <w14:textFill>
                  <w14:solidFill>
                    <w14:schemeClr w14:val="tx1"/>
                  </w14:solidFill>
                </w14:textFill>
              </w:rPr>
            </w:pPr>
            <w:r>
              <w:rPr>
                <w:rFonts w:hint="eastAsia"/>
                <w:color w:val="000000" w:themeColor="text1"/>
                <w:sz w:val="24"/>
                <w14:textFill>
                  <w14:solidFill>
                    <w14:schemeClr w14:val="tx1"/>
                  </w14:solidFill>
                </w14:textFill>
              </w:rPr>
              <w:t>69287</w:t>
            </w:r>
          </w:p>
        </w:tc>
        <w:tc>
          <w:tcPr>
            <w:tcW w:w="1598" w:type="dxa"/>
            <w:tcMar>
              <w:top w:w="16" w:type="dxa"/>
              <w:left w:w="16" w:type="dxa"/>
              <w:right w:w="16" w:type="dxa"/>
            </w:tcMar>
            <w:vAlign w:val="center"/>
          </w:tcPr>
          <w:p w14:paraId="50FBFB7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w:t>
            </w:r>
          </w:p>
          <w:p w14:paraId="12C9965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（万元）</w:t>
            </w:r>
          </w:p>
        </w:tc>
        <w:tc>
          <w:tcPr>
            <w:tcW w:w="2855" w:type="dxa"/>
            <w:vAlign w:val="center"/>
          </w:tcPr>
          <w:p w14:paraId="00B6F7A9">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798</w:t>
            </w:r>
          </w:p>
        </w:tc>
      </w:tr>
      <w:tr w14:paraId="34D8B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0" w:type="dxa"/>
            <w:tcMar>
              <w:top w:w="16" w:type="dxa"/>
              <w:left w:w="16" w:type="dxa"/>
              <w:right w:w="16" w:type="dxa"/>
            </w:tcMar>
            <w:vAlign w:val="center"/>
          </w:tcPr>
          <w:p w14:paraId="0F107637">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3064" w:type="dxa"/>
            <w:gridSpan w:val="2"/>
            <w:vAlign w:val="center"/>
          </w:tcPr>
          <w:p w14:paraId="0660A03C">
            <w:pPr>
              <w:pStyle w:val="365"/>
              <w:jc w:val="center"/>
              <w:rPr>
                <w:rFonts w:ascii="Times New Roman" w:eastAsia="宋体"/>
                <w:color w:val="000000" w:themeColor="text1"/>
                <w:szCs w:val="24"/>
                <w:highlight w:val="red"/>
                <w14:textFill>
                  <w14:solidFill>
                    <w14:schemeClr w14:val="tx1"/>
                  </w14:solidFill>
                </w14:textFill>
              </w:rPr>
            </w:pPr>
            <w:r>
              <w:rPr>
                <w:rFonts w:hint="eastAsia" w:ascii="Times New Roman" w:eastAsia="宋体"/>
                <w:color w:val="000000" w:themeColor="text1"/>
                <w:szCs w:val="24"/>
                <w14:textFill>
                  <w14:solidFill>
                    <w14:schemeClr w14:val="tx1"/>
                  </w14:solidFill>
                </w14:textFill>
              </w:rPr>
              <w:t>1.15</w:t>
            </w:r>
          </w:p>
        </w:tc>
        <w:tc>
          <w:tcPr>
            <w:tcW w:w="1598" w:type="dxa"/>
            <w:tcMar>
              <w:top w:w="16" w:type="dxa"/>
              <w:left w:w="16" w:type="dxa"/>
              <w:right w:w="16" w:type="dxa"/>
            </w:tcMar>
            <w:vAlign w:val="center"/>
          </w:tcPr>
          <w:p w14:paraId="3195145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2855" w:type="dxa"/>
            <w:vAlign w:val="center"/>
          </w:tcPr>
          <w:p w14:paraId="0341179C">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6个月</w:t>
            </w:r>
          </w:p>
        </w:tc>
      </w:tr>
      <w:tr w14:paraId="5DE09B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4" w:hRule="atLeast"/>
        </w:trPr>
        <w:tc>
          <w:tcPr>
            <w:tcW w:w="1250" w:type="dxa"/>
            <w:tcMar>
              <w:top w:w="16" w:type="dxa"/>
              <w:left w:w="16" w:type="dxa"/>
              <w:right w:w="16" w:type="dxa"/>
            </w:tcMar>
            <w:vAlign w:val="center"/>
          </w:tcPr>
          <w:p w14:paraId="05968BE8">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w:t>
            </w:r>
          </w:p>
          <w:p w14:paraId="792EA3C0">
            <w:pPr>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w:t>
            </w:r>
          </w:p>
        </w:tc>
        <w:tc>
          <w:tcPr>
            <w:tcW w:w="7517" w:type="dxa"/>
            <w:gridSpan w:val="4"/>
            <w:vAlign w:val="center"/>
          </w:tcPr>
          <w:p w14:paraId="19B4BF08">
            <w:pPr>
              <w:adjustRightInd w:val="0"/>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sym w:font="Wingdings 2" w:char="F052"/>
            </w:r>
            <w:r>
              <w:rPr>
                <w:rFonts w:hint="eastAsia" w:ascii="宋体" w:hAnsi="宋体" w:cs="宋体"/>
                <w:color w:val="000000" w:themeColor="text1"/>
                <w:sz w:val="24"/>
                <w14:textFill>
                  <w14:solidFill>
                    <w14:schemeClr w14:val="tx1"/>
                  </w14:solidFill>
                </w14:textFill>
              </w:rPr>
              <w:t>否</w:t>
            </w:r>
          </w:p>
          <w:p w14:paraId="60BF2AA3">
            <w:pPr>
              <w:adjustRightInd w:val="0"/>
              <w:snapToGrid w:val="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□是：</w:t>
            </w:r>
            <w:r>
              <w:rPr>
                <w:rFonts w:hint="eastAsia" w:ascii="宋体" w:hAnsi="宋体"/>
                <w:color w:val="000000" w:themeColor="text1"/>
                <w:sz w:val="24"/>
                <w:u w:val="single"/>
                <w14:textFill>
                  <w14:solidFill>
                    <w14:schemeClr w14:val="tx1"/>
                  </w14:solidFill>
                </w14:textFill>
              </w:rPr>
              <w:t xml:space="preserve">                          </w:t>
            </w:r>
          </w:p>
        </w:tc>
      </w:tr>
      <w:tr w14:paraId="1B54E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0" w:type="dxa"/>
            <w:tcMar>
              <w:top w:w="16" w:type="dxa"/>
              <w:left w:w="16" w:type="dxa"/>
              <w:right w:w="16" w:type="dxa"/>
            </w:tcMar>
            <w:vAlign w:val="center"/>
          </w:tcPr>
          <w:p w14:paraId="3669E9D2">
            <w:pPr>
              <w:autoSpaceDE w:val="0"/>
              <w:autoSpaceDN w:val="0"/>
              <w:adjustRightInd w:val="0"/>
              <w:snapToGrid w:val="0"/>
              <w:spacing w:line="36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w:t>
            </w:r>
          </w:p>
          <w:p w14:paraId="5BD81FC0">
            <w:pPr>
              <w:autoSpaceDE w:val="0"/>
              <w:autoSpaceDN w:val="0"/>
              <w:adjustRightInd w:val="0"/>
              <w:snapToGrid w:val="0"/>
              <w:spacing w:line="36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设置情况</w:t>
            </w:r>
          </w:p>
        </w:tc>
        <w:tc>
          <w:tcPr>
            <w:tcW w:w="7517" w:type="dxa"/>
            <w:gridSpan w:val="4"/>
            <w:tcMar>
              <w:top w:w="16" w:type="dxa"/>
              <w:left w:w="16" w:type="dxa"/>
              <w:right w:w="16" w:type="dxa"/>
            </w:tcMar>
            <w:vAlign w:val="center"/>
          </w:tcPr>
          <w:p w14:paraId="12043919">
            <w:pPr>
              <w:adjustRightInd w:val="0"/>
              <w:snapToGrid w:val="0"/>
              <w:spacing w:line="360" w:lineRule="exact"/>
              <w:ind w:firstLine="480" w:firstLineChars="200"/>
              <w:jc w:val="center"/>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本项目影响区域涉及燕山水源涵养区</w:t>
            </w:r>
            <w:r>
              <w:rPr>
                <w:rFonts w:hint="eastAsia"/>
                <w:color w:val="000000" w:themeColor="text1"/>
                <w14:textFill>
                  <w14:solidFill>
                    <w14:schemeClr w14:val="tx1"/>
                  </w14:solidFill>
                </w14:textFill>
              </w:rPr>
              <w:t>，</w:t>
            </w:r>
            <w:r>
              <w:rPr>
                <w:rFonts w:hint="eastAsia"/>
                <w:color w:val="000000" w:themeColor="text1"/>
                <w:sz w:val="24"/>
                <w14:textFill>
                  <w14:solidFill>
                    <w14:schemeClr w14:val="tx1"/>
                  </w14:solidFill>
                </w14:textFill>
              </w:rPr>
              <w:t>属于《建设项目环境影响评价分类管理名录》（2021年版）中的除（一）外的生态保护红线管控范围，本评价设置生态环境影响专题评价；根据《环境影响评价技术导则输变电》（HJ24-2020），应设置电磁环境影响专题评价，该专题不在本次评价内，将另行环评</w:t>
            </w:r>
            <w:r>
              <w:rPr>
                <w:rFonts w:eastAsiaTheme="minorEastAsia"/>
                <w:color w:val="000000" w:themeColor="text1"/>
                <w:spacing w:val="-10"/>
                <w:kern w:val="0"/>
                <w:sz w:val="24"/>
                <w14:textFill>
                  <w14:solidFill>
                    <w14:schemeClr w14:val="tx1"/>
                  </w14:solidFill>
                </w14:textFill>
              </w:rPr>
              <w:t xml:space="preserve"> </w:t>
            </w:r>
          </w:p>
        </w:tc>
      </w:tr>
      <w:tr w14:paraId="1F3AD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0" w:type="dxa"/>
            <w:tcMar>
              <w:top w:w="16" w:type="dxa"/>
              <w:left w:w="16" w:type="dxa"/>
              <w:right w:w="16" w:type="dxa"/>
            </w:tcMar>
            <w:vAlign w:val="center"/>
          </w:tcPr>
          <w:p w14:paraId="7839499E">
            <w:pPr>
              <w:autoSpaceDE w:val="0"/>
              <w:autoSpaceDN w:val="0"/>
              <w:adjustRightInd w:val="0"/>
              <w:snapToGrid w:val="0"/>
              <w:spacing w:line="360" w:lineRule="exact"/>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7517" w:type="dxa"/>
            <w:gridSpan w:val="4"/>
            <w:tcMar>
              <w:top w:w="16" w:type="dxa"/>
              <w:left w:w="16" w:type="dxa"/>
              <w:right w:w="16" w:type="dxa"/>
            </w:tcMar>
            <w:vAlign w:val="center"/>
          </w:tcPr>
          <w:p w14:paraId="08835F98">
            <w:pPr>
              <w:pStyle w:val="2"/>
              <w:spacing w:line="360" w:lineRule="exact"/>
              <w:ind w:firstLine="0" w:firstLineChars="0"/>
              <w:rPr>
                <w:rFonts w:cs="Times New Roman"/>
                <w:bCs w:val="0"/>
                <w:color w:val="000000" w:themeColor="text1"/>
                <w:sz w:val="24"/>
                <w:szCs w:val="24"/>
                <w14:textFill>
                  <w14:solidFill>
                    <w14:schemeClr w14:val="tx1"/>
                  </w14:solidFill>
                </w14:textFill>
              </w:rPr>
            </w:pPr>
            <w:r>
              <w:rPr>
                <w:rFonts w:cs="Times New Roman"/>
                <w:bCs w:val="0"/>
                <w:color w:val="000000" w:themeColor="text1"/>
                <w:sz w:val="24"/>
                <w:szCs w:val="24"/>
                <w14:textFill>
                  <w14:solidFill>
                    <w14:schemeClr w14:val="tx1"/>
                  </w14:solidFill>
                </w14:textFill>
              </w:rPr>
              <w:t>规划名称：</w:t>
            </w:r>
            <w:r>
              <w:rPr>
                <w:rFonts w:hint="eastAsia" w:cs="Times New Roman"/>
                <w:bCs w:val="0"/>
                <w:color w:val="000000" w:themeColor="text1"/>
                <w:sz w:val="24"/>
                <w:szCs w:val="24"/>
                <w14:textFill>
                  <w14:solidFill>
                    <w14:schemeClr w14:val="tx1"/>
                  </w14:solidFill>
                </w14:textFill>
              </w:rPr>
              <w:t>《</w:t>
            </w:r>
            <w:r>
              <w:rPr>
                <w:rFonts w:cs="Times New Roman"/>
                <w:bCs w:val="0"/>
                <w:color w:val="000000" w:themeColor="text1"/>
                <w:sz w:val="24"/>
                <w:szCs w:val="24"/>
                <w14:textFill>
                  <w14:solidFill>
                    <w14:schemeClr w14:val="tx1"/>
                  </w14:solidFill>
                </w14:textFill>
              </w:rPr>
              <w:t>唐山市光伏发电发展规划（2022-2035年）</w:t>
            </w:r>
            <w:r>
              <w:rPr>
                <w:rFonts w:hint="eastAsia" w:cs="Times New Roman"/>
                <w:bCs w:val="0"/>
                <w:color w:val="000000" w:themeColor="text1"/>
                <w:sz w:val="24"/>
                <w:szCs w:val="24"/>
                <w14:textFill>
                  <w14:solidFill>
                    <w14:schemeClr w14:val="tx1"/>
                  </w14:solidFill>
                </w14:textFill>
              </w:rPr>
              <w:t>》；</w:t>
            </w:r>
          </w:p>
          <w:p w14:paraId="7C725613">
            <w:pPr>
              <w:pStyle w:val="2"/>
              <w:spacing w:line="360" w:lineRule="exact"/>
              <w:ind w:firstLine="0" w:firstLineChars="0"/>
              <w:rPr>
                <w:rFonts w:cs="Times New Roman"/>
                <w:bCs w:val="0"/>
                <w:color w:val="000000" w:themeColor="text1"/>
                <w:sz w:val="24"/>
                <w:szCs w:val="24"/>
                <w14:textFill>
                  <w14:solidFill>
                    <w14:schemeClr w14:val="tx1"/>
                  </w14:solidFill>
                </w14:textFill>
              </w:rPr>
            </w:pPr>
            <w:r>
              <w:rPr>
                <w:rFonts w:cs="Times New Roman"/>
                <w:bCs w:val="0"/>
                <w:color w:val="000000" w:themeColor="text1"/>
                <w:sz w:val="24"/>
                <w:szCs w:val="24"/>
                <w14:textFill>
                  <w14:solidFill>
                    <w14:schemeClr w14:val="tx1"/>
                  </w14:solidFill>
                </w14:textFill>
              </w:rPr>
              <w:t>审批机关：唐山市人民政府办公室</w:t>
            </w:r>
            <w:r>
              <w:rPr>
                <w:rFonts w:hint="eastAsia" w:cs="Times New Roman"/>
                <w:bCs w:val="0"/>
                <w:color w:val="000000" w:themeColor="text1"/>
                <w:sz w:val="24"/>
                <w:szCs w:val="24"/>
                <w14:textFill>
                  <w14:solidFill>
                    <w14:schemeClr w14:val="tx1"/>
                  </w14:solidFill>
                </w14:textFill>
              </w:rPr>
              <w:t>2022</w:t>
            </w:r>
            <w:r>
              <w:rPr>
                <w:rFonts w:cs="Times New Roman"/>
                <w:bCs w:val="0"/>
                <w:color w:val="000000" w:themeColor="text1"/>
                <w:sz w:val="24"/>
                <w:szCs w:val="24"/>
                <w14:textFill>
                  <w14:solidFill>
                    <w14:schemeClr w14:val="tx1"/>
                  </w14:solidFill>
                </w14:textFill>
              </w:rPr>
              <w:t>年审批</w:t>
            </w:r>
            <w:r>
              <w:rPr>
                <w:rFonts w:hint="eastAsia" w:cs="Times New Roman"/>
                <w:bCs w:val="0"/>
                <w:color w:val="000000" w:themeColor="text1"/>
                <w:sz w:val="24"/>
                <w:szCs w:val="24"/>
                <w14:textFill>
                  <w14:solidFill>
                    <w14:schemeClr w14:val="tx1"/>
                  </w14:solidFill>
                </w14:textFill>
              </w:rPr>
              <w:t>；</w:t>
            </w:r>
          </w:p>
          <w:p w14:paraId="09A0EFC6">
            <w:pPr>
              <w:pStyle w:val="2"/>
              <w:spacing w:line="360" w:lineRule="exact"/>
              <w:ind w:firstLine="0" w:firstLineChars="0"/>
              <w:rPr>
                <w:rFonts w:cs="Times New Roman"/>
                <w:bCs w:val="0"/>
                <w:color w:val="000000" w:themeColor="text1"/>
                <w:sz w:val="24"/>
                <w:szCs w:val="24"/>
                <w14:textFill>
                  <w14:solidFill>
                    <w14:schemeClr w14:val="tx1"/>
                  </w14:solidFill>
                </w14:textFill>
              </w:rPr>
            </w:pPr>
            <w:r>
              <w:rPr>
                <w:rFonts w:hint="eastAsia" w:cs="Times New Roman"/>
                <w:bCs w:val="0"/>
                <w:color w:val="000000" w:themeColor="text1"/>
                <w:sz w:val="24"/>
                <w:szCs w:val="24"/>
                <w14:textFill>
                  <w14:solidFill>
                    <w14:schemeClr w14:val="tx1"/>
                  </w14:solidFill>
                </w14:textFill>
              </w:rPr>
              <w:t>审批文号：唐政办字〔2022〕136号。</w:t>
            </w:r>
          </w:p>
        </w:tc>
      </w:tr>
      <w:tr w14:paraId="15F1C9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0" w:type="dxa"/>
            <w:tcMar>
              <w:top w:w="16" w:type="dxa"/>
              <w:left w:w="16" w:type="dxa"/>
              <w:right w:w="16" w:type="dxa"/>
            </w:tcMar>
            <w:vAlign w:val="center"/>
          </w:tcPr>
          <w:p w14:paraId="776CD0C9">
            <w:pPr>
              <w:autoSpaceDE w:val="0"/>
              <w:autoSpaceDN w:val="0"/>
              <w:adjustRightInd w:val="0"/>
              <w:snapToGrid w:val="0"/>
              <w:spacing w:line="36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7517" w:type="dxa"/>
            <w:gridSpan w:val="4"/>
            <w:tcMar>
              <w:top w:w="16" w:type="dxa"/>
              <w:left w:w="16" w:type="dxa"/>
              <w:right w:w="16" w:type="dxa"/>
            </w:tcMar>
            <w:vAlign w:val="center"/>
          </w:tcPr>
          <w:p w14:paraId="403BF2D9">
            <w:pPr>
              <w:pStyle w:val="2"/>
              <w:spacing w:line="360" w:lineRule="exact"/>
              <w:ind w:firstLine="0" w:firstLineChars="0"/>
              <w:jc w:val="center"/>
              <w:rPr>
                <w:color w:val="000000" w:themeColor="text1"/>
                <w:sz w:val="24"/>
                <w14:textFill>
                  <w14:solidFill>
                    <w14:schemeClr w14:val="tx1"/>
                  </w14:solidFill>
                </w14:textFill>
              </w:rPr>
            </w:pPr>
            <w:r>
              <w:rPr>
                <w:rFonts w:hint="eastAsia" w:cs="Times New Roman"/>
                <w:bCs w:val="0"/>
                <w:color w:val="000000" w:themeColor="text1"/>
                <w:sz w:val="24"/>
                <w:szCs w:val="24"/>
                <w14:textFill>
                  <w14:solidFill>
                    <w14:schemeClr w14:val="tx1"/>
                  </w14:solidFill>
                </w14:textFill>
              </w:rPr>
              <w:t>无</w:t>
            </w:r>
          </w:p>
        </w:tc>
      </w:tr>
      <w:tr w14:paraId="6470A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00" w:hRule="atLeast"/>
        </w:trPr>
        <w:tc>
          <w:tcPr>
            <w:tcW w:w="1250" w:type="dxa"/>
            <w:tcMar>
              <w:top w:w="16" w:type="dxa"/>
              <w:left w:w="16" w:type="dxa"/>
              <w:right w:w="16" w:type="dxa"/>
            </w:tcMar>
            <w:vAlign w:val="center"/>
          </w:tcPr>
          <w:p w14:paraId="616EE229">
            <w:pPr>
              <w:autoSpaceDE w:val="0"/>
              <w:autoSpaceDN w:val="0"/>
              <w:adjustRightInd w:val="0"/>
              <w:snapToGrid w:val="0"/>
              <w:spacing w:line="36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w:t>
            </w:r>
            <w:r>
              <w:rPr>
                <w:color w:val="000000" w:themeColor="text1"/>
                <w:sz w:val="24"/>
                <w14:textFill>
                  <w14:solidFill>
                    <w14:schemeClr w14:val="tx1"/>
                  </w14:solidFill>
                </w14:textFill>
              </w:rPr>
              <w:t>规划环境影响评价</w:t>
            </w:r>
            <w:r>
              <w:rPr>
                <w:color w:val="000000" w:themeColor="text1"/>
                <w:kern w:val="0"/>
                <w:sz w:val="24"/>
                <w14:textFill>
                  <w14:solidFill>
                    <w14:schemeClr w14:val="tx1"/>
                  </w14:solidFill>
                </w14:textFill>
              </w:rPr>
              <w:t>符合性分析</w:t>
            </w:r>
          </w:p>
        </w:tc>
        <w:tc>
          <w:tcPr>
            <w:tcW w:w="7517" w:type="dxa"/>
            <w:gridSpan w:val="4"/>
            <w:tcMar>
              <w:top w:w="16" w:type="dxa"/>
              <w:left w:w="16" w:type="dxa"/>
              <w:right w:w="16" w:type="dxa"/>
            </w:tcMar>
            <w:vAlign w:val="center"/>
          </w:tcPr>
          <w:p w14:paraId="2A189BD3">
            <w:pPr>
              <w:spacing w:line="440" w:lineRule="exact"/>
              <w:rPr>
                <w:color w:val="000000" w:themeColor="text1"/>
                <w:sz w:val="24"/>
                <w14:textFill>
                  <w14:solidFill>
                    <w14:schemeClr w14:val="tx1"/>
                  </w14:solidFill>
                </w14:textFill>
              </w:rPr>
            </w:pPr>
            <w:r>
              <w:rPr>
                <w:rFonts w:hint="eastAsia"/>
                <w:b/>
                <w:color w:val="000000" w:themeColor="text1"/>
                <w:sz w:val="24"/>
                <w:lang w:bidi="ar"/>
                <w14:textFill>
                  <w14:solidFill>
                    <w14:schemeClr w14:val="tx1"/>
                  </w14:solidFill>
                </w14:textFill>
              </w:rPr>
              <w:t>1</w:t>
            </w:r>
            <w:r>
              <w:rPr>
                <w:rFonts w:hint="eastAsia" w:cs="宋体"/>
                <w:b/>
                <w:color w:val="000000" w:themeColor="text1"/>
                <w:sz w:val="24"/>
                <w:lang w:bidi="ar"/>
                <w14:textFill>
                  <w14:solidFill>
                    <w14:schemeClr w14:val="tx1"/>
                  </w14:solidFill>
                </w14:textFill>
              </w:rPr>
              <w:t>、与《唐山市光伏发电发展规划（2022-2035年）》符合性分析</w:t>
            </w:r>
          </w:p>
          <w:p w14:paraId="6B78369F">
            <w:pPr>
              <w:spacing w:line="44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202</w:t>
            </w:r>
            <w:r>
              <w:rPr>
                <w:rFonts w:hint="eastAsia"/>
                <w:color w:val="000000" w:themeColor="text1"/>
                <w:sz w:val="24"/>
                <w:lang w:bidi="ar"/>
                <w14:textFill>
                  <w14:solidFill>
                    <w14:schemeClr w14:val="tx1"/>
                  </w14:solidFill>
                </w14:textFill>
              </w:rPr>
              <w:t>2</w:t>
            </w:r>
            <w:r>
              <w:rPr>
                <w:rFonts w:hint="eastAsia" w:cs="宋体"/>
                <w:color w:val="000000" w:themeColor="text1"/>
                <w:sz w:val="24"/>
                <w:lang w:bidi="ar"/>
                <w14:textFill>
                  <w14:solidFill>
                    <w14:schemeClr w14:val="tx1"/>
                  </w14:solidFill>
                </w14:textFill>
              </w:rPr>
              <w:t>年10月9日，唐山市人民政府办公室发布了唐山市人民政府办公室关于印发《唐山市光伏发电发展规划（2022-2035年）》、《唐山市光伏发展实施方案（2022-2025年）》的通知（唐政办字〔2022〕136号），其中项目与</w:t>
            </w:r>
            <w:r>
              <w:rPr>
                <w:color w:val="000000" w:themeColor="text1"/>
                <w:sz w:val="24"/>
                <w:lang w:bidi="ar"/>
                <w14:textFill>
                  <w14:solidFill>
                    <w14:schemeClr w14:val="tx1"/>
                  </w14:solidFill>
                </w14:textFill>
              </w:rPr>
              <w:t>“唐政办字〔2022〕136号”</w:t>
            </w:r>
            <w:r>
              <w:rPr>
                <w:rFonts w:hint="eastAsia" w:cs="宋体"/>
                <w:color w:val="000000" w:themeColor="text1"/>
                <w:sz w:val="24"/>
                <w:lang w:bidi="ar"/>
                <w14:textFill>
                  <w14:solidFill>
                    <w14:schemeClr w14:val="tx1"/>
                  </w14:solidFill>
                </w14:textFill>
              </w:rPr>
              <w:t>符合性分析见表</w:t>
            </w:r>
            <w:r>
              <w:rPr>
                <w:color w:val="000000" w:themeColor="text1"/>
                <w:sz w:val="24"/>
                <w:lang w:bidi="ar"/>
                <w14:textFill>
                  <w14:solidFill>
                    <w14:schemeClr w14:val="tx1"/>
                  </w14:solidFill>
                </w14:textFill>
              </w:rPr>
              <w:t>1-1</w:t>
            </w:r>
            <w:r>
              <w:rPr>
                <w:rFonts w:hint="eastAsia" w:cs="宋体"/>
                <w:color w:val="000000" w:themeColor="text1"/>
                <w:sz w:val="24"/>
                <w:lang w:bidi="ar"/>
                <w14:textFill>
                  <w14:solidFill>
                    <w14:schemeClr w14:val="tx1"/>
                  </w14:solidFill>
                </w14:textFill>
              </w:rPr>
              <w:t>。</w:t>
            </w:r>
          </w:p>
          <w:p w14:paraId="197CB386">
            <w:pPr>
              <w:spacing w:line="440" w:lineRule="exact"/>
              <w:ind w:firstLine="402"/>
              <w:jc w:val="center"/>
              <w:rPr>
                <w:b/>
                <w:bCs/>
                <w:color w:val="000000" w:themeColor="text1"/>
                <w:spacing w:val="-20"/>
                <w:sz w:val="24"/>
                <w14:textFill>
                  <w14:solidFill>
                    <w14:schemeClr w14:val="tx1"/>
                  </w14:solidFill>
                </w14:textFill>
              </w:rPr>
            </w:pPr>
            <w:r>
              <w:rPr>
                <w:rFonts w:hint="eastAsia" w:cs="宋体"/>
                <w:b/>
                <w:bCs/>
                <w:color w:val="000000" w:themeColor="text1"/>
                <w:spacing w:val="-20"/>
                <w:sz w:val="24"/>
                <w:lang w:bidi="ar"/>
                <w14:textFill>
                  <w14:solidFill>
                    <w14:schemeClr w14:val="tx1"/>
                  </w14:solidFill>
                </w14:textFill>
              </w:rPr>
              <w:t>表</w:t>
            </w:r>
            <w:r>
              <w:rPr>
                <w:b/>
                <w:bCs/>
                <w:color w:val="000000" w:themeColor="text1"/>
                <w:spacing w:val="-20"/>
                <w:sz w:val="24"/>
                <w:lang w:bidi="ar"/>
                <w14:textFill>
                  <w14:solidFill>
                    <w14:schemeClr w14:val="tx1"/>
                  </w14:solidFill>
                </w14:textFill>
              </w:rPr>
              <w:t xml:space="preserve">1-1  </w:t>
            </w:r>
            <w:r>
              <w:rPr>
                <w:rFonts w:hint="eastAsia" w:cs="宋体"/>
                <w:b/>
                <w:bCs/>
                <w:color w:val="000000" w:themeColor="text1"/>
                <w:spacing w:val="-20"/>
                <w:sz w:val="24"/>
                <w:lang w:bidi="ar"/>
                <w14:textFill>
                  <w14:solidFill>
                    <w14:schemeClr w14:val="tx1"/>
                  </w14:solidFill>
                </w14:textFill>
              </w:rPr>
              <w:t>与《</w:t>
            </w:r>
            <w:r>
              <w:rPr>
                <w:rFonts w:hint="eastAsia" w:cs="宋体"/>
                <w:b/>
                <w:color w:val="000000" w:themeColor="text1"/>
                <w:spacing w:val="-20"/>
                <w:sz w:val="24"/>
                <w:lang w:bidi="ar"/>
                <w14:textFill>
                  <w14:solidFill>
                    <w14:schemeClr w14:val="tx1"/>
                  </w14:solidFill>
                </w14:textFill>
              </w:rPr>
              <w:t>唐山市光伏发电发展规划（2022-2035年）</w:t>
            </w:r>
            <w:r>
              <w:rPr>
                <w:rFonts w:hint="eastAsia" w:cs="宋体"/>
                <w:b/>
                <w:bCs/>
                <w:color w:val="000000" w:themeColor="text1"/>
                <w:spacing w:val="-20"/>
                <w:sz w:val="24"/>
                <w:lang w:bidi="ar"/>
                <w14:textFill>
                  <w14:solidFill>
                    <w14:schemeClr w14:val="tx1"/>
                  </w14:solidFill>
                </w14:textFill>
              </w:rPr>
              <w:t>》符合性分析一览表</w:t>
            </w:r>
          </w:p>
          <w:tbl>
            <w:tblPr>
              <w:tblStyle w:val="66"/>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66"/>
              <w:gridCol w:w="3923"/>
              <w:gridCol w:w="2853"/>
              <w:gridCol w:w="357"/>
            </w:tblGrid>
            <w:tr w14:paraId="682C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54957F50">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序号</w:t>
                  </w:r>
                </w:p>
              </w:tc>
              <w:tc>
                <w:tcPr>
                  <w:tcW w:w="2650" w:type="pct"/>
                  <w:tcBorders>
                    <w:top w:val="single" w:color="auto" w:sz="4" w:space="0"/>
                    <w:left w:val="single" w:color="auto" w:sz="4" w:space="0"/>
                    <w:bottom w:val="single" w:color="auto" w:sz="4" w:space="0"/>
                    <w:right w:val="single" w:color="auto" w:sz="4" w:space="0"/>
                  </w:tcBorders>
                  <w:shd w:val="clear" w:color="auto" w:fill="auto"/>
                  <w:vAlign w:val="center"/>
                </w:tcPr>
                <w:p w14:paraId="7E9F3886">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文件要求</w:t>
                  </w:r>
                </w:p>
              </w:tc>
              <w:tc>
                <w:tcPr>
                  <w:tcW w:w="1927" w:type="pct"/>
                  <w:tcBorders>
                    <w:top w:val="single" w:color="auto" w:sz="4" w:space="0"/>
                    <w:left w:val="single" w:color="auto" w:sz="4" w:space="0"/>
                    <w:bottom w:val="single" w:color="auto" w:sz="4" w:space="0"/>
                    <w:right w:val="single" w:color="auto" w:sz="4" w:space="0"/>
                  </w:tcBorders>
                  <w:shd w:val="clear" w:color="auto" w:fill="auto"/>
                  <w:vAlign w:val="center"/>
                </w:tcPr>
                <w:p w14:paraId="3B2A09B7">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项目建设情况</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14:paraId="7A19E0CE">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符合性</w:t>
                  </w:r>
                </w:p>
              </w:tc>
            </w:tr>
            <w:tr w14:paraId="5714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59582D10">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p>
              </w:tc>
              <w:tc>
                <w:tcPr>
                  <w:tcW w:w="2650" w:type="pct"/>
                  <w:tcBorders>
                    <w:top w:val="single" w:color="auto" w:sz="4" w:space="0"/>
                    <w:left w:val="single" w:color="auto" w:sz="4" w:space="0"/>
                    <w:bottom w:val="single" w:color="auto" w:sz="4" w:space="0"/>
                    <w:right w:val="single" w:color="auto" w:sz="4" w:space="0"/>
                  </w:tcBorders>
                  <w:shd w:val="clear" w:color="auto" w:fill="auto"/>
                  <w:vAlign w:val="center"/>
                </w:tcPr>
                <w:p w14:paraId="460A9B3F">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序推进集中式光伏开发。充分利用荒山荒坡、坑塘水面、盐池、矿山等土地，因地制宜开发光伏基地项目。在北部玉田、遵化、迁西、迁安、滦州等县(市),利用荒山荒坡,规划建设总量100万千瓦集中式光伏发电项目。</w:t>
                  </w:r>
                </w:p>
              </w:tc>
              <w:tc>
                <w:tcPr>
                  <w:tcW w:w="1927" w:type="pct"/>
                  <w:tcBorders>
                    <w:top w:val="single" w:color="auto" w:sz="4" w:space="0"/>
                    <w:left w:val="single" w:color="auto" w:sz="4" w:space="0"/>
                    <w:bottom w:val="single" w:color="auto" w:sz="4" w:space="0"/>
                    <w:right w:val="single" w:color="auto" w:sz="4" w:space="0"/>
                  </w:tcBorders>
                  <w:shd w:val="clear" w:color="auto" w:fill="auto"/>
                  <w:vAlign w:val="center"/>
                </w:tcPr>
                <w:p w14:paraId="07D95BF5">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本项目利用遵化市铁厂镇周边荒山荒坡，建设规模为15万千瓦集中式光伏发电。</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14:paraId="0C2E70BB">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符合</w:t>
                  </w:r>
                </w:p>
              </w:tc>
            </w:tr>
            <w:tr w14:paraId="51EC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3D640CCE">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w:t>
                  </w:r>
                </w:p>
              </w:tc>
              <w:tc>
                <w:tcPr>
                  <w:tcW w:w="2650" w:type="pct"/>
                  <w:tcBorders>
                    <w:top w:val="single" w:color="auto" w:sz="4" w:space="0"/>
                    <w:left w:val="single" w:color="auto" w:sz="4" w:space="0"/>
                    <w:bottom w:val="single" w:color="auto" w:sz="4" w:space="0"/>
                    <w:right w:val="single" w:color="auto" w:sz="4" w:space="0"/>
                  </w:tcBorders>
                  <w:shd w:val="clear" w:color="auto" w:fill="auto"/>
                  <w:vAlign w:val="center"/>
                </w:tcPr>
                <w:p w14:paraId="78E160D7">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规划实施过程中,严格执行环境影响评价制度，严格落实国土空间规划，坚守生态保护红线和永久基本农田底线，在规划选址、并网线路等方面确保区域生态功能避让环境敏感性因素。</w:t>
                  </w:r>
                </w:p>
              </w:tc>
              <w:tc>
                <w:tcPr>
                  <w:tcW w:w="1927" w:type="pct"/>
                  <w:tcBorders>
                    <w:top w:val="single" w:color="auto" w:sz="4" w:space="0"/>
                    <w:left w:val="single" w:color="auto" w:sz="4" w:space="0"/>
                    <w:bottom w:val="single" w:color="auto" w:sz="4" w:space="0"/>
                    <w:right w:val="single" w:color="auto" w:sz="4" w:space="0"/>
                  </w:tcBorders>
                  <w:shd w:val="clear" w:color="auto" w:fill="auto"/>
                  <w:vAlign w:val="center"/>
                </w:tcPr>
                <w:p w14:paraId="3F3D7964">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项目实施过程中严格执行环境影响评价制度，严格落实国土空间规划，坚守生态保护红线和永久基本农田底线，在规划选址、并网线路等方面确保区域生态功能避让了环境敏感性因素。</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14:paraId="467C7FAE">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符合</w:t>
                  </w:r>
                </w:p>
              </w:tc>
            </w:tr>
            <w:tr w14:paraId="431B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10580DBA">
                  <w:pPr>
                    <w:spacing w:line="360" w:lineRule="exact"/>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3</w:t>
                  </w:r>
                </w:p>
              </w:tc>
              <w:tc>
                <w:tcPr>
                  <w:tcW w:w="2650" w:type="pct"/>
                  <w:tcBorders>
                    <w:top w:val="single" w:color="auto" w:sz="4" w:space="0"/>
                    <w:left w:val="single" w:color="auto" w:sz="4" w:space="0"/>
                    <w:bottom w:val="single" w:color="auto" w:sz="4" w:space="0"/>
                    <w:right w:val="single" w:color="auto" w:sz="4" w:space="0"/>
                  </w:tcBorders>
                  <w:shd w:val="clear" w:color="auto" w:fill="auto"/>
                  <w:vAlign w:val="center"/>
                </w:tcPr>
                <w:p w14:paraId="246B0822">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强项目布局、建设、运营、退役全环节、全生命周期环境保护，严格落实生态保护红线、环境质量底线、资源利用上线和生态环境准入清单“三线一单”要求，严格执行环保标准，做到环境保护设施与主体工程“同时设计、同时施工、同时投产”，预防和减轻环境影响</w:t>
                  </w:r>
                </w:p>
              </w:tc>
              <w:tc>
                <w:tcPr>
                  <w:tcW w:w="1927" w:type="pct"/>
                  <w:tcBorders>
                    <w:top w:val="single" w:color="auto" w:sz="4" w:space="0"/>
                    <w:left w:val="single" w:color="auto" w:sz="4" w:space="0"/>
                    <w:bottom w:val="single" w:color="auto" w:sz="4" w:space="0"/>
                    <w:right w:val="single" w:color="auto" w:sz="4" w:space="0"/>
                  </w:tcBorders>
                  <w:shd w:val="clear" w:color="auto" w:fill="auto"/>
                  <w:vAlign w:val="center"/>
                </w:tcPr>
                <w:p w14:paraId="241A3A7F">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本次评价对于项目从布局、建设、运营退役全环节全生命周期进行了分析，严格落实了“三线一单”、环保标准、“三同时”等相关要求</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14:paraId="0CC88918">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符合</w:t>
                  </w:r>
                </w:p>
                <w:p w14:paraId="6D94176C">
                  <w:pPr>
                    <w:pStyle w:val="2"/>
                    <w:ind w:firstLine="560"/>
                    <w:rPr>
                      <w:color w:val="000000" w:themeColor="text1"/>
                      <w14:textFill>
                        <w14:solidFill>
                          <w14:schemeClr w14:val="tx1"/>
                        </w14:solidFill>
                      </w14:textFill>
                    </w:rPr>
                  </w:pPr>
                </w:p>
                <w:p w14:paraId="5331B5A2">
                  <w:pPr>
                    <w:pStyle w:val="3"/>
                    <w:ind w:firstLine="560"/>
                    <w:rPr>
                      <w:color w:val="000000" w:themeColor="text1"/>
                      <w14:textFill>
                        <w14:solidFill>
                          <w14:schemeClr w14:val="tx1"/>
                        </w14:solidFill>
                      </w14:textFill>
                    </w:rPr>
                  </w:pPr>
                </w:p>
              </w:tc>
            </w:tr>
            <w:tr w14:paraId="340A1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5" w:hRule="atLeast"/>
                <w:jc w:val="center"/>
              </w:trPr>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3BEFD6B">
                  <w:pPr>
                    <w:spacing w:line="360" w:lineRule="exact"/>
                    <w:jc w:val="center"/>
                    <w:rPr>
                      <w:color w:val="000000" w:themeColor="text1"/>
                      <w:szCs w:val="21"/>
                      <w14:textFill>
                        <w14:solidFill>
                          <w14:schemeClr w14:val="tx1"/>
                        </w14:solidFill>
                      </w14:textFill>
                    </w:rPr>
                  </w:pPr>
                </w:p>
              </w:tc>
              <w:tc>
                <w:tcPr>
                  <w:tcW w:w="2650" w:type="pct"/>
                  <w:tcBorders>
                    <w:top w:val="single" w:color="auto" w:sz="4" w:space="0"/>
                    <w:left w:val="single" w:color="auto" w:sz="4" w:space="0"/>
                    <w:bottom w:val="single" w:color="auto" w:sz="4" w:space="0"/>
                    <w:right w:val="single" w:color="auto" w:sz="4" w:space="0"/>
                  </w:tcBorders>
                  <w:shd w:val="clear" w:color="auto" w:fill="auto"/>
                  <w:vAlign w:val="center"/>
                </w:tcPr>
                <w:p w14:paraId="4F822057">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大土地、财政、金融等要素保障对光伏产业有序发展的支持力度。做好规划衔接，预留项目国土空间，保障用地指标；出台合理用地、用海支持性政策，支持符合光伏发电项目等不改变原有用地性质的设施采取以租代征或临时占用的方式用地、用海，明确按要求不征收城镇土地使用税和耕地占用税；完善和制定有关价格政策；提升对光伏发电项目的观测评价、功率预测、灾害预警能力等。</w:t>
                  </w:r>
                </w:p>
              </w:tc>
              <w:tc>
                <w:tcPr>
                  <w:tcW w:w="1927" w:type="pct"/>
                  <w:tcBorders>
                    <w:top w:val="single" w:color="auto" w:sz="4" w:space="0"/>
                    <w:left w:val="single" w:color="auto" w:sz="4" w:space="0"/>
                    <w:bottom w:val="single" w:color="auto" w:sz="4" w:space="0"/>
                    <w:right w:val="single" w:color="auto" w:sz="4" w:space="0"/>
                  </w:tcBorders>
                  <w:shd w:val="clear" w:color="auto" w:fill="auto"/>
                  <w:vAlign w:val="center"/>
                </w:tcPr>
                <w:p w14:paraId="33FD4456">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本项目租用农用地进行建设，服务期限为25年，服务期满后返还</w:t>
                  </w:r>
                </w:p>
              </w:tc>
              <w:tc>
                <w:tcPr>
                  <w:tcW w:w="241" w:type="pct"/>
                  <w:tcBorders>
                    <w:top w:val="single" w:color="auto" w:sz="4" w:space="0"/>
                    <w:left w:val="single" w:color="auto" w:sz="4" w:space="0"/>
                    <w:bottom w:val="single" w:color="auto" w:sz="4" w:space="0"/>
                    <w:right w:val="single" w:color="auto" w:sz="4" w:space="0"/>
                  </w:tcBorders>
                  <w:shd w:val="clear" w:color="auto" w:fill="auto"/>
                  <w:vAlign w:val="center"/>
                </w:tcPr>
                <w:p w14:paraId="4A644545">
                  <w:pPr>
                    <w:spacing w:line="360" w:lineRule="exact"/>
                    <w:jc w:val="center"/>
                    <w:rPr>
                      <w:color w:val="000000" w:themeColor="text1"/>
                      <w14:textFill>
                        <w14:solidFill>
                          <w14:schemeClr w14:val="tx1"/>
                        </w14:solidFill>
                      </w14:textFill>
                    </w:rPr>
                  </w:pPr>
                  <w:r>
                    <w:rPr>
                      <w:rFonts w:hint="eastAsia" w:cs="宋体"/>
                      <w:color w:val="000000" w:themeColor="text1"/>
                      <w:szCs w:val="21"/>
                      <w:lang w:bidi="ar"/>
                      <w14:textFill>
                        <w14:solidFill>
                          <w14:schemeClr w14:val="tx1"/>
                        </w14:solidFill>
                      </w14:textFill>
                    </w:rPr>
                    <w:t>符合</w:t>
                  </w:r>
                </w:p>
              </w:tc>
            </w:tr>
          </w:tbl>
          <w:p w14:paraId="3292CC6C">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根据表</w:t>
            </w:r>
            <w:r>
              <w:rPr>
                <w:color w:val="000000" w:themeColor="text1"/>
                <w:kern w:val="0"/>
                <w:sz w:val="24"/>
                <w14:textFill>
                  <w14:solidFill>
                    <w14:schemeClr w14:val="tx1"/>
                  </w14:solidFill>
                </w14:textFill>
              </w:rPr>
              <w:t>1-1</w:t>
            </w:r>
            <w:r>
              <w:rPr>
                <w:rFonts w:hint="eastAsia"/>
                <w:color w:val="000000" w:themeColor="text1"/>
                <w:kern w:val="0"/>
                <w:sz w:val="24"/>
                <w14:textFill>
                  <w14:solidFill>
                    <w14:schemeClr w14:val="tx1"/>
                  </w14:solidFill>
                </w14:textFill>
              </w:rPr>
              <w:t>对照分析结果可知，本项目的建设符合《唐山市光伏发电发展规划（2022-2035年）》的相关要求。</w:t>
            </w:r>
          </w:p>
          <w:p w14:paraId="09BC6FF6">
            <w:pPr>
              <w:spacing w:line="440" w:lineRule="exact"/>
              <w:rPr>
                <w:b/>
                <w:color w:val="000000" w:themeColor="text1"/>
                <w:sz w:val="24"/>
                <w:lang w:bidi="ar"/>
                <w14:textFill>
                  <w14:solidFill>
                    <w14:schemeClr w14:val="tx1"/>
                  </w14:solidFill>
                </w14:textFill>
              </w:rPr>
            </w:pPr>
            <w:r>
              <w:rPr>
                <w:rFonts w:hint="eastAsia"/>
                <w:b/>
                <w:color w:val="000000" w:themeColor="text1"/>
                <w:sz w:val="24"/>
                <w:lang w:bidi="ar"/>
                <w14:textFill>
                  <w14:solidFill>
                    <w14:schemeClr w14:val="tx1"/>
                  </w14:solidFill>
                </w14:textFill>
              </w:rPr>
              <w:t>2、与《遵化市国土空间总体规划》（2021-2035年）符合性分析</w:t>
            </w:r>
          </w:p>
          <w:p w14:paraId="01EF8F56">
            <w:pPr>
              <w:spacing w:line="440" w:lineRule="exact"/>
              <w:ind w:firstLine="402"/>
              <w:jc w:val="center"/>
              <w:rPr>
                <w:b/>
                <w:bCs/>
                <w:color w:val="000000" w:themeColor="text1"/>
                <w:spacing w:val="-20"/>
                <w:sz w:val="24"/>
                <w14:textFill>
                  <w14:solidFill>
                    <w14:schemeClr w14:val="tx1"/>
                  </w14:solidFill>
                </w14:textFill>
              </w:rPr>
            </w:pPr>
            <w:r>
              <w:rPr>
                <w:rFonts w:hint="eastAsia" w:cs="宋体"/>
                <w:b/>
                <w:bCs/>
                <w:color w:val="000000" w:themeColor="text1"/>
                <w:spacing w:val="-20"/>
                <w:sz w:val="24"/>
                <w:lang w:bidi="ar"/>
                <w14:textFill>
                  <w14:solidFill>
                    <w14:schemeClr w14:val="tx1"/>
                  </w14:solidFill>
                </w14:textFill>
              </w:rPr>
              <w:t>表</w:t>
            </w:r>
            <w:r>
              <w:rPr>
                <w:b/>
                <w:bCs/>
                <w:color w:val="000000" w:themeColor="text1"/>
                <w:spacing w:val="-20"/>
                <w:sz w:val="24"/>
                <w:lang w:bidi="ar"/>
                <w14:textFill>
                  <w14:solidFill>
                    <w14:schemeClr w14:val="tx1"/>
                  </w14:solidFill>
                </w14:textFill>
              </w:rPr>
              <w:t>1-</w:t>
            </w:r>
            <w:r>
              <w:rPr>
                <w:rFonts w:hint="eastAsia"/>
                <w:b/>
                <w:bCs/>
                <w:color w:val="000000" w:themeColor="text1"/>
                <w:spacing w:val="-20"/>
                <w:sz w:val="24"/>
                <w:lang w:bidi="ar"/>
                <w14:textFill>
                  <w14:solidFill>
                    <w14:schemeClr w14:val="tx1"/>
                  </w14:solidFill>
                </w14:textFill>
              </w:rPr>
              <w:t xml:space="preserve">2  </w:t>
            </w:r>
            <w:r>
              <w:rPr>
                <w:b/>
                <w:bCs/>
                <w:color w:val="000000" w:themeColor="text1"/>
                <w:spacing w:val="-20"/>
                <w:sz w:val="24"/>
                <w:lang w:bidi="ar"/>
                <w14:textFill>
                  <w14:solidFill>
                    <w14:schemeClr w14:val="tx1"/>
                  </w14:solidFill>
                </w14:textFill>
              </w:rPr>
              <w:t xml:space="preserve">  </w:t>
            </w:r>
            <w:r>
              <w:rPr>
                <w:rFonts w:hint="eastAsia" w:cs="宋体"/>
                <w:b/>
                <w:bCs/>
                <w:color w:val="000000" w:themeColor="text1"/>
                <w:spacing w:val="-20"/>
                <w:sz w:val="24"/>
                <w:lang w:bidi="ar"/>
                <w14:textFill>
                  <w14:solidFill>
                    <w14:schemeClr w14:val="tx1"/>
                  </w14:solidFill>
                </w14:textFill>
              </w:rPr>
              <w:t>与《遵化市国土空间总体规划》（2021-2035年）符合性分析一览表</w:t>
            </w:r>
          </w:p>
          <w:tbl>
            <w:tblPr>
              <w:tblStyle w:val="66"/>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67"/>
              <w:gridCol w:w="3953"/>
              <w:gridCol w:w="2552"/>
              <w:gridCol w:w="639"/>
            </w:tblGrid>
            <w:tr w14:paraId="5403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57C0AE4D">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序号</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1D2EFF8F">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文件要求</w:t>
                  </w:r>
                </w:p>
              </w:tc>
              <w:tc>
                <w:tcPr>
                  <w:tcW w:w="1722" w:type="pct"/>
                  <w:tcBorders>
                    <w:top w:val="single" w:color="auto" w:sz="4" w:space="0"/>
                    <w:left w:val="single" w:color="auto" w:sz="4" w:space="0"/>
                    <w:bottom w:val="single" w:color="auto" w:sz="4" w:space="0"/>
                    <w:right w:val="single" w:color="auto" w:sz="4" w:space="0"/>
                  </w:tcBorders>
                  <w:shd w:val="clear" w:color="auto" w:fill="auto"/>
                  <w:vAlign w:val="center"/>
                </w:tcPr>
                <w:p w14:paraId="24AE5B30">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项目建设情况</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14:paraId="6F932796">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符合性</w:t>
                  </w:r>
                </w:p>
              </w:tc>
            </w:tr>
            <w:tr w14:paraId="331F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7C978AFA">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07AE88EB">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按照耕地和永久基本农田、生态保护红线、城镇开发边界的优先序统筹划定落实三条控制线，确保三条控制线不交叉不重叠不冲突，作为调整经济结构、规划产业发展、推动城镇化不可逾越的红线。</w:t>
                  </w:r>
                </w:p>
              </w:tc>
              <w:tc>
                <w:tcPr>
                  <w:tcW w:w="1721" w:type="pct"/>
                  <w:tcBorders>
                    <w:top w:val="single" w:color="auto" w:sz="4" w:space="0"/>
                    <w:left w:val="single" w:color="auto" w:sz="4" w:space="0"/>
                    <w:bottom w:val="single" w:color="auto" w:sz="4" w:space="0"/>
                    <w:right w:val="single" w:color="auto" w:sz="4" w:space="0"/>
                  </w:tcBorders>
                  <w:shd w:val="clear" w:color="auto" w:fill="auto"/>
                  <w:vAlign w:val="center"/>
                </w:tcPr>
                <w:p w14:paraId="64B7EB34">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本项目占地不涉及耕地和永久基本农田、生态保护红线、城镇开发边界等红线</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14:paraId="0385EE92">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符合</w:t>
                  </w:r>
                </w:p>
              </w:tc>
            </w:tr>
            <w:tr w14:paraId="4C0A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177" w:hRule="atLeast"/>
                <w:jc w:val="center"/>
              </w:trPr>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1A29093B">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2</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1EEE0F27">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严格落实上级下达的林地保护目标，实施森林资源差异化保护，形成以东北、西北、南部为主要生态保护区，以长城延线、两川平原地带为主要重点商品林区，以中部中道山沙河流域为主要水源涵养区，分区、分类、分级、分等优化林网体系</w:t>
                  </w:r>
                </w:p>
              </w:tc>
              <w:tc>
                <w:tcPr>
                  <w:tcW w:w="1721" w:type="pct"/>
                  <w:tcBorders>
                    <w:top w:val="single" w:color="auto" w:sz="4" w:space="0"/>
                    <w:left w:val="single" w:color="auto" w:sz="4" w:space="0"/>
                    <w:bottom w:val="single" w:color="auto" w:sz="4" w:space="0"/>
                    <w:right w:val="single" w:color="auto" w:sz="4" w:space="0"/>
                  </w:tcBorders>
                  <w:shd w:val="clear" w:color="auto" w:fill="auto"/>
                  <w:vAlign w:val="center"/>
                </w:tcPr>
                <w:p w14:paraId="259D6055">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本项目占地主要为园地、草地及其他农用地，不涉及林地</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14:paraId="05EBD74E">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符合</w:t>
                  </w:r>
                </w:p>
              </w:tc>
            </w:tr>
            <w:tr w14:paraId="5450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BEBE354">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3</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0BCEE149">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适度超前规划，完善市域电力设施建设，打造全域韧性电网，推动农网升级改造，保障城乡发展需求。</w:t>
                  </w:r>
                </w:p>
              </w:tc>
              <w:tc>
                <w:tcPr>
                  <w:tcW w:w="1721" w:type="pct"/>
                  <w:tcBorders>
                    <w:top w:val="single" w:color="auto" w:sz="4" w:space="0"/>
                    <w:left w:val="single" w:color="auto" w:sz="4" w:space="0"/>
                    <w:bottom w:val="single" w:color="auto" w:sz="4" w:space="0"/>
                    <w:right w:val="single" w:color="auto" w:sz="4" w:space="0"/>
                  </w:tcBorders>
                  <w:shd w:val="clear" w:color="auto" w:fill="auto"/>
                  <w:vAlign w:val="center"/>
                </w:tcPr>
                <w:p w14:paraId="07F307E5">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本项目属于光伏发电项目，属于电力设施建设，保障供电需求</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14:paraId="080A643A">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符合</w:t>
                  </w:r>
                </w:p>
              </w:tc>
            </w:tr>
            <w:tr w14:paraId="370D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180" w:type="pct"/>
                  <w:tcBorders>
                    <w:top w:val="single" w:color="auto" w:sz="4" w:space="0"/>
                    <w:left w:val="single" w:color="auto" w:sz="4" w:space="0"/>
                    <w:bottom w:val="single" w:color="auto" w:sz="4" w:space="0"/>
                    <w:right w:val="single" w:color="auto" w:sz="4" w:space="0"/>
                  </w:tcBorders>
                  <w:shd w:val="clear" w:color="auto" w:fill="auto"/>
                  <w:vAlign w:val="center"/>
                </w:tcPr>
                <w:p w14:paraId="0591E6FA">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4</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62378BBB">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按照项目类别及实施时间，对重点项目进行分类分级。优先保障民生以及基础设施类项目。</w:t>
                  </w:r>
                </w:p>
              </w:tc>
              <w:tc>
                <w:tcPr>
                  <w:tcW w:w="1721" w:type="pct"/>
                  <w:tcBorders>
                    <w:top w:val="single" w:color="auto" w:sz="4" w:space="0"/>
                    <w:left w:val="single" w:color="auto" w:sz="4" w:space="0"/>
                    <w:bottom w:val="single" w:color="auto" w:sz="4" w:space="0"/>
                    <w:right w:val="single" w:color="auto" w:sz="4" w:space="0"/>
                  </w:tcBorders>
                  <w:shd w:val="clear" w:color="auto" w:fill="auto"/>
                  <w:vAlign w:val="center"/>
                </w:tcPr>
                <w:p w14:paraId="2631D7B9">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本项目属于《河北省发展和改革委员会关于下达河北省2023年风电、光伏发电年度开发建设方案的通知》中的保障类项目，属于优先保障民生以及基础设施类项目</w:t>
                  </w:r>
                </w:p>
              </w:tc>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14:paraId="4877A1A2">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符合</w:t>
                  </w:r>
                </w:p>
              </w:tc>
            </w:tr>
          </w:tbl>
          <w:p w14:paraId="21ED85BC">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综上所述，本项目建设符合遵化市国土空间总体规划》（2021-2035年）相关要求。</w:t>
            </w:r>
          </w:p>
        </w:tc>
      </w:tr>
      <w:tr w14:paraId="6502D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250" w:type="dxa"/>
            <w:tcMar>
              <w:top w:w="16" w:type="dxa"/>
              <w:left w:w="16" w:type="dxa"/>
              <w:right w:w="16" w:type="dxa"/>
            </w:tcMar>
            <w:vAlign w:val="center"/>
          </w:tcPr>
          <w:p w14:paraId="46CBC919">
            <w:pPr>
              <w:autoSpaceDE w:val="0"/>
              <w:autoSpaceDN w:val="0"/>
              <w:adjustRightInd w:val="0"/>
              <w:snapToGrid w:val="0"/>
              <w:spacing w:line="360" w:lineRule="exact"/>
              <w:jc w:val="center"/>
              <w:rPr>
                <w:rFonts w:ascii="宋体" w:hAnsi="宋体"/>
                <w:color w:val="000000" w:themeColor="text1"/>
                <w:kern w:val="0"/>
                <w:sz w:val="24"/>
                <w14:textFill>
                  <w14:solidFill>
                    <w14:schemeClr w14:val="tx1"/>
                  </w14:solidFill>
                </w14:textFill>
              </w:rPr>
            </w:pPr>
            <w:bookmarkStart w:id="6" w:name="_Hlk56690880"/>
            <w:r>
              <w:rPr>
                <w:rFonts w:hint="eastAsia" w:ascii="宋体" w:hAnsi="宋体"/>
                <w:color w:val="000000" w:themeColor="text1"/>
                <w:kern w:val="0"/>
                <w:sz w:val="24"/>
                <w14:textFill>
                  <w14:solidFill>
                    <w14:schemeClr w14:val="tx1"/>
                  </w14:solidFill>
                </w14:textFill>
              </w:rPr>
              <w:t>其</w:t>
            </w:r>
            <w:r>
              <w:rPr>
                <w:rFonts w:ascii="宋体" w:hAnsi="宋体"/>
                <w:color w:val="000000" w:themeColor="text1"/>
                <w:kern w:val="0"/>
                <w:sz w:val="24"/>
                <w14:textFill>
                  <w14:solidFill>
                    <w14:schemeClr w14:val="tx1"/>
                  </w14:solidFill>
                </w14:textFill>
              </w:rPr>
              <w:t>他符合性分析</w:t>
            </w:r>
          </w:p>
        </w:tc>
        <w:tc>
          <w:tcPr>
            <w:tcW w:w="7517" w:type="dxa"/>
            <w:gridSpan w:val="4"/>
            <w:tcMar>
              <w:top w:w="16" w:type="dxa"/>
              <w:left w:w="16" w:type="dxa"/>
              <w:right w:w="16" w:type="dxa"/>
            </w:tcMar>
            <w:vAlign w:val="center"/>
          </w:tcPr>
          <w:p w14:paraId="6FB15C6B">
            <w:pPr>
              <w:autoSpaceDE w:val="0"/>
              <w:autoSpaceDN w:val="0"/>
              <w:adjustRightInd w:val="0"/>
              <w:snapToGrid w:val="0"/>
              <w:spacing w:line="440" w:lineRule="exact"/>
              <w:ind w:firstLine="482" w:firstLineChars="200"/>
              <w:jc w:val="left"/>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1、产业政策符合性分析</w:t>
            </w:r>
          </w:p>
          <w:p w14:paraId="18848C71">
            <w:pPr>
              <w:autoSpaceDE w:val="0"/>
              <w:autoSpaceDN w:val="0"/>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项目对照《产业结构调整指导目录》（</w:t>
            </w:r>
            <w:r>
              <w:rPr>
                <w:color w:val="000000" w:themeColor="text1"/>
                <w:kern w:val="0"/>
                <w:sz w:val="24"/>
                <w:shd w:val="clear" w:color="auto" w:fill="FFFFFF" w:themeFill="background1"/>
                <w14:textFill>
                  <w14:solidFill>
                    <w14:schemeClr w14:val="tx1"/>
                  </w14:solidFill>
                </w14:textFill>
              </w:rPr>
              <w:t>20</w:t>
            </w:r>
            <w:r>
              <w:rPr>
                <w:rFonts w:hint="eastAsia"/>
                <w:color w:val="000000" w:themeColor="text1"/>
                <w:kern w:val="0"/>
                <w:sz w:val="24"/>
                <w:shd w:val="clear" w:color="auto" w:fill="FFFFFF" w:themeFill="background1"/>
                <w14:textFill>
                  <w14:solidFill>
                    <w14:schemeClr w14:val="tx1"/>
                  </w14:solidFill>
                </w14:textFill>
              </w:rPr>
              <w:t>24</w:t>
            </w:r>
            <w:r>
              <w:rPr>
                <w:color w:val="000000" w:themeColor="text1"/>
                <w:kern w:val="0"/>
                <w:sz w:val="24"/>
                <w:shd w:val="clear" w:color="auto" w:fill="FFFFFF" w:themeFill="background1"/>
                <w14:textFill>
                  <w14:solidFill>
                    <w14:schemeClr w14:val="tx1"/>
                  </w14:solidFill>
                </w14:textFill>
              </w:rPr>
              <w:t>年本</w:t>
            </w:r>
            <w:r>
              <w:rPr>
                <w:color w:val="000000" w:themeColor="text1"/>
                <w:kern w:val="0"/>
                <w:sz w:val="24"/>
                <w14:textFill>
                  <w14:solidFill>
                    <w14:schemeClr w14:val="tx1"/>
                  </w14:solidFill>
                </w14:textFill>
              </w:rPr>
              <w:t>），属于鼓励类“四、电力，10、电网改造与建设，增量配电网建设”。对照《市场准入负面清单（2022年版）》，本项目不在其禁止类之列。</w:t>
            </w:r>
            <w:r>
              <w:rPr>
                <w:rFonts w:hint="eastAsia"/>
                <w:color w:val="000000" w:themeColor="text1"/>
                <w:kern w:val="0"/>
                <w:sz w:val="24"/>
                <w14:textFill>
                  <w14:solidFill>
                    <w14:schemeClr w14:val="tx1"/>
                  </w14:solidFill>
                </w14:textFill>
              </w:rPr>
              <w:t>遵化市行政审批局</w:t>
            </w:r>
            <w:r>
              <w:rPr>
                <w:color w:val="000000" w:themeColor="text1"/>
                <w:kern w:val="0"/>
                <w:sz w:val="24"/>
                <w14:textFill>
                  <w14:solidFill>
                    <w14:schemeClr w14:val="tx1"/>
                  </w14:solidFill>
                </w14:textFill>
              </w:rPr>
              <w:t>已出具了本项目的备案信息（含升压站建设），备案编号为</w:t>
            </w:r>
            <w:r>
              <w:rPr>
                <w:rFonts w:hint="eastAsia"/>
                <w:color w:val="000000" w:themeColor="text1"/>
                <w:kern w:val="0"/>
                <w:sz w:val="24"/>
                <w14:textFill>
                  <w14:solidFill>
                    <w14:schemeClr w14:val="tx1"/>
                  </w14:solidFill>
                </w14:textFill>
              </w:rPr>
              <w:t>遵审投资备字[2024] 124号</w:t>
            </w:r>
            <w:r>
              <w:rPr>
                <w:color w:val="000000" w:themeColor="text1"/>
                <w:kern w:val="0"/>
                <w:sz w:val="24"/>
                <w14:textFill>
                  <w14:solidFill>
                    <w14:schemeClr w14:val="tx1"/>
                  </w14:solidFill>
                </w14:textFill>
              </w:rPr>
              <w:t>。</w:t>
            </w:r>
          </w:p>
          <w:p w14:paraId="04C02136">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综上所述，本项目符合产业政策要求。</w:t>
            </w:r>
          </w:p>
          <w:p w14:paraId="3CB5F680">
            <w:pPr>
              <w:autoSpaceDE w:val="0"/>
              <w:autoSpaceDN w:val="0"/>
              <w:adjustRightInd w:val="0"/>
              <w:snapToGrid w:val="0"/>
              <w:spacing w:line="440" w:lineRule="exact"/>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2、“三线一单”符合性分析</w:t>
            </w:r>
          </w:p>
          <w:p w14:paraId="3DF9402F">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w:t>
            </w:r>
            <w:r>
              <w:rPr>
                <w:color w:val="000000" w:themeColor="text1"/>
                <w:kern w:val="0"/>
                <w:sz w:val="24"/>
                <w14:textFill>
                  <w14:solidFill>
                    <w14:schemeClr w14:val="tx1"/>
                  </w14:solidFill>
                </w14:textFill>
              </w:rPr>
              <w:t>根据《关于以改善环境质量为核心加强环境影响评价管理的通知》（环环评〔2016〕150号），其要求“落实生态保护红线、环境质量底线、资源利用上线和环境准入负面清单”（简称“三线一单”），本项目符合性分析如下：</w:t>
            </w:r>
          </w:p>
          <w:p w14:paraId="2C74F305">
            <w:pPr>
              <w:autoSpaceDE w:val="0"/>
              <w:autoSpaceDN w:val="0"/>
              <w:adjustRightInd w:val="0"/>
              <w:snapToGrid w:val="0"/>
              <w:spacing w:line="440" w:lineRule="exact"/>
              <w:ind w:firstLine="482" w:firstLineChars="200"/>
              <w:rPr>
                <w:rFonts w:eastAsiaTheme="minorEastAsia"/>
                <w:b/>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表1-2   “三线一单”符合性分析表</w:t>
            </w:r>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3796"/>
              <w:gridCol w:w="2793"/>
              <w:gridCol w:w="419"/>
            </w:tblGrid>
            <w:tr w14:paraId="2CD6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 w:type="pct"/>
                  <w:vAlign w:val="center"/>
                </w:tcPr>
                <w:p w14:paraId="5F20E7FB">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2538" w:type="pct"/>
                  <w:vAlign w:val="center"/>
                </w:tcPr>
                <w:p w14:paraId="619AA74A">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管理要求</w:t>
                  </w:r>
                </w:p>
              </w:tc>
              <w:tc>
                <w:tcPr>
                  <w:tcW w:w="1867" w:type="pct"/>
                  <w:vAlign w:val="center"/>
                </w:tcPr>
                <w:p w14:paraId="43B8F629">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项目情况</w:t>
                  </w:r>
                </w:p>
              </w:tc>
              <w:tc>
                <w:tcPr>
                  <w:tcW w:w="280" w:type="pct"/>
                  <w:vAlign w:val="center"/>
                </w:tcPr>
                <w:p w14:paraId="7AD9B336">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符合性</w:t>
                  </w:r>
                </w:p>
              </w:tc>
            </w:tr>
            <w:tr w14:paraId="5B8A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313" w:type="pct"/>
                  <w:vAlign w:val="center"/>
                </w:tcPr>
                <w:p w14:paraId="25C3A46D">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2538" w:type="pct"/>
                </w:tcPr>
                <w:p w14:paraId="71A04323">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w:t>
                  </w:r>
                </w:p>
              </w:tc>
              <w:tc>
                <w:tcPr>
                  <w:tcW w:w="1867" w:type="pct"/>
                  <w:vAlign w:val="center"/>
                </w:tcPr>
                <w:p w14:paraId="4101FA4B">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本项目建设不在生态红线范围内，线路架空穿越生态红线</w:t>
                  </w:r>
                </w:p>
              </w:tc>
              <w:tc>
                <w:tcPr>
                  <w:tcW w:w="280" w:type="pct"/>
                  <w:vAlign w:val="center"/>
                </w:tcPr>
                <w:p w14:paraId="4BB2E989">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3A3E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3" w:type="pct"/>
                  <w:vAlign w:val="center"/>
                </w:tcPr>
                <w:p w14:paraId="2529B1FE">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2538" w:type="pct"/>
                </w:tcPr>
                <w:p w14:paraId="57A4A9DB">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867" w:type="pct"/>
                </w:tcPr>
                <w:p w14:paraId="07CA74CE">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施工期大气影响主要为变电站及线路施工过程产生的扬尘。通过合理安排施工期、洒水抑尘、及时回填尽快恢复植被等防治措施后，施工扬尘对周边空气环境影响较小；施工车辆冲洗废水经过沉淀、隔油处理后重复回用于冲洗等工序，生活污水设计临时防渗旱厕，施工人员生活污水全部排入站区的防渗旱厕，定期清掏，不外排；固体废物均妥善处理。项目产生的污染物采取相应措施后满足环境质量标准，符合环境质量底线要求。</w:t>
                  </w:r>
                </w:p>
              </w:tc>
              <w:tc>
                <w:tcPr>
                  <w:tcW w:w="280" w:type="pct"/>
                  <w:vAlign w:val="center"/>
                </w:tcPr>
                <w:p w14:paraId="550B1AFE">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2602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313" w:type="pct"/>
                  <w:vAlign w:val="center"/>
                </w:tcPr>
                <w:p w14:paraId="645CC39C">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2538" w:type="pct"/>
                </w:tcPr>
                <w:p w14:paraId="3C987FF5">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源是环境的载体，资源利用上线是各地区能源、水、土地等资源消耗不得突破的“天花板”。相关规划环评应依据有关资源利用上线，对规划实施以及规划内项目资源开发利用，区分不同行业，从能源资源开发等量或减量替代、开采方式和规模控制、利用效率和保护措施等方面提出建议，为规划编制和审批决策提供重要依据。</w:t>
                  </w:r>
                </w:p>
              </w:tc>
              <w:tc>
                <w:tcPr>
                  <w:tcW w:w="1867" w:type="pct"/>
                </w:tcPr>
                <w:p w14:paraId="297B0260">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太阳能发电项目。项目施工期和运营期用水就近从附近村庄引水；施工电源考虑由附近村附近已有10kV架空线路就近引接。运营期站用电源采用一主一备，两路电源互为备用。项目资源利用较少，符合资源利用上线要求。</w:t>
                  </w:r>
                </w:p>
              </w:tc>
              <w:tc>
                <w:tcPr>
                  <w:tcW w:w="280" w:type="pct"/>
                  <w:vAlign w:val="center"/>
                </w:tcPr>
                <w:p w14:paraId="00D24341">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4307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3" w:type="pct"/>
                  <w:vAlign w:val="center"/>
                </w:tcPr>
                <w:p w14:paraId="03854A98">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2538" w:type="pct"/>
                </w:tcPr>
                <w:p w14:paraId="19C4278E">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867" w:type="pct"/>
                </w:tcPr>
                <w:p w14:paraId="4A8EDAC1">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本项目为“四十一、电力、热力生产和供应业”中“90 太阳能发电4416（不含居民家用光伏发电）”，未在环境准入负面清单内</w:t>
                  </w:r>
                </w:p>
              </w:tc>
              <w:tc>
                <w:tcPr>
                  <w:tcW w:w="280" w:type="pct"/>
                  <w:vAlign w:val="center"/>
                </w:tcPr>
                <w:p w14:paraId="4171CCE2">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14:paraId="2611A954">
            <w:pPr>
              <w:pStyle w:val="46"/>
              <w:rPr>
                <w:color w:val="000000" w:themeColor="text1"/>
                <w:kern w:val="0"/>
                <w:sz w:val="24"/>
                <w14:textFill>
                  <w14:solidFill>
                    <w14:schemeClr w14:val="tx1"/>
                  </w14:solidFill>
                </w14:textFill>
              </w:rPr>
            </w:pPr>
          </w:p>
        </w:tc>
      </w:tr>
    </w:tbl>
    <w:p w14:paraId="1D15879F">
      <w:pPr>
        <w:autoSpaceDE w:val="0"/>
        <w:autoSpaceDN w:val="0"/>
        <w:adjustRightInd w:val="0"/>
        <w:snapToGrid w:val="0"/>
        <w:spacing w:line="360" w:lineRule="exact"/>
        <w:ind w:firstLine="480"/>
        <w:jc w:val="center"/>
        <w:rPr>
          <w:rFonts w:ascii="宋体" w:hAnsi="宋体"/>
          <w:color w:val="000000" w:themeColor="text1"/>
          <w:kern w:val="0"/>
          <w:sz w:val="24"/>
          <w14:textFill>
            <w14:solidFill>
              <w14:schemeClr w14:val="tx1"/>
            </w14:solidFill>
          </w14:textFill>
        </w:rPr>
        <w:sectPr>
          <w:footerReference r:id="rId6" w:type="default"/>
          <w:pgSz w:w="11906" w:h="16838"/>
          <w:pgMar w:top="1701" w:right="1531" w:bottom="1701" w:left="1531" w:header="851" w:footer="1077" w:gutter="0"/>
          <w:pgNumType w:start="1"/>
          <w:cols w:space="720" w:num="1"/>
          <w:docGrid w:linePitch="312" w:charSpace="0"/>
        </w:sectPr>
      </w:pPr>
    </w:p>
    <w:p w14:paraId="3C8F66A2">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由表可知，本项目符合《关于以改善环境质量为核心加强环境影响评价管理的通知》（环环评〔2016〕150号）的环境管理要求。</w:t>
      </w:r>
    </w:p>
    <w:p w14:paraId="56660050">
      <w:pPr>
        <w:autoSpaceDE w:val="0"/>
        <w:autoSpaceDN w:val="0"/>
        <w:adjustRightInd w:val="0"/>
        <w:snapToGrid w:val="0"/>
        <w:spacing w:line="440" w:lineRule="exact"/>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（2）与《唐山市人民政府关于实施“三线一单”生态环境分区管控的意见》以及《唐山市生态环境准入清单》（2023年版）符合性分析</w:t>
      </w:r>
    </w:p>
    <w:p w14:paraId="09BE3E09">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根据《唐山市人民政府关于实施“三线一单”生态环境分区管控的意见》，本项目位于“ZH13028110001遵化市铁厂镇优先保护单元”内。</w:t>
      </w:r>
    </w:p>
    <w:p w14:paraId="76B3CB80">
      <w:pPr>
        <w:autoSpaceDE w:val="0"/>
        <w:autoSpaceDN w:val="0"/>
        <w:adjustRightInd w:val="0"/>
        <w:spacing w:line="440" w:lineRule="exact"/>
        <w:ind w:firstLine="482" w:firstLineChars="200"/>
        <w:rPr>
          <w:rFonts w:eastAsiaTheme="minorEastAsia"/>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表1-3   唐山市生态环境全市总体准入要求符合性分析</w:t>
      </w:r>
    </w:p>
    <w:tbl>
      <w:tblPr>
        <w:tblStyle w:val="6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78"/>
        <w:gridCol w:w="707"/>
        <w:gridCol w:w="8341"/>
        <w:gridCol w:w="2678"/>
        <w:gridCol w:w="920"/>
      </w:tblGrid>
      <w:tr w14:paraId="50F0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Align w:val="center"/>
          </w:tcPr>
          <w:p w14:paraId="0D7588F3">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属性</w:t>
            </w:r>
          </w:p>
        </w:tc>
        <w:tc>
          <w:tcPr>
            <w:tcW w:w="361" w:type="pct"/>
            <w:gridSpan w:val="2"/>
            <w:vAlign w:val="center"/>
          </w:tcPr>
          <w:p w14:paraId="0FBD40E5">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管控类别</w:t>
            </w:r>
          </w:p>
        </w:tc>
        <w:tc>
          <w:tcPr>
            <w:tcW w:w="3054" w:type="pct"/>
            <w:vAlign w:val="center"/>
          </w:tcPr>
          <w:p w14:paraId="0A88FC80">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管控措施</w:t>
            </w:r>
          </w:p>
        </w:tc>
        <w:tc>
          <w:tcPr>
            <w:tcW w:w="980" w:type="pct"/>
            <w:vAlign w:val="center"/>
          </w:tcPr>
          <w:p w14:paraId="684EDB96">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本项目符合性分析</w:t>
            </w:r>
          </w:p>
        </w:tc>
        <w:tc>
          <w:tcPr>
            <w:tcW w:w="337" w:type="pct"/>
            <w:vAlign w:val="center"/>
          </w:tcPr>
          <w:p w14:paraId="6B9D1D88">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符合性</w:t>
            </w:r>
          </w:p>
        </w:tc>
      </w:tr>
      <w:tr w14:paraId="3D00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restart"/>
            <w:vAlign w:val="center"/>
          </w:tcPr>
          <w:p w14:paraId="0F4B633D">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生态保护红线区</w:t>
            </w:r>
          </w:p>
        </w:tc>
        <w:tc>
          <w:tcPr>
            <w:tcW w:w="102" w:type="pct"/>
            <w:vMerge w:val="restart"/>
            <w:vAlign w:val="center"/>
          </w:tcPr>
          <w:p w14:paraId="32EF40A2">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空间布局要求</w:t>
            </w:r>
          </w:p>
        </w:tc>
        <w:tc>
          <w:tcPr>
            <w:tcW w:w="259" w:type="pct"/>
            <w:vAlign w:val="center"/>
          </w:tcPr>
          <w:p w14:paraId="05CF716B">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禁止类管控要求</w:t>
            </w:r>
          </w:p>
        </w:tc>
        <w:tc>
          <w:tcPr>
            <w:tcW w:w="3054" w:type="pct"/>
            <w:vAlign w:val="center"/>
          </w:tcPr>
          <w:p w14:paraId="26EBE5D3">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保护红线原则上按禁止开发区域的要求进行管理。严禁不符合主体功能定位的各类开发活动，严禁任意改变用途。生态保护红线一经划定，未经批准，严禁擅自调整。根据资源环境承载能力监测、生态保护重要性评价和国土空间规划实施“五年一评估”情况，可由省级人民政府编制生态保护红线局部调整方案，纳入国土空间规划修改方案报国务院批准，并抄送生态环境部。自然保护地边界发生调整的，省级自然资源主管部门依据批准文件，对生态保护红线作相应调整，更新国土空间规划“一张图”。已依法设立的油气探矿权拟转采矿权的，按有关规定由省级自然资源主管部门会同相关部门明确开采拟占用地表或海域范围，并对生态保护红线作相应调整，更新国土空间规划“一张图”。更新后的国土空间规划“一张图”，与省级生态环境部门信息共享</w:t>
            </w:r>
          </w:p>
        </w:tc>
        <w:tc>
          <w:tcPr>
            <w:tcW w:w="980" w:type="pct"/>
            <w:vAlign w:val="center"/>
          </w:tcPr>
          <w:p w14:paraId="5F23CA61">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21663F62">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0420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 w:type="pct"/>
            <w:vMerge w:val="continue"/>
            <w:vAlign w:val="center"/>
          </w:tcPr>
          <w:p w14:paraId="41EA4F02">
            <w:pPr>
              <w:tabs>
                <w:tab w:val="left" w:pos="655"/>
              </w:tabs>
              <w:spacing w:line="360" w:lineRule="exact"/>
              <w:jc w:val="center"/>
              <w:rPr>
                <w:color w:val="000000" w:themeColor="text1"/>
                <w:szCs w:val="21"/>
                <w14:textFill>
                  <w14:solidFill>
                    <w14:schemeClr w14:val="tx1"/>
                  </w14:solidFill>
                </w14:textFill>
              </w:rPr>
            </w:pPr>
          </w:p>
        </w:tc>
        <w:tc>
          <w:tcPr>
            <w:tcW w:w="102" w:type="pct"/>
            <w:vMerge w:val="continue"/>
            <w:vAlign w:val="center"/>
          </w:tcPr>
          <w:p w14:paraId="6939FD7C">
            <w:pPr>
              <w:tabs>
                <w:tab w:val="left" w:pos="655"/>
              </w:tabs>
              <w:spacing w:line="360" w:lineRule="exact"/>
              <w:jc w:val="center"/>
              <w:rPr>
                <w:color w:val="000000" w:themeColor="text1"/>
                <w:szCs w:val="21"/>
                <w14:textFill>
                  <w14:solidFill>
                    <w14:schemeClr w14:val="tx1"/>
                  </w14:solidFill>
                </w14:textFill>
              </w:rPr>
            </w:pPr>
          </w:p>
        </w:tc>
        <w:tc>
          <w:tcPr>
            <w:tcW w:w="259" w:type="pct"/>
            <w:vAlign w:val="center"/>
          </w:tcPr>
          <w:p w14:paraId="37F65EB8">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限制类管控要求</w:t>
            </w:r>
          </w:p>
        </w:tc>
        <w:tc>
          <w:tcPr>
            <w:tcW w:w="3054" w:type="pct"/>
            <w:vAlign w:val="center"/>
          </w:tcPr>
          <w:p w14:paraId="382BF8D5">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保护红线内自然保护地核心保护区外，禁止开发性、生产性建设活动，在符合法律法规的前提下，仅允许以下10类对生态功能不造成破坏的有限人为活动。生态保护红线内自然保护区、风景名胜区、饮用水水源保护区等区域，依照法律法规执行。</w:t>
            </w:r>
          </w:p>
          <w:p w14:paraId="6275CC9A">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（1）管护巡护、保护执法、科学研究、调查监测、测绘导航、防灾减灾救灾、军事国防、疫情防控等活动及相关的必要设施修筑。</w:t>
            </w:r>
          </w:p>
          <w:p w14:paraId="2E70A423">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684F1A85">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（3）经依法批准的考古调查发掘、古生物化石调查发掘、标本采集和文物保护活动。</w:t>
            </w:r>
          </w:p>
          <w:p w14:paraId="0FB56284">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（4）按规定对人工商品林进行抚育采伐，或以提升森林质量、优化栖息地、建设生物防火隔离带等为目的的树种更新，依法开展的竹林采伐经营。</w:t>
            </w:r>
          </w:p>
          <w:p w14:paraId="5AA8CCD5">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（5）不破坏生态功能的适度参观旅游、科普宣教及符合相关规划的配套性服务设施和相关的必要公共设施建设及维护。</w:t>
            </w:r>
          </w:p>
          <w:p w14:paraId="65272294">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（6）必须且无法避让、符合县级以上国土空间规划的线性基础设施、通讯和防洪、供水设施建设和船舶航行、航道疏浚清淤等活动；已有的合法水利、交通运输等设施运行维护改造。</w:t>
            </w:r>
          </w:p>
          <w:p w14:paraId="5F234869">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（7）地质调查与矿产资源勘查开采。[具体开采活动，详见《自然资源部 生态环境部 国家林业和草原局关于加强生态保护红线管理的通知（试行）》（自然资发〔2022〕142 号）]。上述勘查开采活动，应落实减缓生态环境影响措施，严格执行绿色勘查、开采及矿山环境生态修复相关要求。</w:t>
            </w:r>
          </w:p>
          <w:p w14:paraId="551E1A45">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（8）依据县级以上国土空间规划和生态保护修复专项规划开展的生态修复。</w:t>
            </w:r>
          </w:p>
          <w:p w14:paraId="2F60EE03">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（9）根据我国相关法律法规和与邻国签署的国界管理制度协定（条约）开展的边界边境通视道清理以及界务工程的修建、维护和拆除工作。</w:t>
            </w:r>
          </w:p>
          <w:p w14:paraId="12D2DDAA">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法律法规规定允许的其他人为活动。开展上述活动时禁止新增填海造地和新增围海。上述活动涉及利用无居民海岛的，原则上仅允许按照相关规定对海岛自然岸线、表面积、岛体、植被改变轻微的低影响利用方式。上述允许的有限人为活动之外，确需占用生态保护红线的国家重大项目，按照《自然资源部 生态环境部国家林业和草原局关于加强生态保护红线管理的通知（试行）》（自然资发〔2022〕142号）规定办理用地用海用岛审批。</w:t>
            </w:r>
          </w:p>
        </w:tc>
        <w:tc>
          <w:tcPr>
            <w:tcW w:w="980" w:type="pct"/>
            <w:vAlign w:val="center"/>
          </w:tcPr>
          <w:p w14:paraId="66C5D3DB">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2A9424C4">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43FD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265" w:type="pct"/>
            <w:vMerge w:val="restart"/>
            <w:vAlign w:val="center"/>
          </w:tcPr>
          <w:p w14:paraId="54391636">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一般生态空间</w:t>
            </w:r>
          </w:p>
        </w:tc>
        <w:tc>
          <w:tcPr>
            <w:tcW w:w="102" w:type="pct"/>
            <w:vMerge w:val="restart"/>
            <w:vAlign w:val="center"/>
          </w:tcPr>
          <w:p w14:paraId="607430C8">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总体要求</w:t>
            </w:r>
          </w:p>
        </w:tc>
        <w:tc>
          <w:tcPr>
            <w:tcW w:w="259" w:type="pct"/>
            <w:vMerge w:val="restart"/>
            <w:vAlign w:val="center"/>
          </w:tcPr>
          <w:p w14:paraId="2BE136D1">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空间布局约束</w:t>
            </w:r>
          </w:p>
        </w:tc>
        <w:tc>
          <w:tcPr>
            <w:tcW w:w="3054" w:type="pct"/>
            <w:vAlign w:val="center"/>
          </w:tcPr>
          <w:p w14:paraId="4E497134">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根据生态功能保护区的资源禀赋、环境容量，合理确定区域产业发展方向，限制高污染、高能耗、高物耗产业的发展。要依法淘汰严重污染环境、严重破坏区域生态、严重浪费资源能源的产业，要依法关闭破坏资源、污染环境和损害生态系统功能的企业。</w:t>
            </w:r>
          </w:p>
        </w:tc>
        <w:tc>
          <w:tcPr>
            <w:tcW w:w="980" w:type="pct"/>
            <w:vAlign w:val="center"/>
          </w:tcPr>
          <w:p w14:paraId="023CB47E">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本项目为光伏发电项目，属于再生能源项目，不属于高污染、高能耗、高物耗产业</w:t>
            </w:r>
          </w:p>
        </w:tc>
        <w:tc>
          <w:tcPr>
            <w:tcW w:w="337" w:type="pct"/>
            <w:vAlign w:val="center"/>
          </w:tcPr>
          <w:p w14:paraId="5C7529DF">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4B249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20E84D3F">
            <w:pPr>
              <w:tabs>
                <w:tab w:val="left" w:pos="655"/>
              </w:tabs>
              <w:spacing w:line="360" w:lineRule="exact"/>
              <w:jc w:val="center"/>
              <w:rPr>
                <w:color w:val="000000" w:themeColor="text1"/>
                <w:szCs w:val="21"/>
                <w14:textFill>
                  <w14:solidFill>
                    <w14:schemeClr w14:val="tx1"/>
                  </w14:solidFill>
                </w14:textFill>
              </w:rPr>
            </w:pPr>
          </w:p>
        </w:tc>
        <w:tc>
          <w:tcPr>
            <w:tcW w:w="102" w:type="pct"/>
            <w:vMerge w:val="continue"/>
            <w:vAlign w:val="center"/>
          </w:tcPr>
          <w:p w14:paraId="5B3DCC6B">
            <w:pPr>
              <w:tabs>
                <w:tab w:val="left" w:pos="655"/>
              </w:tabs>
              <w:spacing w:line="360" w:lineRule="exact"/>
              <w:jc w:val="center"/>
              <w:rPr>
                <w:color w:val="000000" w:themeColor="text1"/>
                <w:szCs w:val="21"/>
                <w14:textFill>
                  <w14:solidFill>
                    <w14:schemeClr w14:val="tx1"/>
                  </w14:solidFill>
                </w14:textFill>
              </w:rPr>
            </w:pPr>
          </w:p>
        </w:tc>
        <w:tc>
          <w:tcPr>
            <w:tcW w:w="259" w:type="pct"/>
            <w:vMerge w:val="continue"/>
            <w:vAlign w:val="center"/>
          </w:tcPr>
          <w:p w14:paraId="26849619">
            <w:pPr>
              <w:tabs>
                <w:tab w:val="left" w:pos="655"/>
              </w:tabs>
              <w:spacing w:line="360" w:lineRule="exact"/>
              <w:jc w:val="center"/>
              <w:rPr>
                <w:color w:val="000000" w:themeColor="text1"/>
                <w:szCs w:val="21"/>
                <w14:textFill>
                  <w14:solidFill>
                    <w14:schemeClr w14:val="tx1"/>
                  </w14:solidFill>
                </w14:textFill>
              </w:rPr>
            </w:pPr>
          </w:p>
        </w:tc>
        <w:tc>
          <w:tcPr>
            <w:tcW w:w="3054" w:type="pct"/>
            <w:vAlign w:val="center"/>
          </w:tcPr>
          <w:p w14:paraId="3986D23A">
            <w:pPr>
              <w:tabs>
                <w:tab w:val="left" w:pos="655"/>
              </w:tabs>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应当按照限制性开发区域管理，限制进行大规模高强度工业化城镇化开发，以保持并提高生态产品供给能力。形成点状开发、面上保护的空间结构。开发强度得到有效控制，保有大片开敞生态空间，水面、湿地、林地、草地等绿色生态空间扩大，人类活动水平的空间控制在目前水平。</w:t>
            </w:r>
          </w:p>
        </w:tc>
        <w:tc>
          <w:tcPr>
            <w:tcW w:w="980" w:type="pct"/>
            <w:vAlign w:val="center"/>
          </w:tcPr>
          <w:p w14:paraId="72A43DCC">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本项目为光伏发电项目，不属于</w:t>
            </w:r>
            <w:r>
              <w:rPr>
                <w:rFonts w:hint="eastAsia"/>
                <w:color w:val="000000" w:themeColor="text1"/>
                <w14:textFill>
                  <w14:solidFill>
                    <w14:schemeClr w14:val="tx1"/>
                  </w14:solidFill>
                </w14:textFill>
              </w:rPr>
              <w:t>大规模高强度工业化</w:t>
            </w:r>
          </w:p>
        </w:tc>
        <w:tc>
          <w:tcPr>
            <w:tcW w:w="337" w:type="pct"/>
            <w:vAlign w:val="center"/>
          </w:tcPr>
          <w:p w14:paraId="4C256CFE">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0E02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5D837EB9">
            <w:pPr>
              <w:tabs>
                <w:tab w:val="left" w:pos="655"/>
              </w:tabs>
              <w:spacing w:line="360" w:lineRule="exact"/>
              <w:jc w:val="center"/>
              <w:rPr>
                <w:color w:val="000000" w:themeColor="text1"/>
                <w:szCs w:val="21"/>
                <w14:textFill>
                  <w14:solidFill>
                    <w14:schemeClr w14:val="tx1"/>
                  </w14:solidFill>
                </w14:textFill>
              </w:rPr>
            </w:pPr>
          </w:p>
        </w:tc>
        <w:tc>
          <w:tcPr>
            <w:tcW w:w="102" w:type="pct"/>
            <w:vMerge w:val="continue"/>
            <w:vAlign w:val="center"/>
          </w:tcPr>
          <w:p w14:paraId="6E6BFF86">
            <w:pPr>
              <w:tabs>
                <w:tab w:val="left" w:pos="655"/>
              </w:tabs>
              <w:spacing w:line="360" w:lineRule="exact"/>
              <w:jc w:val="center"/>
              <w:rPr>
                <w:color w:val="000000" w:themeColor="text1"/>
                <w:szCs w:val="21"/>
                <w14:textFill>
                  <w14:solidFill>
                    <w14:schemeClr w14:val="tx1"/>
                  </w14:solidFill>
                </w14:textFill>
              </w:rPr>
            </w:pPr>
          </w:p>
        </w:tc>
        <w:tc>
          <w:tcPr>
            <w:tcW w:w="259" w:type="pct"/>
            <w:vMerge w:val="continue"/>
            <w:vAlign w:val="center"/>
          </w:tcPr>
          <w:p w14:paraId="5CB9128F">
            <w:pPr>
              <w:tabs>
                <w:tab w:val="left" w:pos="655"/>
              </w:tabs>
              <w:spacing w:line="360" w:lineRule="exact"/>
              <w:jc w:val="center"/>
              <w:rPr>
                <w:color w:val="000000" w:themeColor="text1"/>
                <w:szCs w:val="21"/>
                <w14:textFill>
                  <w14:solidFill>
                    <w14:schemeClr w14:val="tx1"/>
                  </w14:solidFill>
                </w14:textFill>
              </w:rPr>
            </w:pPr>
          </w:p>
        </w:tc>
        <w:tc>
          <w:tcPr>
            <w:tcW w:w="3054" w:type="pct"/>
            <w:vAlign w:val="center"/>
          </w:tcPr>
          <w:p w14:paraId="47672608">
            <w:pPr>
              <w:tabs>
                <w:tab w:val="left" w:pos="655"/>
              </w:tabs>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3、区域内要严格开发区管理，原则上不再新建各类开发区和扩大现有工业开发区的面积，已有的工业开发区要逐步改造成低消耗、可循环、少排放、“零污染”的生态型工业区。</w:t>
            </w:r>
          </w:p>
        </w:tc>
        <w:tc>
          <w:tcPr>
            <w:tcW w:w="980" w:type="pct"/>
            <w:vAlign w:val="center"/>
          </w:tcPr>
          <w:p w14:paraId="497D7FB5">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30D97523">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54C7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3C0F20DC">
            <w:pPr>
              <w:tabs>
                <w:tab w:val="left" w:pos="655"/>
              </w:tabs>
              <w:spacing w:line="360" w:lineRule="exact"/>
              <w:jc w:val="center"/>
              <w:rPr>
                <w:color w:val="000000" w:themeColor="text1"/>
                <w:szCs w:val="21"/>
                <w14:textFill>
                  <w14:solidFill>
                    <w14:schemeClr w14:val="tx1"/>
                  </w14:solidFill>
                </w14:textFill>
              </w:rPr>
            </w:pPr>
          </w:p>
        </w:tc>
        <w:tc>
          <w:tcPr>
            <w:tcW w:w="102" w:type="pct"/>
            <w:vMerge w:val="continue"/>
            <w:vAlign w:val="center"/>
          </w:tcPr>
          <w:p w14:paraId="0E18B61F">
            <w:pPr>
              <w:tabs>
                <w:tab w:val="left" w:pos="655"/>
              </w:tabs>
              <w:spacing w:line="360" w:lineRule="exact"/>
              <w:jc w:val="center"/>
              <w:rPr>
                <w:color w:val="000000" w:themeColor="text1"/>
                <w:szCs w:val="21"/>
                <w14:textFill>
                  <w14:solidFill>
                    <w14:schemeClr w14:val="tx1"/>
                  </w14:solidFill>
                </w14:textFill>
              </w:rPr>
            </w:pPr>
          </w:p>
        </w:tc>
        <w:tc>
          <w:tcPr>
            <w:tcW w:w="259" w:type="pct"/>
            <w:vMerge w:val="continue"/>
            <w:vAlign w:val="center"/>
          </w:tcPr>
          <w:p w14:paraId="181FACEA">
            <w:pPr>
              <w:tabs>
                <w:tab w:val="left" w:pos="655"/>
              </w:tabs>
              <w:spacing w:line="360" w:lineRule="exact"/>
              <w:jc w:val="center"/>
              <w:rPr>
                <w:color w:val="000000" w:themeColor="text1"/>
                <w:szCs w:val="21"/>
                <w14:textFill>
                  <w14:solidFill>
                    <w14:schemeClr w14:val="tx1"/>
                  </w14:solidFill>
                </w14:textFill>
              </w:rPr>
            </w:pPr>
          </w:p>
        </w:tc>
        <w:tc>
          <w:tcPr>
            <w:tcW w:w="3054" w:type="pct"/>
            <w:vAlign w:val="center"/>
          </w:tcPr>
          <w:p w14:paraId="18004009">
            <w:pPr>
              <w:tabs>
                <w:tab w:val="left" w:pos="655"/>
              </w:tabs>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4、严格控制矿产资源开发。禁止在生态保护红线内、永久基本农田、城镇开发边界内、自然保护区、风景名胜区、饮用水水源保护区、地质遗迹保护区、文物保护单位的保护范围内和铁路高速公路国道两侧各1000米范围内新批固体矿产资源开发项目，严格控制新批液体、气体矿产资源开发项目。</w:t>
            </w:r>
          </w:p>
        </w:tc>
        <w:tc>
          <w:tcPr>
            <w:tcW w:w="980" w:type="pct"/>
            <w:vAlign w:val="center"/>
          </w:tcPr>
          <w:p w14:paraId="088D5D22">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775E4B55">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0C00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6BD88D57">
            <w:pPr>
              <w:tabs>
                <w:tab w:val="left" w:pos="655"/>
              </w:tabs>
              <w:spacing w:line="360" w:lineRule="exact"/>
              <w:jc w:val="center"/>
              <w:rPr>
                <w:color w:val="000000" w:themeColor="text1"/>
                <w:szCs w:val="21"/>
                <w14:textFill>
                  <w14:solidFill>
                    <w14:schemeClr w14:val="tx1"/>
                  </w14:solidFill>
                </w14:textFill>
              </w:rPr>
            </w:pPr>
          </w:p>
        </w:tc>
        <w:tc>
          <w:tcPr>
            <w:tcW w:w="102" w:type="pct"/>
            <w:vMerge w:val="continue"/>
            <w:vAlign w:val="center"/>
          </w:tcPr>
          <w:p w14:paraId="2E333A2A">
            <w:pPr>
              <w:tabs>
                <w:tab w:val="left" w:pos="655"/>
              </w:tabs>
              <w:spacing w:line="360" w:lineRule="exact"/>
              <w:jc w:val="center"/>
              <w:rPr>
                <w:color w:val="000000" w:themeColor="text1"/>
                <w:szCs w:val="21"/>
                <w14:textFill>
                  <w14:solidFill>
                    <w14:schemeClr w14:val="tx1"/>
                  </w14:solidFill>
                </w14:textFill>
              </w:rPr>
            </w:pPr>
          </w:p>
        </w:tc>
        <w:tc>
          <w:tcPr>
            <w:tcW w:w="259" w:type="pct"/>
            <w:vMerge w:val="continue"/>
            <w:vAlign w:val="center"/>
          </w:tcPr>
          <w:p w14:paraId="5E43EE86">
            <w:pPr>
              <w:tabs>
                <w:tab w:val="left" w:pos="655"/>
              </w:tabs>
              <w:spacing w:line="360" w:lineRule="exact"/>
              <w:jc w:val="center"/>
              <w:rPr>
                <w:color w:val="000000" w:themeColor="text1"/>
                <w:szCs w:val="21"/>
                <w14:textFill>
                  <w14:solidFill>
                    <w14:schemeClr w14:val="tx1"/>
                  </w14:solidFill>
                </w14:textFill>
              </w:rPr>
            </w:pPr>
          </w:p>
        </w:tc>
        <w:tc>
          <w:tcPr>
            <w:tcW w:w="3054" w:type="pct"/>
            <w:vAlign w:val="center"/>
          </w:tcPr>
          <w:p w14:paraId="4ADDD3C5">
            <w:pPr>
              <w:tabs>
                <w:tab w:val="left" w:pos="655"/>
              </w:tabs>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5、新建非煤矿山，应当按照绿色矿山建设规范建设。已有非煤矿山，应当按照绿色矿山建设规范升级改造，逐步达到绿色矿山建设标准。</w:t>
            </w:r>
          </w:p>
        </w:tc>
        <w:tc>
          <w:tcPr>
            <w:tcW w:w="980" w:type="pct"/>
            <w:vAlign w:val="center"/>
          </w:tcPr>
          <w:p w14:paraId="3E57030B">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0547E208">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5A0D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44A1CC9E">
            <w:pPr>
              <w:tabs>
                <w:tab w:val="left" w:pos="655"/>
              </w:tabs>
              <w:spacing w:line="360" w:lineRule="exact"/>
              <w:jc w:val="center"/>
              <w:rPr>
                <w:color w:val="000000" w:themeColor="text1"/>
                <w:szCs w:val="21"/>
                <w14:textFill>
                  <w14:solidFill>
                    <w14:schemeClr w14:val="tx1"/>
                  </w14:solidFill>
                </w14:textFill>
              </w:rPr>
            </w:pPr>
          </w:p>
        </w:tc>
        <w:tc>
          <w:tcPr>
            <w:tcW w:w="102" w:type="pct"/>
            <w:vMerge w:val="continue"/>
            <w:vAlign w:val="center"/>
          </w:tcPr>
          <w:p w14:paraId="54B2E49A">
            <w:pPr>
              <w:tabs>
                <w:tab w:val="left" w:pos="655"/>
              </w:tabs>
              <w:spacing w:line="360" w:lineRule="exact"/>
              <w:jc w:val="center"/>
              <w:rPr>
                <w:color w:val="000000" w:themeColor="text1"/>
                <w:szCs w:val="21"/>
                <w14:textFill>
                  <w14:solidFill>
                    <w14:schemeClr w14:val="tx1"/>
                  </w14:solidFill>
                </w14:textFill>
              </w:rPr>
            </w:pPr>
          </w:p>
        </w:tc>
        <w:tc>
          <w:tcPr>
            <w:tcW w:w="259" w:type="pct"/>
            <w:vMerge w:val="continue"/>
            <w:vAlign w:val="center"/>
          </w:tcPr>
          <w:p w14:paraId="5697C6F4">
            <w:pPr>
              <w:tabs>
                <w:tab w:val="left" w:pos="655"/>
              </w:tabs>
              <w:spacing w:line="360" w:lineRule="exact"/>
              <w:jc w:val="center"/>
              <w:rPr>
                <w:color w:val="000000" w:themeColor="text1"/>
                <w:szCs w:val="21"/>
                <w14:textFill>
                  <w14:solidFill>
                    <w14:schemeClr w14:val="tx1"/>
                  </w14:solidFill>
                </w14:textFill>
              </w:rPr>
            </w:pPr>
          </w:p>
        </w:tc>
        <w:tc>
          <w:tcPr>
            <w:tcW w:w="3054" w:type="pct"/>
            <w:vAlign w:val="center"/>
          </w:tcPr>
          <w:p w14:paraId="28B43AAA">
            <w:pPr>
              <w:tabs>
                <w:tab w:val="left" w:pos="655"/>
              </w:tabs>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严格控制新增建设占用生态保护红线外的生态空间。符合区域准入条件的建设项目，涉及占用生态空间中的林地、草原等，按有关法律法规规定办理；涉及占用生态空间中其他未作明确规定的用地，应当加强论证和管理。</w:t>
            </w:r>
          </w:p>
        </w:tc>
        <w:tc>
          <w:tcPr>
            <w:tcW w:w="980" w:type="pct"/>
            <w:vAlign w:val="center"/>
          </w:tcPr>
          <w:p w14:paraId="7E124313">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本项目符合区域准入条件，相关土地按照有关法律法规办理</w:t>
            </w:r>
          </w:p>
        </w:tc>
        <w:tc>
          <w:tcPr>
            <w:tcW w:w="337" w:type="pct"/>
            <w:vAlign w:val="center"/>
          </w:tcPr>
          <w:p w14:paraId="56D3F5D3">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14A7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0B216942">
            <w:pPr>
              <w:tabs>
                <w:tab w:val="left" w:pos="655"/>
              </w:tabs>
              <w:spacing w:line="360" w:lineRule="exact"/>
              <w:jc w:val="center"/>
              <w:rPr>
                <w:color w:val="000000" w:themeColor="text1"/>
                <w:szCs w:val="21"/>
                <w14:textFill>
                  <w14:solidFill>
                    <w14:schemeClr w14:val="tx1"/>
                  </w14:solidFill>
                </w14:textFill>
              </w:rPr>
            </w:pPr>
          </w:p>
        </w:tc>
        <w:tc>
          <w:tcPr>
            <w:tcW w:w="102" w:type="pct"/>
            <w:vMerge w:val="continue"/>
            <w:vAlign w:val="center"/>
          </w:tcPr>
          <w:p w14:paraId="0830E84D">
            <w:pPr>
              <w:tabs>
                <w:tab w:val="left" w:pos="655"/>
              </w:tabs>
              <w:spacing w:line="360" w:lineRule="exact"/>
              <w:jc w:val="center"/>
              <w:rPr>
                <w:color w:val="000000" w:themeColor="text1"/>
                <w:szCs w:val="21"/>
                <w14:textFill>
                  <w14:solidFill>
                    <w14:schemeClr w14:val="tx1"/>
                  </w14:solidFill>
                </w14:textFill>
              </w:rPr>
            </w:pPr>
          </w:p>
        </w:tc>
        <w:tc>
          <w:tcPr>
            <w:tcW w:w="259" w:type="pct"/>
            <w:vMerge w:val="continue"/>
            <w:vAlign w:val="center"/>
          </w:tcPr>
          <w:p w14:paraId="4F4DC95C">
            <w:pPr>
              <w:tabs>
                <w:tab w:val="left" w:pos="655"/>
              </w:tabs>
              <w:spacing w:line="360" w:lineRule="exact"/>
              <w:jc w:val="center"/>
              <w:rPr>
                <w:color w:val="000000" w:themeColor="text1"/>
                <w:szCs w:val="21"/>
                <w14:textFill>
                  <w14:solidFill>
                    <w14:schemeClr w14:val="tx1"/>
                  </w14:solidFill>
                </w14:textFill>
              </w:rPr>
            </w:pPr>
          </w:p>
        </w:tc>
        <w:tc>
          <w:tcPr>
            <w:tcW w:w="3054" w:type="pct"/>
            <w:vAlign w:val="center"/>
          </w:tcPr>
          <w:p w14:paraId="5F944C6F">
            <w:pPr>
              <w:tabs>
                <w:tab w:val="left" w:pos="655"/>
              </w:tabs>
              <w:spacing w:line="360" w:lineRule="exact"/>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7、严格限制农业开发占用生态保护红线外的生态空间，符合条件的农业开发项目，须依法由市县级及以上地方人民政府统筹安排。生态保护红线外的耕地，除符合国家生态退耕条件，并纳入国家生态退耕总体安排，或因国家重大生态工程建设需要外，不得随意转用。</w:t>
            </w:r>
          </w:p>
        </w:tc>
        <w:tc>
          <w:tcPr>
            <w:tcW w:w="980" w:type="pct"/>
            <w:vAlign w:val="center"/>
          </w:tcPr>
          <w:p w14:paraId="3FACA46A">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35DF2F96">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0F71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65" w:type="pct"/>
            <w:vMerge w:val="continue"/>
            <w:vAlign w:val="center"/>
          </w:tcPr>
          <w:p w14:paraId="5ECC94DA">
            <w:pPr>
              <w:tabs>
                <w:tab w:val="left" w:pos="655"/>
              </w:tabs>
              <w:spacing w:line="360" w:lineRule="exact"/>
              <w:jc w:val="center"/>
              <w:rPr>
                <w:color w:val="000000" w:themeColor="text1"/>
                <w:szCs w:val="21"/>
                <w14:textFill>
                  <w14:solidFill>
                    <w14:schemeClr w14:val="tx1"/>
                  </w14:solidFill>
                </w14:textFill>
              </w:rPr>
            </w:pPr>
          </w:p>
        </w:tc>
        <w:tc>
          <w:tcPr>
            <w:tcW w:w="102" w:type="pct"/>
            <w:vMerge w:val="restart"/>
            <w:vAlign w:val="center"/>
          </w:tcPr>
          <w:p w14:paraId="707E53AB">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水源涵养</w:t>
            </w:r>
          </w:p>
        </w:tc>
        <w:tc>
          <w:tcPr>
            <w:tcW w:w="259" w:type="pct"/>
            <w:vMerge w:val="restart"/>
            <w:vAlign w:val="center"/>
          </w:tcPr>
          <w:p w14:paraId="63079814">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空间布局约束</w:t>
            </w:r>
          </w:p>
        </w:tc>
        <w:tc>
          <w:tcPr>
            <w:tcW w:w="3054" w:type="pct"/>
            <w:vAlign w:val="center"/>
          </w:tcPr>
          <w:p w14:paraId="596EDFEB">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1、禁止各种损害生态系统水源涵养功能的经济社会活动和生产方式，如无序采矿、毁林开荒、湿地和草地开垦、过度放牧、道路建设等。</w:t>
            </w:r>
          </w:p>
        </w:tc>
        <w:tc>
          <w:tcPr>
            <w:tcW w:w="980" w:type="pct"/>
            <w:vAlign w:val="center"/>
          </w:tcPr>
          <w:p w14:paraId="2921B13A">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本项目占地不涉及水源涵养区</w:t>
            </w:r>
          </w:p>
        </w:tc>
        <w:tc>
          <w:tcPr>
            <w:tcW w:w="337" w:type="pct"/>
            <w:vAlign w:val="center"/>
          </w:tcPr>
          <w:p w14:paraId="1ED5E510">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44DF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0B4AB4DC">
            <w:pPr>
              <w:tabs>
                <w:tab w:val="left" w:pos="655"/>
              </w:tabs>
              <w:spacing w:line="360" w:lineRule="exact"/>
              <w:jc w:val="center"/>
              <w:rPr>
                <w:color w:val="000000" w:themeColor="text1"/>
                <w:szCs w:val="21"/>
                <w14:textFill>
                  <w14:solidFill>
                    <w14:schemeClr w14:val="tx1"/>
                  </w14:solidFill>
                </w14:textFill>
              </w:rPr>
            </w:pPr>
          </w:p>
        </w:tc>
        <w:tc>
          <w:tcPr>
            <w:tcW w:w="102" w:type="pct"/>
            <w:vMerge w:val="continue"/>
            <w:vAlign w:val="center"/>
          </w:tcPr>
          <w:p w14:paraId="28B8EC77">
            <w:pPr>
              <w:tabs>
                <w:tab w:val="left" w:pos="655"/>
              </w:tabs>
              <w:spacing w:line="360" w:lineRule="exact"/>
              <w:jc w:val="center"/>
              <w:rPr>
                <w:color w:val="000000" w:themeColor="text1"/>
                <w:szCs w:val="21"/>
                <w14:textFill>
                  <w14:solidFill>
                    <w14:schemeClr w14:val="tx1"/>
                  </w14:solidFill>
                </w14:textFill>
              </w:rPr>
            </w:pPr>
          </w:p>
        </w:tc>
        <w:tc>
          <w:tcPr>
            <w:tcW w:w="259" w:type="pct"/>
            <w:vMerge w:val="continue"/>
            <w:vAlign w:val="center"/>
          </w:tcPr>
          <w:p w14:paraId="2F0FDD12">
            <w:pPr>
              <w:tabs>
                <w:tab w:val="left" w:pos="655"/>
              </w:tabs>
              <w:spacing w:line="360" w:lineRule="exact"/>
              <w:jc w:val="center"/>
              <w:rPr>
                <w:color w:val="000000" w:themeColor="text1"/>
                <w:szCs w:val="21"/>
                <w14:textFill>
                  <w14:solidFill>
                    <w14:schemeClr w14:val="tx1"/>
                  </w14:solidFill>
                </w14:textFill>
              </w:rPr>
            </w:pPr>
          </w:p>
        </w:tc>
        <w:tc>
          <w:tcPr>
            <w:tcW w:w="3054" w:type="pct"/>
            <w:vAlign w:val="center"/>
          </w:tcPr>
          <w:p w14:paraId="075CFA3A">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2、禁止导致水体污染的产业发展，开展生态清洁小流域的建设。</w:t>
            </w:r>
          </w:p>
        </w:tc>
        <w:tc>
          <w:tcPr>
            <w:tcW w:w="980" w:type="pct"/>
            <w:vAlign w:val="center"/>
          </w:tcPr>
          <w:p w14:paraId="571D4DCB">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5DD7553A">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3F3D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0A634613">
            <w:pPr>
              <w:tabs>
                <w:tab w:val="left" w:pos="655"/>
              </w:tabs>
              <w:spacing w:line="360" w:lineRule="exact"/>
              <w:jc w:val="center"/>
              <w:rPr>
                <w:color w:val="000000" w:themeColor="text1"/>
                <w:szCs w:val="21"/>
                <w14:textFill>
                  <w14:solidFill>
                    <w14:schemeClr w14:val="tx1"/>
                  </w14:solidFill>
                </w14:textFill>
              </w:rPr>
            </w:pPr>
          </w:p>
        </w:tc>
        <w:tc>
          <w:tcPr>
            <w:tcW w:w="102" w:type="pct"/>
            <w:vMerge w:val="continue"/>
            <w:vAlign w:val="center"/>
          </w:tcPr>
          <w:p w14:paraId="6585D36A">
            <w:pPr>
              <w:tabs>
                <w:tab w:val="left" w:pos="655"/>
              </w:tabs>
              <w:spacing w:line="360" w:lineRule="exact"/>
              <w:jc w:val="center"/>
              <w:rPr>
                <w:color w:val="000000" w:themeColor="text1"/>
                <w:szCs w:val="21"/>
                <w14:textFill>
                  <w14:solidFill>
                    <w14:schemeClr w14:val="tx1"/>
                  </w14:solidFill>
                </w14:textFill>
              </w:rPr>
            </w:pPr>
          </w:p>
        </w:tc>
        <w:tc>
          <w:tcPr>
            <w:tcW w:w="259" w:type="pct"/>
            <w:vMerge w:val="continue"/>
            <w:vAlign w:val="center"/>
          </w:tcPr>
          <w:p w14:paraId="553EF2DA">
            <w:pPr>
              <w:tabs>
                <w:tab w:val="left" w:pos="655"/>
              </w:tabs>
              <w:spacing w:line="360" w:lineRule="exact"/>
              <w:jc w:val="center"/>
              <w:rPr>
                <w:color w:val="000000" w:themeColor="text1"/>
                <w:szCs w:val="21"/>
                <w14:textFill>
                  <w14:solidFill>
                    <w14:schemeClr w14:val="tx1"/>
                  </w14:solidFill>
                </w14:textFill>
              </w:rPr>
            </w:pPr>
          </w:p>
        </w:tc>
        <w:tc>
          <w:tcPr>
            <w:tcW w:w="3054" w:type="pct"/>
            <w:vAlign w:val="center"/>
          </w:tcPr>
          <w:p w14:paraId="4F327F97">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3、坚持自然恢复为主，严格限制在水源涵养区大规模人工造林。</w:t>
            </w:r>
          </w:p>
        </w:tc>
        <w:tc>
          <w:tcPr>
            <w:tcW w:w="980" w:type="pct"/>
            <w:vAlign w:val="center"/>
          </w:tcPr>
          <w:p w14:paraId="5B938460">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06C7F230">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ADF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1F1A0D08">
            <w:pPr>
              <w:tabs>
                <w:tab w:val="left" w:pos="655"/>
              </w:tabs>
              <w:spacing w:line="360" w:lineRule="exact"/>
              <w:jc w:val="center"/>
              <w:rPr>
                <w:color w:val="000000" w:themeColor="text1"/>
                <w:szCs w:val="21"/>
                <w14:textFill>
                  <w14:solidFill>
                    <w14:schemeClr w14:val="tx1"/>
                  </w14:solidFill>
                </w14:textFill>
              </w:rPr>
            </w:pPr>
          </w:p>
        </w:tc>
        <w:tc>
          <w:tcPr>
            <w:tcW w:w="102" w:type="pct"/>
            <w:vMerge w:val="continue"/>
            <w:vAlign w:val="center"/>
          </w:tcPr>
          <w:p w14:paraId="6F3960C8">
            <w:pPr>
              <w:tabs>
                <w:tab w:val="left" w:pos="655"/>
              </w:tabs>
              <w:spacing w:line="360" w:lineRule="exact"/>
              <w:jc w:val="center"/>
              <w:rPr>
                <w:color w:val="000000" w:themeColor="text1"/>
                <w:szCs w:val="21"/>
                <w14:textFill>
                  <w14:solidFill>
                    <w14:schemeClr w14:val="tx1"/>
                  </w14:solidFill>
                </w14:textFill>
              </w:rPr>
            </w:pPr>
          </w:p>
        </w:tc>
        <w:tc>
          <w:tcPr>
            <w:tcW w:w="259" w:type="pct"/>
            <w:vMerge w:val="continue"/>
            <w:vAlign w:val="center"/>
          </w:tcPr>
          <w:p w14:paraId="3EF47D6F">
            <w:pPr>
              <w:tabs>
                <w:tab w:val="left" w:pos="655"/>
              </w:tabs>
              <w:spacing w:line="360" w:lineRule="exact"/>
              <w:jc w:val="center"/>
              <w:rPr>
                <w:color w:val="000000" w:themeColor="text1"/>
                <w:szCs w:val="21"/>
                <w14:textFill>
                  <w14:solidFill>
                    <w14:schemeClr w14:val="tx1"/>
                  </w14:solidFill>
                </w14:textFill>
              </w:rPr>
            </w:pPr>
          </w:p>
        </w:tc>
        <w:tc>
          <w:tcPr>
            <w:tcW w:w="3054" w:type="pct"/>
            <w:vAlign w:val="center"/>
          </w:tcPr>
          <w:p w14:paraId="7B6F4371">
            <w:p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4、禁止高水资源消耗产业在水源涵养生态功能区布局。</w:t>
            </w:r>
          </w:p>
        </w:tc>
        <w:tc>
          <w:tcPr>
            <w:tcW w:w="980" w:type="pct"/>
            <w:vAlign w:val="center"/>
          </w:tcPr>
          <w:p w14:paraId="5A19EEEB">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3E9ED6DD">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C84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restart"/>
            <w:vAlign w:val="center"/>
          </w:tcPr>
          <w:p w14:paraId="1357BE2C">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大气环境</w:t>
            </w:r>
          </w:p>
        </w:tc>
        <w:tc>
          <w:tcPr>
            <w:tcW w:w="361" w:type="pct"/>
            <w:gridSpan w:val="2"/>
            <w:vAlign w:val="center"/>
          </w:tcPr>
          <w:p w14:paraId="09E9B8C4">
            <w:pPr>
              <w:spacing w:line="340" w:lineRule="exact"/>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空间布局约束</w:t>
            </w:r>
          </w:p>
        </w:tc>
        <w:tc>
          <w:tcPr>
            <w:tcW w:w="3054" w:type="pct"/>
            <w:vAlign w:val="center"/>
          </w:tcPr>
          <w:p w14:paraId="18FD14A3">
            <w:pPr>
              <w:numPr>
                <w:ilvl w:val="0"/>
                <w:numId w:val="2"/>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全面推进沿海、迁安、滦州、迁西（遵化）4大片区规划建设，加快推进钢铁企业整合搬迁项目建设，推进“公转铁”、“公转水”和物料集中输送管廊项目建设，形成“沿海临港、铁路沿线”产业新布局。</w:t>
            </w:r>
          </w:p>
          <w:p w14:paraId="555773B7">
            <w:pPr>
              <w:numPr>
                <w:ilvl w:val="0"/>
                <w:numId w:val="2"/>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严禁违规新增钢铁、焦化、水泥、平板玻璃等产能，依法推动独立焦化、独立石灰、独立球团逐步退出。</w:t>
            </w:r>
          </w:p>
          <w:p w14:paraId="04B7644B">
            <w:pPr>
              <w:numPr>
                <w:ilvl w:val="0"/>
                <w:numId w:val="2"/>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新（改、扩）建项目严格执行产能置换、煤炭替代和污染物倍量削减替代制度，当地有相关园区规划的，原则上要进入园区并配套建设高效环保治理设施，符合园区规划环评、建设项目环评要求。</w:t>
            </w:r>
          </w:p>
          <w:p w14:paraId="58711AAE">
            <w:pPr>
              <w:numPr>
                <w:ilvl w:val="0"/>
                <w:numId w:val="2"/>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基本取缔燃煤热风炉和钢铁行业燃煤供热锅炉，基本淘汰热电联产供热管网覆盖范围内的燃煤加热、烘干炉（窑）。</w:t>
            </w:r>
          </w:p>
          <w:p w14:paraId="27BB4E62">
            <w:pPr>
              <w:numPr>
                <w:ilvl w:val="0"/>
                <w:numId w:val="2"/>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企业事业单位和其他生产经营者应当在规定期限内，淘汰列入河北省淘汰落后生产工艺、设备和产品名录的生产工艺、设备和产品。</w:t>
            </w:r>
          </w:p>
          <w:p w14:paraId="596AFDF2">
            <w:pPr>
              <w:numPr>
                <w:ilvl w:val="0"/>
                <w:numId w:val="2"/>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全面取缔35蒸吨及以下燃煤锅炉，发现一台，拆除一台，确保实现动态“清零”；严禁新增35蒸吨及以下燃煤锅炉。路南区、路北区、高新区、开平区、古冶区、丰润区、丰南区、曹妃甸区全面取缔燃生物质燃料、燃油（醇基燃料）锅炉，建成区范围内改为电锅炉，其他区域改为燃气锅炉或电锅炉。其他县（市）、开发区（管理区）全面取缔燃用生物质燃料非专用锅炉，改为燃气锅炉或电锅炉。</w:t>
            </w:r>
          </w:p>
        </w:tc>
        <w:tc>
          <w:tcPr>
            <w:tcW w:w="980" w:type="pct"/>
            <w:vAlign w:val="center"/>
          </w:tcPr>
          <w:p w14:paraId="23BC64CE">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1E62B059">
            <w:pPr>
              <w:adjustRightInd w:val="0"/>
              <w:snapToGrid w:val="0"/>
              <w:spacing w:line="360" w:lineRule="exact"/>
              <w:jc w:val="center"/>
              <w:rPr>
                <w:color w:val="000000" w:themeColor="text1"/>
                <w:szCs w:val="21"/>
                <w14:textFill>
                  <w14:solidFill>
                    <w14:schemeClr w14:val="tx1"/>
                  </w14:solidFill>
                </w14:textFill>
              </w:rPr>
            </w:pPr>
          </w:p>
        </w:tc>
      </w:tr>
      <w:tr w14:paraId="0DEB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7523A360">
            <w:pPr>
              <w:tabs>
                <w:tab w:val="left" w:pos="655"/>
              </w:tabs>
              <w:spacing w:line="360" w:lineRule="exact"/>
              <w:jc w:val="center"/>
              <w:rPr>
                <w:color w:val="000000" w:themeColor="text1"/>
                <w:szCs w:val="21"/>
                <w14:textFill>
                  <w14:solidFill>
                    <w14:schemeClr w14:val="tx1"/>
                  </w14:solidFill>
                </w14:textFill>
              </w:rPr>
            </w:pPr>
          </w:p>
        </w:tc>
        <w:tc>
          <w:tcPr>
            <w:tcW w:w="361" w:type="pct"/>
            <w:gridSpan w:val="2"/>
            <w:vAlign w:val="center"/>
          </w:tcPr>
          <w:p w14:paraId="42C60456">
            <w:pPr>
              <w:spacing w:line="360" w:lineRule="exact"/>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污染物排放管控</w:t>
            </w:r>
          </w:p>
        </w:tc>
        <w:tc>
          <w:tcPr>
            <w:tcW w:w="3054" w:type="pct"/>
            <w:vAlign w:val="center"/>
          </w:tcPr>
          <w:p w14:paraId="56CDBD36">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细颗粒物（PM</w:t>
            </w:r>
            <w:r>
              <w:rPr>
                <w:rFonts w:hint="eastAsia"/>
                <w:color w:val="000000" w:themeColor="text1"/>
                <w:szCs w:val="21"/>
                <w:vertAlign w:val="subscript"/>
                <w14:textFill>
                  <w14:solidFill>
                    <w14:schemeClr w14:val="tx1"/>
                  </w14:solidFill>
                </w14:textFill>
              </w:rPr>
              <w:t>2.5</w:t>
            </w:r>
            <w:r>
              <w:rPr>
                <w:rFonts w:hint="eastAsia"/>
                <w:color w:val="000000" w:themeColor="text1"/>
                <w:szCs w:val="21"/>
                <w14:textFill>
                  <w14:solidFill>
                    <w14:schemeClr w14:val="tx1"/>
                  </w14:solidFill>
                </w14:textFill>
              </w:rPr>
              <w:t>）年平均浓度不达标的城市，二氧化硫、氮氧化物、烟粉尘、挥发性有机物四项污染物均需进行2倍削减替代（燃煤发电机组大气污染物排放浓度基本达到燃气轮机组排放限值的除外）。</w:t>
            </w:r>
          </w:p>
          <w:p w14:paraId="43D2DFDF">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蒸吨以上燃煤锅炉、燃油（醇基燃料）锅炉、燃用生物质专用锅炉各污染物排放浓度达到《河北省锅炉大气污染物排放标准（DB13/5161）》要求；燃煤气、天然气锅炉各污染物排放浓度达到《唐山市锅炉治理专项实施方案》（唐气领办〔2019〕10 号）要求。</w:t>
            </w:r>
          </w:p>
          <w:p w14:paraId="549C33CF">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强农村燃煤污染治理：（一）推广使用民用清洁燃烧炉具，加快淘汰低效直燃式高污染炉具，严禁生产、销售、使用不符合环保要求的炉具；（二）加强洁净型煤、优质煤炭的推广使用，实现农村地区洁净型煤配送网点建设全覆盖，严禁使用高硫分和劣质煤炭；（三）推广太阳能、电能、燃气、沼气、地热等使用，加强农作物秸秆能源化，推进农村清洁能源的替代和开发利用。</w:t>
            </w:r>
          </w:p>
          <w:p w14:paraId="5E757641">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对保留的工业炉窑开展环保提标改造，配套建设高效脱硫脱硝除尘设施，确保稳定达标排放。加快推进钢铁行业超低排放改造，积极推进平板玻璃行业和水泥行业污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轧钢工序实施车间封闭生产。对标行业先进，持续推动污染物排放总量降低。</w:t>
            </w:r>
          </w:p>
          <w:p w14:paraId="49BC840A">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推广新能源机动车，建设相应的充电站（桩）、加气站等基础设施，新建居民住宅小区停车位应当建设相应的充电设施；鼓励和支持公共交通、出租车、环境卫生、邮政、快递等行业用车和公务用车率先使用新能源机动车。加强城市步行和自行车交通系统建设，引导公众绿色、低碳出行。船舶靠港后应当优先使用岸电。新建码头应当规划、设计和建设岸基供电设施；已建成的码头应当逐步实施岸基供电设施改造。</w:t>
            </w:r>
          </w:p>
          <w:p w14:paraId="30AB61EE">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加快油品质量升级。停止销售低于国Ⅵ标准的汽柴油，实现车用柴油、普通柴油、部分船舶用油“三油并轨”。</w:t>
            </w:r>
          </w:p>
          <w:p w14:paraId="25906B53">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推进矿山综合整治。按照“能关则关、应合尽合、能转则转”的原则，对违反法律法规、列入关闭计划、整改不达标、乱采滥挖的矿山，依法依规坚决关闭取缔。</w:t>
            </w:r>
          </w:p>
          <w:p w14:paraId="193774A5">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强化建筑施工扬尘污染防治，严格落实《河北省扬尘污染防治办法》，对城市建成区、县城建筑施工工地实施全面监管。强化道路扬尘综合治理，按照《河北省城市精细化管理标准》有关要求，全面巩固洁净城市创建成果。</w:t>
            </w:r>
          </w:p>
          <w:p w14:paraId="220EA057">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深化重点行业深度治理。巩固钢铁、焦化、煤电、水泥、平板玻璃等重点行业超低排放改造成效，实施工艺全流程深度治理，推进全过程无组织排放管控。</w:t>
            </w:r>
          </w:p>
          <w:p w14:paraId="0ADC645F">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p w14:paraId="76A49F0D">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强化柴油货车污染防治。加快柴油货车治理，推动货运经营整合升级、提质增效，加快规模化发展、连锁化经营。实施清洁柴油车、清洁运输和清洁油品行动，降低污染排放总量。</w:t>
            </w:r>
          </w:p>
          <w:p w14:paraId="4BADB802">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禁止露天焚烧秸秆、落叶、枯草等产生烟尘污染的物质，以及电子废弃物、油毡、橡胶、塑料、皮革、沥青、垃圾等产生有毒有害、恶臭或者强烈异味气体的物质。</w:t>
            </w:r>
          </w:p>
          <w:p w14:paraId="32F7079F">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以化工、工业涂装、包装印刷、油品储运销等行业领域为重点，安全高效推进挥发性有机物综合治理，无组织排放和末端深度治理等提升改造工程。</w:t>
            </w:r>
          </w:p>
          <w:p w14:paraId="4CEC225D">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推动大气氨排放控制。加强烟气脱硝和氨法脱硫氨逃逸控制。推进种植业、养殖业大气氨减排，加强源头防控，优化肥料、饲料结构。</w:t>
            </w:r>
          </w:p>
          <w:p w14:paraId="626EC739">
            <w:pPr>
              <w:numPr>
                <w:ilvl w:val="0"/>
                <w:numId w:val="3"/>
              </w:numPr>
              <w:tabs>
                <w:tab w:val="left" w:pos="655"/>
              </w:tabs>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严格控制二氧化碳排放强度。加强甲烷等非二氧化碳温室气体管控。</w:t>
            </w:r>
          </w:p>
        </w:tc>
        <w:tc>
          <w:tcPr>
            <w:tcW w:w="980" w:type="pct"/>
            <w:vAlign w:val="center"/>
          </w:tcPr>
          <w:p w14:paraId="4C70FFCB">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1-7本项目不涉及；</w:t>
            </w:r>
          </w:p>
          <w:p w14:paraId="4933F543">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8本项目施工期间扬尘污染严格按照相关政策文件执行并落实相关要求；</w:t>
            </w:r>
          </w:p>
          <w:p w14:paraId="3D2DEA5F">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9-10不涉及；</w:t>
            </w:r>
          </w:p>
          <w:p w14:paraId="7127B012">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11对道路运输车辆提出相关排放标准要求，降低污染物排放量；</w:t>
            </w:r>
          </w:p>
          <w:p w14:paraId="5A33E286">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12-15不涉及</w:t>
            </w:r>
          </w:p>
        </w:tc>
        <w:tc>
          <w:tcPr>
            <w:tcW w:w="337" w:type="pct"/>
            <w:vAlign w:val="center"/>
          </w:tcPr>
          <w:p w14:paraId="04093B9D">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2EC7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2AA7F27D">
            <w:pPr>
              <w:tabs>
                <w:tab w:val="left" w:pos="655"/>
              </w:tabs>
              <w:spacing w:line="360" w:lineRule="exact"/>
              <w:jc w:val="center"/>
              <w:rPr>
                <w:color w:val="000000" w:themeColor="text1"/>
                <w:szCs w:val="21"/>
                <w14:textFill>
                  <w14:solidFill>
                    <w14:schemeClr w14:val="tx1"/>
                  </w14:solidFill>
                </w14:textFill>
              </w:rPr>
            </w:pPr>
          </w:p>
        </w:tc>
        <w:tc>
          <w:tcPr>
            <w:tcW w:w="361" w:type="pct"/>
            <w:gridSpan w:val="2"/>
            <w:vAlign w:val="center"/>
          </w:tcPr>
          <w:p w14:paraId="01396D2E">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环境风险防控</w:t>
            </w:r>
          </w:p>
        </w:tc>
        <w:tc>
          <w:tcPr>
            <w:tcW w:w="3054" w:type="pct"/>
            <w:vAlign w:val="center"/>
          </w:tcPr>
          <w:p w14:paraId="728A8737">
            <w:pPr>
              <w:tabs>
                <w:tab w:val="left" w:pos="655"/>
              </w:tabs>
              <w:spacing w:line="360" w:lineRule="exact"/>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完善市、县、乡、村网格化环境监管体系，建立信息全面、要素齐全、处置高效、决策</w:t>
            </w:r>
            <w:r>
              <w:rPr>
                <w:rFonts w:hint="eastAsia"/>
                <w:color w:val="000000" w:themeColor="text1"/>
                <w:szCs w:val="21"/>
                <w14:textFill>
                  <w14:solidFill>
                    <w14:schemeClr w14:val="tx1"/>
                  </w14:solidFill>
                </w14:textFill>
              </w:rPr>
              <w:t>科学</w:t>
            </w:r>
            <w:r>
              <w:rPr>
                <w:rFonts w:hint="eastAsia"/>
                <w:bCs/>
                <w:color w:val="000000" w:themeColor="text1"/>
                <w:szCs w:val="21"/>
                <w14:textFill>
                  <w14:solidFill>
                    <w14:schemeClr w14:val="tx1"/>
                  </w14:solidFill>
                </w14:textFill>
              </w:rPr>
              <w:t>的市级大气环境监管大数据平台，实现对各级网格和各类污染源的集中在线监测、全程监控和监管指挥。</w:t>
            </w:r>
          </w:p>
        </w:tc>
        <w:tc>
          <w:tcPr>
            <w:tcW w:w="980" w:type="pct"/>
            <w:vAlign w:val="center"/>
          </w:tcPr>
          <w:p w14:paraId="7A5B8C8E">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3DA76577">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52E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7F55FC89">
            <w:pPr>
              <w:tabs>
                <w:tab w:val="left" w:pos="655"/>
              </w:tabs>
              <w:spacing w:line="360" w:lineRule="exact"/>
              <w:jc w:val="center"/>
              <w:rPr>
                <w:color w:val="000000" w:themeColor="text1"/>
                <w:szCs w:val="21"/>
                <w14:textFill>
                  <w14:solidFill>
                    <w14:schemeClr w14:val="tx1"/>
                  </w14:solidFill>
                </w14:textFill>
              </w:rPr>
            </w:pPr>
          </w:p>
        </w:tc>
        <w:tc>
          <w:tcPr>
            <w:tcW w:w="361" w:type="pct"/>
            <w:gridSpan w:val="2"/>
            <w:vAlign w:val="center"/>
          </w:tcPr>
          <w:p w14:paraId="44315D64">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资源开发利用</w:t>
            </w:r>
          </w:p>
        </w:tc>
        <w:tc>
          <w:tcPr>
            <w:tcW w:w="3054" w:type="pct"/>
            <w:vAlign w:val="center"/>
          </w:tcPr>
          <w:p w14:paraId="61FC5E0D">
            <w:pPr>
              <w:tabs>
                <w:tab w:val="left" w:pos="655"/>
              </w:tabs>
              <w:spacing w:line="360" w:lineRule="exac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r>
              <w:rPr>
                <w:rFonts w:hint="eastAsia"/>
                <w:bCs/>
                <w:color w:val="000000" w:themeColor="text1"/>
                <w:szCs w:val="21"/>
                <w14:textFill>
                  <w14:solidFill>
                    <w14:schemeClr w14:val="tx1"/>
                  </w14:solidFill>
                </w14:textFill>
              </w:rPr>
              <w:t>、国家大气污染防治重点区域内新建、改建、扩建用煤项目的，应当实行煤炭的等量或者减量替代。</w:t>
            </w:r>
          </w:p>
          <w:p w14:paraId="692DE47A">
            <w:pPr>
              <w:tabs>
                <w:tab w:val="left" w:pos="655"/>
              </w:tabs>
              <w:spacing w:line="360" w:lineRule="exac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r>
              <w:rPr>
                <w:rFonts w:hint="eastAsia"/>
                <w:bCs/>
                <w:color w:val="000000" w:themeColor="text1"/>
                <w:szCs w:val="21"/>
                <w14:textFill>
                  <w14:solidFill>
                    <w14:schemeClr w14:val="tx1"/>
                  </w14:solidFill>
                </w14:textFill>
              </w:rPr>
              <w:t>、实施能源消耗总量和强度双控行动。健全节能标准体系，大力开发、推广节能高效技术和产品，实现重点用能行业、设备节能标准全覆盖。</w:t>
            </w:r>
          </w:p>
          <w:p w14:paraId="737AE3C7">
            <w:pPr>
              <w:tabs>
                <w:tab w:val="left" w:pos="655"/>
              </w:tabs>
              <w:spacing w:line="360" w:lineRule="exac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w:t>
            </w:r>
            <w:r>
              <w:rPr>
                <w:rFonts w:hint="eastAsia"/>
                <w:bCs/>
                <w:color w:val="000000" w:themeColor="text1"/>
                <w:szCs w:val="21"/>
                <w14:textFill>
                  <w14:solidFill>
                    <w14:schemeClr w14:val="tx1"/>
                  </w14:solidFill>
                </w14:textFill>
              </w:rPr>
              <w:t>、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980" w:type="pct"/>
            <w:vAlign w:val="center"/>
          </w:tcPr>
          <w:p w14:paraId="26DEBCE8">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5C32EC81">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3F61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restart"/>
            <w:vAlign w:val="center"/>
          </w:tcPr>
          <w:p w14:paraId="0C7C9516">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地表水环境</w:t>
            </w:r>
          </w:p>
        </w:tc>
        <w:tc>
          <w:tcPr>
            <w:tcW w:w="361" w:type="pct"/>
            <w:gridSpan w:val="2"/>
            <w:vAlign w:val="center"/>
          </w:tcPr>
          <w:p w14:paraId="66585A4F">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空间布局约束</w:t>
            </w:r>
          </w:p>
        </w:tc>
        <w:tc>
          <w:tcPr>
            <w:tcW w:w="3054" w:type="pct"/>
            <w:vAlign w:val="center"/>
          </w:tcPr>
          <w:p w14:paraId="49B8DE09">
            <w:pPr>
              <w:numPr>
                <w:ilvl w:val="0"/>
                <w:numId w:val="4"/>
              </w:num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涉地表水自然保护区、湿地公园、饮用水水源保护区管控参照生态环境空间总体管控要求中各类保护地总体管控要求。</w:t>
            </w:r>
          </w:p>
          <w:p w14:paraId="3897DB7B">
            <w:pPr>
              <w:numPr>
                <w:ilvl w:val="0"/>
                <w:numId w:val="4"/>
              </w:num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鼓励发展节水高效现代农业、低耗水高新技术产业以及生态保护型旅游业，严格控制缺水地区、水污染严重地区和敏感区域高耗水、高污染行业发展。</w:t>
            </w:r>
          </w:p>
          <w:p w14:paraId="08636174">
            <w:pPr>
              <w:numPr>
                <w:ilvl w:val="0"/>
                <w:numId w:val="4"/>
              </w:num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w:t>
            </w:r>
          </w:p>
          <w:p w14:paraId="66AF3CC4">
            <w:pPr>
              <w:numPr>
                <w:ilvl w:val="0"/>
                <w:numId w:val="4"/>
              </w:num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未按照规定完成污水集中处理设施以及管网建设的工业园区（工业集聚区），暂停审批和核准其增加水污染物排放的建设项目。向污水集中处理设施排放工业废水的，应当按照国家有关规定进行预处理，达到集中处理设施处理工艺要求后方可排放。</w:t>
            </w:r>
          </w:p>
          <w:p w14:paraId="38070BB9">
            <w:p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980" w:type="pct"/>
            <w:vAlign w:val="center"/>
          </w:tcPr>
          <w:p w14:paraId="23F43A04">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3C2BBA07">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DE8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56EB447C">
            <w:pPr>
              <w:tabs>
                <w:tab w:val="left" w:pos="655"/>
              </w:tabs>
              <w:spacing w:line="360" w:lineRule="exact"/>
              <w:jc w:val="center"/>
              <w:rPr>
                <w:color w:val="000000" w:themeColor="text1"/>
                <w:szCs w:val="21"/>
                <w14:textFill>
                  <w14:solidFill>
                    <w14:schemeClr w14:val="tx1"/>
                  </w14:solidFill>
                </w14:textFill>
              </w:rPr>
            </w:pPr>
          </w:p>
        </w:tc>
        <w:tc>
          <w:tcPr>
            <w:tcW w:w="361" w:type="pct"/>
            <w:gridSpan w:val="2"/>
            <w:vAlign w:val="center"/>
          </w:tcPr>
          <w:p w14:paraId="55B414E7">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污染物排放管控</w:t>
            </w:r>
          </w:p>
        </w:tc>
        <w:tc>
          <w:tcPr>
            <w:tcW w:w="3054" w:type="pct"/>
            <w:vAlign w:val="center"/>
          </w:tcPr>
          <w:p w14:paraId="405C41F1">
            <w:p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w:t>
            </w:r>
          </w:p>
          <w:p w14:paraId="13BFFB1E">
            <w:p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全面加强城镇污水管网建设，提升污水收集能力。扩大城镇污水管网覆盖范围，推进新建城区、扩建新区以及城乡结合部等污水截留、收集纳管；进一步加强城区支管、毛细管等管网建设，提高污水收集率。推进城镇排水系统雨污分流建设，新建城区、扩建新区、新开发区建设排水管网一律实行雨污分流；强化各县（市、区）城区和重点城镇污水管网建设，新建污水处理设施应与配套管网同步设计、同步建设、同步投运。推进初期雨水收集、处理与资源化利用。</w:t>
            </w:r>
          </w:p>
          <w:p w14:paraId="360E757B">
            <w:p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强化工业污水限期达标整治。推进废水直排外环境的工业企业全面达标排放。强化入河排污口监督管理，推动入河排污口规范化建设，取缔非法入河排污口。加大超标排放整治力度，对超标和超总量的企业依法查处，对企业超标现象普遍、超标企业集中地区政府采取挂牌督办、公开约谈等措施。对整治仍不能达到要求且情节严重的企业，由所在地政府依法责令限期关闭。</w:t>
            </w:r>
          </w:p>
          <w:p w14:paraId="31D942D1">
            <w:p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4、推进农业面源污染治理。减少化肥农药使用量，严格控制高毒高风险农药使用，推进有机肥替代化肥、病虫害绿色防控替代化学防治，积极推进废旧农膜回收，完善废旧地膜和包装废弃物等回收处理制度。</w:t>
            </w:r>
          </w:p>
          <w:p w14:paraId="6EAC50D6">
            <w:pPr>
              <w:numPr>
                <w:ilvl w:val="0"/>
                <w:numId w:val="4"/>
              </w:num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推进养殖废弃物资源化利用。坚持种植和养殖相结合，就地就近消纳利用畜禽养殖废弃物。合理布局水产养殖空间，深入推进生态健康养殖，开展重点河流湖库及近岸海域破坏生态环境的养殖方式综合整治。</w:t>
            </w:r>
          </w:p>
          <w:p w14:paraId="766D1B49">
            <w:pPr>
              <w:numPr>
                <w:ilvl w:val="0"/>
                <w:numId w:val="4"/>
              </w:num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实施总氮排放总量控制，新建、改建、扩建涉及总氮排放的建设项目，实施总氮排放总量指标减量替代，并在相关单位排污许可证中予以明确、严格落实，严控新增总氮排放量。</w:t>
            </w:r>
          </w:p>
        </w:tc>
        <w:tc>
          <w:tcPr>
            <w:tcW w:w="980" w:type="pct"/>
            <w:vAlign w:val="center"/>
          </w:tcPr>
          <w:p w14:paraId="633B100C">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337" w:type="pct"/>
            <w:vAlign w:val="center"/>
          </w:tcPr>
          <w:p w14:paraId="1FE57DCD">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11B5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7336EB65">
            <w:pPr>
              <w:tabs>
                <w:tab w:val="left" w:pos="655"/>
              </w:tabs>
              <w:spacing w:line="360" w:lineRule="exact"/>
              <w:jc w:val="center"/>
              <w:rPr>
                <w:color w:val="000000" w:themeColor="text1"/>
                <w:szCs w:val="21"/>
                <w14:textFill>
                  <w14:solidFill>
                    <w14:schemeClr w14:val="tx1"/>
                  </w14:solidFill>
                </w14:textFill>
              </w:rPr>
            </w:pPr>
          </w:p>
        </w:tc>
        <w:tc>
          <w:tcPr>
            <w:tcW w:w="361" w:type="pct"/>
            <w:gridSpan w:val="2"/>
            <w:vAlign w:val="center"/>
          </w:tcPr>
          <w:p w14:paraId="5A6B948C">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环境风险防控</w:t>
            </w:r>
          </w:p>
        </w:tc>
        <w:tc>
          <w:tcPr>
            <w:tcW w:w="3054" w:type="pct"/>
            <w:vAlign w:val="center"/>
          </w:tcPr>
          <w:p w14:paraId="620977D4">
            <w:pPr>
              <w:numPr>
                <w:ilvl w:val="0"/>
                <w:numId w:val="5"/>
              </w:num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有效防控水源地环境风险。每年对集中式饮用水水源保护区开展基础调查与评估，将可能影响水源水质安全的风险源全部列入档案，加强风险应急防控，建立联防联控应急机制。推广供水水厂应急净化技术，储备应急供水专项物资，配置移动式应急净水设备，加强应急抢险专业队伍建设，及时有效处置饮用水水源突发环境事件。</w:t>
            </w:r>
          </w:p>
        </w:tc>
        <w:tc>
          <w:tcPr>
            <w:tcW w:w="2677" w:type="dxa"/>
            <w:vAlign w:val="center"/>
          </w:tcPr>
          <w:p w14:paraId="48021EA6">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922" w:type="dxa"/>
            <w:vAlign w:val="center"/>
          </w:tcPr>
          <w:p w14:paraId="29C49C33">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2C19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2A57DFD1">
            <w:pPr>
              <w:tabs>
                <w:tab w:val="left" w:pos="655"/>
              </w:tabs>
              <w:spacing w:line="360" w:lineRule="exact"/>
              <w:jc w:val="center"/>
              <w:rPr>
                <w:color w:val="000000" w:themeColor="text1"/>
                <w:szCs w:val="21"/>
                <w14:textFill>
                  <w14:solidFill>
                    <w14:schemeClr w14:val="tx1"/>
                  </w14:solidFill>
                </w14:textFill>
              </w:rPr>
            </w:pPr>
          </w:p>
        </w:tc>
        <w:tc>
          <w:tcPr>
            <w:tcW w:w="361" w:type="pct"/>
            <w:gridSpan w:val="2"/>
            <w:vAlign w:val="center"/>
          </w:tcPr>
          <w:p w14:paraId="385936BF">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资源开发利用</w:t>
            </w:r>
          </w:p>
        </w:tc>
        <w:tc>
          <w:tcPr>
            <w:tcW w:w="3054" w:type="pct"/>
            <w:vAlign w:val="center"/>
          </w:tcPr>
          <w:p w14:paraId="1FDDE06C">
            <w:p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1、开展用水效率评估，建立万元工业增加值水耗指标等用水效率评估体系，把节水目标任务完成情况纳入地方政府政绩考核。将再生水、雨水和微咸水等非常规水源纳入水资源统一配置。</w:t>
            </w:r>
          </w:p>
          <w:p w14:paraId="74BD5C41">
            <w:p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发展农业节水。调整农业种植结构，发展旱作节水农业，推进田间节水设施建设，大力推广耐旱节水品种、耕作保墒、地膜覆盖、秸秆还田、水肥一体化等农业综合节水技术。推广渠道防渗、管道输水、喷灌、微灌、农作物节水抗旱等技术，完善灌溉用水计量设施，推进规模化高效节水灌溉。加快高效节水灌溉示范项目建设，粮食主产区大力推广以高标准管灌为主的节水灌溉工程，蔬菜、果品和经济种植区大力推广微滴灌技术，规模化农场、承包大户积极推广喷灌技术。地上水灌区实施续建配套与节水改造。</w:t>
            </w:r>
          </w:p>
        </w:tc>
        <w:tc>
          <w:tcPr>
            <w:tcW w:w="2677" w:type="dxa"/>
            <w:vAlign w:val="center"/>
          </w:tcPr>
          <w:p w14:paraId="3078AFCC">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922" w:type="dxa"/>
            <w:vAlign w:val="center"/>
          </w:tcPr>
          <w:p w14:paraId="47CEA1EF">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4F9F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restart"/>
            <w:vAlign w:val="center"/>
          </w:tcPr>
          <w:p w14:paraId="1C25AF19">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土壤及地</w:t>
            </w:r>
          </w:p>
          <w:p w14:paraId="3D7D51B1">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下水环境</w:t>
            </w:r>
          </w:p>
        </w:tc>
        <w:tc>
          <w:tcPr>
            <w:tcW w:w="361" w:type="pct"/>
            <w:gridSpan w:val="2"/>
            <w:vAlign w:val="center"/>
          </w:tcPr>
          <w:p w14:paraId="60C73676">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空间布局约束</w:t>
            </w:r>
          </w:p>
        </w:tc>
        <w:tc>
          <w:tcPr>
            <w:tcW w:w="3054" w:type="pct"/>
            <w:vAlign w:val="center"/>
          </w:tcPr>
          <w:p w14:paraId="067254EE">
            <w:pPr>
              <w:numPr>
                <w:ilvl w:val="0"/>
                <w:numId w:val="6"/>
              </w:num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严格执行相关行业企业布局选址要求，禁止在居民区和学校、医院、疗养院、养老院等单位周边新建、改建、扩建可能造成土壤污染的建设项目。</w:t>
            </w:r>
          </w:p>
          <w:p w14:paraId="7125FDCF">
            <w:pPr>
              <w:numPr>
                <w:ilvl w:val="0"/>
                <w:numId w:val="6"/>
              </w:num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禁止在集中式地下水饮用水水源地建设需要取水的地热能开发利用项目。禁止抽取难以更新的地下水用于需要取水的地热能开发利用项目。</w:t>
            </w:r>
          </w:p>
          <w:p w14:paraId="4D086610">
            <w:p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3、地下水饮用水水源地优先保护区管控参照生态环境空间总体管控要求中地下水饮用水水源地保护区总体管控要求。</w:t>
            </w:r>
          </w:p>
        </w:tc>
        <w:tc>
          <w:tcPr>
            <w:tcW w:w="2677" w:type="dxa"/>
            <w:vAlign w:val="center"/>
          </w:tcPr>
          <w:p w14:paraId="70A27EDB">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p>
        </w:tc>
        <w:tc>
          <w:tcPr>
            <w:tcW w:w="922" w:type="dxa"/>
            <w:vAlign w:val="center"/>
          </w:tcPr>
          <w:p w14:paraId="36E17FEF">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522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Merge w:val="continue"/>
            <w:vAlign w:val="center"/>
          </w:tcPr>
          <w:p w14:paraId="55AB97D4">
            <w:pPr>
              <w:tabs>
                <w:tab w:val="left" w:pos="655"/>
              </w:tabs>
              <w:spacing w:line="360" w:lineRule="exact"/>
              <w:jc w:val="center"/>
              <w:rPr>
                <w:color w:val="000000" w:themeColor="text1"/>
                <w:szCs w:val="21"/>
                <w14:textFill>
                  <w14:solidFill>
                    <w14:schemeClr w14:val="tx1"/>
                  </w14:solidFill>
                </w14:textFill>
              </w:rPr>
            </w:pPr>
          </w:p>
        </w:tc>
        <w:tc>
          <w:tcPr>
            <w:tcW w:w="361" w:type="pct"/>
            <w:gridSpan w:val="2"/>
            <w:vAlign w:val="center"/>
          </w:tcPr>
          <w:p w14:paraId="6CC94C48">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污染排放管控</w:t>
            </w:r>
          </w:p>
        </w:tc>
        <w:tc>
          <w:tcPr>
            <w:tcW w:w="3054" w:type="pct"/>
            <w:vAlign w:val="center"/>
          </w:tcPr>
          <w:p w14:paraId="48285D95">
            <w:pPr>
              <w:numPr>
                <w:ilvl w:val="0"/>
                <w:numId w:val="7"/>
              </w:num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严禁将污泥直接用作肥料，禁止不达标污泥就地堆放，结合污泥处理设施升级改造，逐步取消原生污泥简易填埋等不符合环保要求的处置方式。鼓励利用水泥厂等工业窑炉，开展污泥协同焚烧处置。</w:t>
            </w:r>
          </w:p>
          <w:p w14:paraId="747EEB16">
            <w:pPr>
              <w:numPr>
                <w:ilvl w:val="0"/>
                <w:numId w:val="7"/>
              </w:num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严格落实总量控制制度，减少重金属污染物排放。新、改、扩建涉重金属重点行业建设项目，污染物排放实施等量或倍量替换，对重金属排放量继续上升的地区，暂停审批新增重金属污染物排放的建设项目。加大减排项目督导力度，确保项目按期实施。</w:t>
            </w:r>
          </w:p>
          <w:p w14:paraId="69A4F3B3">
            <w:pPr>
              <w:numPr>
                <w:ilvl w:val="0"/>
                <w:numId w:val="7"/>
              </w:num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严格危险废物经营许可审批，加强危险废物处置单位规范化管理核查。统筹推进危险废物利用处置能力建设，加快补齐利用处置设施短板。积极推进重点监管源智能监控体系建设，加大危险废物产生、贮存、转运、利用、处置全流程监管力度。规范和完善医疗废物分类收集处置体系。</w:t>
            </w:r>
          </w:p>
          <w:p w14:paraId="5199263D">
            <w:pPr>
              <w:numPr>
                <w:ilvl w:val="0"/>
                <w:numId w:val="7"/>
              </w:num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w:t>
            </w:r>
          </w:p>
          <w:p w14:paraId="5BBE0AE0">
            <w:pPr>
              <w:tabs>
                <w:tab w:val="left" w:pos="655"/>
              </w:tabs>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5、严格危险废物源头管控，优化利用处置结构布局，提高应急保障能力。发展生态循环农业，提升农业废弃物综合利用率。健全完善制度、技术、市场、监管四大政策体系，实现固体废物和危险废物全链条监管。</w:t>
            </w:r>
          </w:p>
        </w:tc>
        <w:tc>
          <w:tcPr>
            <w:tcW w:w="2677" w:type="dxa"/>
            <w:vAlign w:val="center"/>
          </w:tcPr>
          <w:p w14:paraId="1A918BF1">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1-4本项目不涉及；</w:t>
            </w:r>
          </w:p>
          <w:p w14:paraId="0EC848C1">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5本项目危险废物均得到合理处置不外排</w:t>
            </w:r>
          </w:p>
        </w:tc>
        <w:tc>
          <w:tcPr>
            <w:tcW w:w="922" w:type="dxa"/>
            <w:vAlign w:val="center"/>
          </w:tcPr>
          <w:p w14:paraId="74E053A1">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1FE6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Align w:val="center"/>
          </w:tcPr>
          <w:p w14:paraId="2A4BCD8F">
            <w:pPr>
              <w:tabs>
                <w:tab w:val="left" w:pos="655"/>
              </w:tabs>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产业总体布局要求</w:t>
            </w:r>
          </w:p>
        </w:tc>
        <w:tc>
          <w:tcPr>
            <w:tcW w:w="361" w:type="pct"/>
            <w:gridSpan w:val="2"/>
            <w:vAlign w:val="center"/>
          </w:tcPr>
          <w:p w14:paraId="3ED3FEC7">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空间布局约束</w:t>
            </w:r>
          </w:p>
        </w:tc>
        <w:tc>
          <w:tcPr>
            <w:tcW w:w="3054" w:type="pct"/>
            <w:vAlign w:val="center"/>
          </w:tcPr>
          <w:p w14:paraId="2F865709">
            <w:pPr>
              <w:numPr>
                <w:ilvl w:val="0"/>
                <w:numId w:val="8"/>
              </w:num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严格执行《产业结构调整指导目录》《市场准入负面清单》《河北省禁止投资的产业目录》相关要求。</w:t>
            </w:r>
          </w:p>
          <w:p w14:paraId="5625796F">
            <w:pPr>
              <w:numPr>
                <w:ilvl w:val="0"/>
                <w:numId w:val="8"/>
              </w:num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严格执行国家产业政策和准入标准，实行生态环境准入清单制度，禁止新建、扩建高污染项目，严格控制高耗能、高排放项目准入。新建、改建和扩建项目按照相关规定实行减量置换或者等量置换。</w:t>
            </w:r>
          </w:p>
          <w:p w14:paraId="0155605E">
            <w:pPr>
              <w:numPr>
                <w:ilvl w:val="0"/>
                <w:numId w:val="8"/>
              </w:num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禁止投资钢铁冶炼、水泥、电解铝、平板玻璃等产能严重过剩行业和炼焦、有色、电石、铁合金等新增产能项目。</w:t>
            </w:r>
          </w:p>
          <w:p w14:paraId="16098BF3">
            <w:pPr>
              <w:numPr>
                <w:ilvl w:val="0"/>
                <w:numId w:val="8"/>
              </w:num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w:t>
            </w:r>
          </w:p>
          <w:p w14:paraId="495DF33E">
            <w:pPr>
              <w:numPr>
                <w:ilvl w:val="0"/>
                <w:numId w:val="8"/>
              </w:num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p w14:paraId="3FDA27B3">
            <w:pPr>
              <w:numPr>
                <w:ilvl w:val="0"/>
                <w:numId w:val="8"/>
              </w:num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在优先保护类耕地集中区域严格控制新建有色金属冶炼、石油加工、化工、焦化、电镀、制革、铅蓄电池等行业企业，防止对耕地造成污染。</w:t>
            </w:r>
          </w:p>
          <w:p w14:paraId="09831346">
            <w:pPr>
              <w:numPr>
                <w:ilvl w:val="0"/>
                <w:numId w:val="8"/>
              </w:num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135F71A8">
            <w:pPr>
              <w:numPr>
                <w:ilvl w:val="0"/>
                <w:numId w:val="8"/>
              </w:num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模要求如下：沿海地区（指拥有海岸线的设区市）不低于 2000 万吨/年（允许分两期建设，5年内全部建成，一期不低于1000万吨/年）。</w:t>
            </w:r>
          </w:p>
          <w:p w14:paraId="4D99E9E2">
            <w:pPr>
              <w:numPr>
                <w:ilvl w:val="0"/>
                <w:numId w:val="8"/>
              </w:num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严格规范危化品管理，逐步退出人口聚集区内危化品的生产、储存、加工机构，加快实施重污染企业搬迁；加强居住区生态环境防护，建设封闭式石化园区，严格控制危化品仓储基地、运输路径等，减少对居民生活影响。</w:t>
            </w:r>
          </w:p>
          <w:p w14:paraId="2B4573B9">
            <w:pPr>
              <w:numPr>
                <w:ilvl w:val="0"/>
                <w:numId w:val="8"/>
              </w:num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项目必须进入规范化工园区。</w:t>
            </w:r>
          </w:p>
          <w:p w14:paraId="15DCA4C7">
            <w:pPr>
              <w:numPr>
                <w:ilvl w:val="0"/>
                <w:numId w:val="8"/>
              </w:num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逐步淘汰180平方米以下烧结机，逐步淘汰平面步进式烧结机，按照有关规定改造升级为大型带式烧结机；禁止新建球团竖炉，现有球团竖炉炉役到期不得大修，加快推动以链篦机-回转窑或带式焙烧机工艺取代球团竖炉工艺，鼓励企业之间通过合资合作方式建设大型链篦机-回转窑、带式焙烧机；加快推动以密闭皮带机取代汽车转运厂内大宗物料。</w:t>
            </w:r>
          </w:p>
          <w:p w14:paraId="40885734">
            <w:p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12、技术装备全面升级，高炉逐步达到1000立方米及以上、转炉逐步达到100吨及以上、烧结机逐步达到180平方米烧结机及以上。严格按照国家规定的产能减量置换政策实施改造升级，坚决杜绝借改造升级之机变相扩大生产能力；推广“一罐到底”工艺或采用鱼雷罐车运输铁水。</w:t>
            </w:r>
          </w:p>
          <w:p w14:paraId="69E029C4">
            <w:p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13、尚未配备脱硫装置的球团竖炉，立即停产淘汰，不再予以改造；烧结厂房实现全封闭。14、严禁备案和新建扩大产能的水泥熟料、平板玻璃项目。确有必要新建的，必须制定产能置换方案，实施产能置换。用于产能置换的生产线，必须在建设项目投产前关停并完成拆除退出。</w:t>
            </w:r>
          </w:p>
          <w:p w14:paraId="53614F1C">
            <w:p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15、引导和支持优势水泥熟料企业开展对单独粉磨企业的整合。</w:t>
            </w:r>
          </w:p>
          <w:p w14:paraId="2424A26B">
            <w:p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16、平板玻璃行业生产布局应满足《平板玻璃行业规范条件》要求。</w:t>
            </w:r>
          </w:p>
          <w:p w14:paraId="71455402">
            <w:p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17、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p>
          <w:p w14:paraId="1742A93D">
            <w:pPr>
              <w:spacing w:line="340" w:lineRule="exact"/>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18、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p>
        </w:tc>
        <w:tc>
          <w:tcPr>
            <w:tcW w:w="980" w:type="pct"/>
            <w:vAlign w:val="center"/>
          </w:tcPr>
          <w:p w14:paraId="0B097F12">
            <w:pPr>
              <w:adjustRightInd w:val="0"/>
              <w:snapToGrid w:val="0"/>
              <w:spacing w:line="360" w:lineRule="exact"/>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1、本项目对照</w:t>
            </w:r>
            <w:r>
              <w:rPr>
                <w:rFonts w:hint="eastAsia"/>
                <w:bCs/>
                <w:color w:val="000000" w:themeColor="text1"/>
                <w:szCs w:val="21"/>
                <w14:textFill>
                  <w14:solidFill>
                    <w14:schemeClr w14:val="tx1"/>
                  </w14:solidFill>
                </w14:textFill>
              </w:rPr>
              <w:t>《产业结构调整指导目录》属于鼓励类，不在《市场准入负面清单》《河北省禁止投资的产业目录》内；</w:t>
            </w:r>
          </w:p>
          <w:p w14:paraId="5C500918">
            <w:pPr>
              <w:adjustRightInd w:val="0"/>
              <w:snapToGrid w:val="0"/>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2、符合生态环境准入，不属于高污染、高耗能、高排放项目，不涉及减量置换或者等量置换；</w:t>
            </w:r>
          </w:p>
          <w:p w14:paraId="40D3371A">
            <w:pPr>
              <w:adjustRightInd w:val="0"/>
              <w:snapToGrid w:val="0"/>
              <w:spacing w:line="360" w:lineRule="exac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3-18本项目不涉及</w:t>
            </w:r>
          </w:p>
        </w:tc>
        <w:tc>
          <w:tcPr>
            <w:tcW w:w="337" w:type="pct"/>
            <w:vAlign w:val="center"/>
          </w:tcPr>
          <w:p w14:paraId="738D741A">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14:paraId="336631DE">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综上，本项目符合唐山市人民政府《关于实施“三线一单”生态环境分区管控的意见》（唐政字〔2021〕48号）中的相关要求。</w:t>
      </w:r>
    </w:p>
    <w:p w14:paraId="47CCE61A">
      <w:pPr>
        <w:autoSpaceDE w:val="0"/>
        <w:autoSpaceDN w:val="0"/>
        <w:adjustRightInd w:val="0"/>
        <w:snapToGrid w:val="0"/>
        <w:spacing w:line="440" w:lineRule="exact"/>
        <w:ind w:firstLine="482" w:firstLineChars="200"/>
        <w:rPr>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w:t>
      </w:r>
      <w:r>
        <w:rPr>
          <w:rFonts w:hint="eastAsia"/>
          <w:b/>
          <w:color w:val="000000" w:themeColor="text1"/>
          <w:kern w:val="0"/>
          <w:sz w:val="24"/>
          <w14:textFill>
            <w14:solidFill>
              <w14:schemeClr w14:val="tx1"/>
            </w14:solidFill>
          </w14:textFill>
        </w:rPr>
        <w:t>1</w:t>
      </w:r>
      <w:r>
        <w:rPr>
          <w:b/>
          <w:color w:val="000000" w:themeColor="text1"/>
          <w:kern w:val="0"/>
          <w:sz w:val="24"/>
          <w14:textFill>
            <w14:solidFill>
              <w14:schemeClr w14:val="tx1"/>
            </w14:solidFill>
          </w14:textFill>
        </w:rPr>
        <w:t>-</w:t>
      </w:r>
      <w:r>
        <w:rPr>
          <w:rFonts w:hint="eastAsia"/>
          <w:b/>
          <w:color w:val="000000" w:themeColor="text1"/>
          <w:kern w:val="0"/>
          <w:sz w:val="24"/>
          <w14:textFill>
            <w14:solidFill>
              <w14:schemeClr w14:val="tx1"/>
            </w14:solidFill>
          </w14:textFill>
        </w:rPr>
        <w:t>4</w:t>
      </w:r>
      <w:r>
        <w:rPr>
          <w:b/>
          <w:color w:val="000000" w:themeColor="text1"/>
          <w:kern w:val="0"/>
          <w:sz w:val="24"/>
          <w14:textFill>
            <w14:solidFill>
              <w14:schemeClr w14:val="tx1"/>
            </w14:solidFill>
          </w14:textFill>
        </w:rPr>
        <w:t xml:space="preserve">    </w:t>
      </w:r>
      <w:r>
        <w:rPr>
          <w:rFonts w:hint="eastAsia"/>
          <w:b/>
          <w:color w:val="000000" w:themeColor="text1"/>
          <w:kern w:val="0"/>
          <w:sz w:val="24"/>
          <w14:textFill>
            <w14:solidFill>
              <w14:schemeClr w14:val="tx1"/>
            </w14:solidFill>
          </w14:textFill>
        </w:rPr>
        <w:t>遵化</w:t>
      </w:r>
      <w:r>
        <w:rPr>
          <w:b/>
          <w:color w:val="000000" w:themeColor="text1"/>
          <w:kern w:val="0"/>
          <w:sz w:val="24"/>
          <w14:textFill>
            <w14:solidFill>
              <w14:schemeClr w14:val="tx1"/>
            </w14:solidFill>
          </w14:textFill>
        </w:rPr>
        <w:t>市管控单元</w:t>
      </w:r>
      <w:r>
        <w:rPr>
          <w:rFonts w:hint="eastAsia"/>
          <w:b/>
          <w:color w:val="000000" w:themeColor="text1"/>
          <w:kern w:val="0"/>
          <w:sz w:val="24"/>
          <w14:textFill>
            <w14:solidFill>
              <w14:schemeClr w14:val="tx1"/>
            </w14:solidFill>
          </w14:textFill>
        </w:rPr>
        <w:t>管控</w:t>
      </w:r>
      <w:r>
        <w:rPr>
          <w:b/>
          <w:color w:val="000000" w:themeColor="text1"/>
          <w:kern w:val="0"/>
          <w:sz w:val="24"/>
          <w14:textFill>
            <w14:solidFill>
              <w14:schemeClr w14:val="tx1"/>
            </w14:solidFill>
          </w14:textFill>
        </w:rPr>
        <w:t>要求</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3"/>
        <w:gridCol w:w="534"/>
        <w:gridCol w:w="2146"/>
        <w:gridCol w:w="476"/>
        <w:gridCol w:w="1421"/>
        <w:gridCol w:w="990"/>
        <w:gridCol w:w="3049"/>
        <w:gridCol w:w="3493"/>
        <w:gridCol w:w="584"/>
      </w:tblGrid>
      <w:tr w14:paraId="23B0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83"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4389275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编号</w:t>
            </w:r>
          </w:p>
        </w:tc>
        <w:tc>
          <w:tcPr>
            <w:tcW w:w="198"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63115AB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区县</w:t>
            </w:r>
          </w:p>
        </w:tc>
        <w:tc>
          <w:tcPr>
            <w:tcW w:w="796"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6D3999A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乡镇</w:t>
            </w:r>
          </w:p>
        </w:tc>
        <w:tc>
          <w:tcPr>
            <w:tcW w:w="177"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49732BB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单元类别</w:t>
            </w:r>
          </w:p>
        </w:tc>
        <w:tc>
          <w:tcPr>
            <w:tcW w:w="528"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7A94B3A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环境要素类别</w:t>
            </w:r>
          </w:p>
        </w:tc>
        <w:tc>
          <w:tcPr>
            <w:tcW w:w="368"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5CED237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维度</w:t>
            </w:r>
          </w:p>
        </w:tc>
        <w:tc>
          <w:tcPr>
            <w:tcW w:w="1132"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7FA63E1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管控措施</w:t>
            </w:r>
          </w:p>
        </w:tc>
        <w:tc>
          <w:tcPr>
            <w:tcW w:w="1297"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7DD4F17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项目情况</w:t>
            </w:r>
          </w:p>
        </w:tc>
        <w:tc>
          <w:tcPr>
            <w:tcW w:w="217"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4A28DC7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符合性</w:t>
            </w:r>
          </w:p>
        </w:tc>
      </w:tr>
      <w:tr w14:paraId="7CC7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0" w:hRule="atLeast"/>
        </w:trPr>
        <w:tc>
          <w:tcPr>
            <w:tcW w:w="283" w:type="pct"/>
            <w:vMerge w:val="restart"/>
            <w:tcBorders>
              <w:top w:val="single" w:color="auto" w:sz="4" w:space="0"/>
              <w:left w:val="single" w:color="auto" w:sz="8" w:space="0"/>
              <w:right w:val="single" w:color="auto" w:sz="4" w:space="0"/>
            </w:tcBorders>
            <w:tcMar>
              <w:top w:w="10" w:type="dxa"/>
              <w:left w:w="10" w:type="dxa"/>
              <w:right w:w="10" w:type="dxa"/>
            </w:tcMar>
            <w:vAlign w:val="center"/>
          </w:tcPr>
          <w:p w14:paraId="0C341583">
            <w:pPr>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ZH13028110009</w:t>
            </w:r>
          </w:p>
        </w:tc>
        <w:tc>
          <w:tcPr>
            <w:tcW w:w="198" w:type="pct"/>
            <w:vMerge w:val="restart"/>
            <w:tcBorders>
              <w:top w:val="single" w:color="auto" w:sz="4" w:space="0"/>
              <w:left w:val="single" w:color="auto" w:sz="4" w:space="0"/>
              <w:right w:val="single" w:color="auto" w:sz="4" w:space="0"/>
            </w:tcBorders>
            <w:tcMar>
              <w:top w:w="10" w:type="dxa"/>
              <w:left w:w="10" w:type="dxa"/>
              <w:right w:w="10" w:type="dxa"/>
            </w:tcMar>
            <w:vAlign w:val="center"/>
          </w:tcPr>
          <w:p w14:paraId="6CDE21E9">
            <w:pPr>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遵化市</w:t>
            </w:r>
          </w:p>
        </w:tc>
        <w:tc>
          <w:tcPr>
            <w:tcW w:w="796" w:type="pct"/>
            <w:vMerge w:val="restart"/>
            <w:tcBorders>
              <w:top w:val="single" w:color="auto" w:sz="4" w:space="0"/>
              <w:left w:val="single" w:color="auto" w:sz="4" w:space="0"/>
              <w:right w:val="single" w:color="auto" w:sz="4" w:space="0"/>
            </w:tcBorders>
            <w:tcMar>
              <w:top w:w="10" w:type="dxa"/>
              <w:left w:w="10" w:type="dxa"/>
              <w:right w:w="10" w:type="dxa"/>
            </w:tcMar>
            <w:vAlign w:val="center"/>
          </w:tcPr>
          <w:p w14:paraId="46BC61B7">
            <w:pPr>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堡子店镇、崔家庄镇、石门镇、苏家洼镇、西三里镇、兴旺寨镇、遵化镇、马兰峪镇、平安城镇、东新庄镇、新店子镇、党峪镇、东旧寨镇、铁厂镇、建明镇、西下营满族乡、汤泉满族乡、团瓢庄镇、娘娘庄镇、侯家寨镇、小厂乡、地北头镇、东陵满族乡、刘备寨乡</w:t>
            </w:r>
          </w:p>
        </w:tc>
        <w:tc>
          <w:tcPr>
            <w:tcW w:w="177" w:type="pct"/>
            <w:vMerge w:val="restart"/>
            <w:tcBorders>
              <w:top w:val="single" w:color="auto" w:sz="4" w:space="0"/>
              <w:left w:val="single" w:color="auto" w:sz="4" w:space="0"/>
              <w:right w:val="single" w:color="auto" w:sz="4" w:space="0"/>
            </w:tcBorders>
            <w:tcMar>
              <w:top w:w="10" w:type="dxa"/>
              <w:left w:w="10" w:type="dxa"/>
              <w:right w:w="10" w:type="dxa"/>
            </w:tcMar>
            <w:vAlign w:val="center"/>
          </w:tcPr>
          <w:p w14:paraId="76536C5B">
            <w:pPr>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优先保护单元</w:t>
            </w:r>
          </w:p>
        </w:tc>
        <w:tc>
          <w:tcPr>
            <w:tcW w:w="528" w:type="pct"/>
            <w:vMerge w:val="restart"/>
            <w:tcBorders>
              <w:top w:val="single" w:color="auto" w:sz="4" w:space="0"/>
              <w:left w:val="single" w:color="auto" w:sz="4" w:space="0"/>
              <w:right w:val="single" w:color="auto" w:sz="4" w:space="0"/>
            </w:tcBorders>
            <w:tcMar>
              <w:top w:w="10" w:type="dxa"/>
              <w:left w:w="10" w:type="dxa"/>
              <w:right w:w="10" w:type="dxa"/>
            </w:tcMar>
            <w:vAlign w:val="center"/>
          </w:tcPr>
          <w:p w14:paraId="0F47636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1、水源涵养区</w:t>
            </w:r>
          </w:p>
          <w:p w14:paraId="252A316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2、水土流失区</w:t>
            </w:r>
          </w:p>
          <w:p w14:paraId="04631DB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3、生态保护重</w:t>
            </w:r>
          </w:p>
          <w:p w14:paraId="5FBC4C8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要、极重要区</w:t>
            </w:r>
          </w:p>
        </w:tc>
        <w:tc>
          <w:tcPr>
            <w:tcW w:w="368" w:type="pct"/>
            <w:vMerge w:val="restart"/>
            <w:tcBorders>
              <w:top w:val="single" w:color="auto" w:sz="4" w:space="0"/>
              <w:left w:val="single" w:color="auto" w:sz="4" w:space="0"/>
              <w:right w:val="single" w:color="auto" w:sz="4" w:space="0"/>
            </w:tcBorders>
            <w:tcMar>
              <w:top w:w="10" w:type="dxa"/>
              <w:left w:w="10" w:type="dxa"/>
              <w:right w:w="10" w:type="dxa"/>
            </w:tcMar>
            <w:vAlign w:val="center"/>
          </w:tcPr>
          <w:p w14:paraId="7F03A7B6">
            <w:pPr>
              <w:spacing w:line="360" w:lineRule="exact"/>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空间布局</w:t>
            </w:r>
            <w:r>
              <w:rPr>
                <w:rFonts w:hint="eastAsia"/>
                <w:color w:val="000000" w:themeColor="text1"/>
                <w:kern w:val="0"/>
                <w:szCs w:val="21"/>
                <w:lang w:bidi="ar"/>
                <w14:textFill>
                  <w14:solidFill>
                    <w14:schemeClr w14:val="tx1"/>
                  </w14:solidFill>
                </w14:textFill>
              </w:rPr>
              <w:t>约束</w:t>
            </w:r>
          </w:p>
        </w:tc>
        <w:tc>
          <w:tcPr>
            <w:tcW w:w="1132" w:type="pct"/>
            <w:tcBorders>
              <w:top w:val="single" w:color="auto" w:sz="4" w:space="0"/>
              <w:left w:val="single" w:color="auto" w:sz="4" w:space="0"/>
              <w:bottom w:val="single" w:color="auto" w:sz="4" w:space="0"/>
              <w:right w:val="single" w:color="auto" w:sz="8" w:space="0"/>
            </w:tcBorders>
            <w:tcMar>
              <w:top w:w="10" w:type="dxa"/>
              <w:left w:w="10" w:type="dxa"/>
              <w:right w:w="10" w:type="dxa"/>
            </w:tcMar>
            <w:vAlign w:val="center"/>
          </w:tcPr>
          <w:p w14:paraId="55CFF3A5">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1、水源涵养区执行全市总体准入要求中一般生态空间的总体要求和水源涵养管控要求。</w:t>
            </w:r>
          </w:p>
        </w:tc>
        <w:tc>
          <w:tcPr>
            <w:tcW w:w="1297"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24FAEDB2">
            <w:pPr>
              <w:adjustRightInd w:val="0"/>
              <w:snapToGrid w:val="0"/>
              <w:spacing w:line="360" w:lineRule="exact"/>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本项目评价范围涉及燕山水源涵养区，根据上述对照唐山市三线一单及唐山市总体管控要求，符合唐山市一般生态空间的总体要求和水源涵养管控要求</w:t>
            </w:r>
          </w:p>
        </w:tc>
        <w:tc>
          <w:tcPr>
            <w:tcW w:w="217"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4E0A5FC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4DE3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3" w:type="pct"/>
            <w:vMerge w:val="continue"/>
            <w:tcBorders>
              <w:left w:val="single" w:color="auto" w:sz="8" w:space="0"/>
              <w:right w:val="single" w:color="auto" w:sz="4" w:space="0"/>
            </w:tcBorders>
            <w:tcMar>
              <w:top w:w="10" w:type="dxa"/>
              <w:left w:w="10" w:type="dxa"/>
              <w:right w:w="10" w:type="dxa"/>
            </w:tcMar>
            <w:vAlign w:val="center"/>
          </w:tcPr>
          <w:p w14:paraId="3EDA30A0">
            <w:pPr>
              <w:spacing w:line="360" w:lineRule="exact"/>
              <w:jc w:val="center"/>
              <w:rPr>
                <w:bCs/>
                <w:color w:val="000000" w:themeColor="text1"/>
                <w:szCs w:val="21"/>
                <w14:textFill>
                  <w14:solidFill>
                    <w14:schemeClr w14:val="tx1"/>
                  </w14:solidFill>
                </w14:textFill>
              </w:rPr>
            </w:pPr>
          </w:p>
        </w:tc>
        <w:tc>
          <w:tcPr>
            <w:tcW w:w="198" w:type="pct"/>
            <w:vMerge w:val="continue"/>
            <w:tcBorders>
              <w:left w:val="single" w:color="auto" w:sz="4" w:space="0"/>
              <w:right w:val="single" w:color="auto" w:sz="4" w:space="0"/>
            </w:tcBorders>
            <w:tcMar>
              <w:top w:w="10" w:type="dxa"/>
              <w:left w:w="10" w:type="dxa"/>
              <w:right w:w="10" w:type="dxa"/>
            </w:tcMar>
            <w:vAlign w:val="center"/>
          </w:tcPr>
          <w:p w14:paraId="1CFBB1B0">
            <w:pPr>
              <w:adjustRightInd w:val="0"/>
              <w:snapToGrid w:val="0"/>
              <w:spacing w:line="360" w:lineRule="exact"/>
              <w:jc w:val="center"/>
              <w:rPr>
                <w:color w:val="000000" w:themeColor="text1"/>
                <w:kern w:val="0"/>
                <w:szCs w:val="21"/>
                <w14:textFill>
                  <w14:solidFill>
                    <w14:schemeClr w14:val="tx1"/>
                  </w14:solidFill>
                </w14:textFill>
              </w:rPr>
            </w:pPr>
          </w:p>
        </w:tc>
        <w:tc>
          <w:tcPr>
            <w:tcW w:w="796" w:type="pct"/>
            <w:vMerge w:val="continue"/>
            <w:tcBorders>
              <w:left w:val="single" w:color="auto" w:sz="4" w:space="0"/>
              <w:right w:val="single" w:color="auto" w:sz="4" w:space="0"/>
            </w:tcBorders>
            <w:tcMar>
              <w:top w:w="10" w:type="dxa"/>
              <w:left w:w="10" w:type="dxa"/>
              <w:right w:w="10" w:type="dxa"/>
            </w:tcMar>
            <w:vAlign w:val="center"/>
          </w:tcPr>
          <w:p w14:paraId="3FACBD28">
            <w:pPr>
              <w:adjustRightInd w:val="0"/>
              <w:snapToGrid w:val="0"/>
              <w:spacing w:line="360" w:lineRule="exact"/>
              <w:jc w:val="center"/>
              <w:rPr>
                <w:color w:val="000000" w:themeColor="text1"/>
                <w:kern w:val="0"/>
                <w:szCs w:val="21"/>
                <w14:textFill>
                  <w14:solidFill>
                    <w14:schemeClr w14:val="tx1"/>
                  </w14:solidFill>
                </w14:textFill>
              </w:rPr>
            </w:pPr>
          </w:p>
        </w:tc>
        <w:tc>
          <w:tcPr>
            <w:tcW w:w="177" w:type="pct"/>
            <w:vMerge w:val="continue"/>
            <w:tcBorders>
              <w:left w:val="single" w:color="auto" w:sz="4" w:space="0"/>
              <w:right w:val="single" w:color="auto" w:sz="4" w:space="0"/>
            </w:tcBorders>
            <w:tcMar>
              <w:top w:w="10" w:type="dxa"/>
              <w:left w:w="10" w:type="dxa"/>
              <w:right w:w="10" w:type="dxa"/>
            </w:tcMar>
            <w:vAlign w:val="center"/>
          </w:tcPr>
          <w:p w14:paraId="4AE8C9BE">
            <w:pPr>
              <w:adjustRightInd w:val="0"/>
              <w:snapToGrid w:val="0"/>
              <w:spacing w:line="360" w:lineRule="exact"/>
              <w:jc w:val="center"/>
              <w:rPr>
                <w:color w:val="000000" w:themeColor="text1"/>
                <w:kern w:val="0"/>
                <w:szCs w:val="21"/>
                <w14:textFill>
                  <w14:solidFill>
                    <w14:schemeClr w14:val="tx1"/>
                  </w14:solidFill>
                </w14:textFill>
              </w:rPr>
            </w:pPr>
          </w:p>
        </w:tc>
        <w:tc>
          <w:tcPr>
            <w:tcW w:w="528" w:type="pct"/>
            <w:vMerge w:val="continue"/>
            <w:tcBorders>
              <w:left w:val="single" w:color="auto" w:sz="4" w:space="0"/>
              <w:right w:val="single" w:color="auto" w:sz="4" w:space="0"/>
            </w:tcBorders>
            <w:tcMar>
              <w:top w:w="10" w:type="dxa"/>
              <w:left w:w="10" w:type="dxa"/>
              <w:right w:w="10" w:type="dxa"/>
            </w:tcMar>
            <w:vAlign w:val="center"/>
          </w:tcPr>
          <w:p w14:paraId="5838197A">
            <w:pPr>
              <w:spacing w:line="360" w:lineRule="exact"/>
              <w:jc w:val="center"/>
              <w:rPr>
                <w:color w:val="000000" w:themeColor="text1"/>
                <w:szCs w:val="21"/>
                <w14:textFill>
                  <w14:solidFill>
                    <w14:schemeClr w14:val="tx1"/>
                  </w14:solidFill>
                </w14:textFill>
              </w:rPr>
            </w:pPr>
          </w:p>
        </w:tc>
        <w:tc>
          <w:tcPr>
            <w:tcW w:w="368" w:type="pct"/>
            <w:vMerge w:val="continue"/>
            <w:tcBorders>
              <w:left w:val="single" w:color="auto" w:sz="4" w:space="0"/>
              <w:right w:val="single" w:color="auto" w:sz="4" w:space="0"/>
            </w:tcBorders>
            <w:tcMar>
              <w:top w:w="10" w:type="dxa"/>
              <w:left w:w="10" w:type="dxa"/>
              <w:right w:w="10" w:type="dxa"/>
            </w:tcMar>
            <w:vAlign w:val="center"/>
          </w:tcPr>
          <w:p w14:paraId="7A2BCD36">
            <w:pPr>
              <w:spacing w:line="360" w:lineRule="exact"/>
              <w:jc w:val="center"/>
              <w:rPr>
                <w:color w:val="000000" w:themeColor="text1"/>
                <w:kern w:val="0"/>
                <w:szCs w:val="21"/>
                <w:lang w:bidi="ar"/>
                <w14:textFill>
                  <w14:solidFill>
                    <w14:schemeClr w14:val="tx1"/>
                  </w14:solidFill>
                </w14:textFill>
              </w:rPr>
            </w:pPr>
          </w:p>
        </w:tc>
        <w:tc>
          <w:tcPr>
            <w:tcW w:w="1132" w:type="pct"/>
            <w:tcBorders>
              <w:top w:val="single" w:color="auto" w:sz="4" w:space="0"/>
              <w:left w:val="single" w:color="auto" w:sz="4" w:space="0"/>
              <w:bottom w:val="single" w:color="auto" w:sz="4" w:space="0"/>
              <w:right w:val="single" w:color="auto" w:sz="8" w:space="0"/>
            </w:tcBorders>
            <w:tcMar>
              <w:top w:w="10" w:type="dxa"/>
              <w:left w:w="10" w:type="dxa"/>
              <w:right w:w="10" w:type="dxa"/>
            </w:tcMar>
            <w:vAlign w:val="center"/>
          </w:tcPr>
          <w:p w14:paraId="6246150B">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2、水土流失区执行全市总体准入要求中一般生态空间的总体要求和水土流失管控要求。</w:t>
            </w:r>
          </w:p>
        </w:tc>
        <w:tc>
          <w:tcPr>
            <w:tcW w:w="1297"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0ECFD374">
            <w:pPr>
              <w:adjustRightInd w:val="0"/>
              <w:snapToGrid w:val="0"/>
              <w:spacing w:line="360" w:lineRule="exact"/>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不涉及</w:t>
            </w:r>
          </w:p>
        </w:tc>
        <w:tc>
          <w:tcPr>
            <w:tcW w:w="217"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7A96710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28A0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3" w:type="pct"/>
            <w:vMerge w:val="continue"/>
            <w:tcBorders>
              <w:left w:val="single" w:color="auto" w:sz="8" w:space="0"/>
              <w:right w:val="single" w:color="auto" w:sz="4" w:space="0"/>
            </w:tcBorders>
            <w:tcMar>
              <w:top w:w="10" w:type="dxa"/>
              <w:left w:w="10" w:type="dxa"/>
              <w:right w:w="10" w:type="dxa"/>
            </w:tcMar>
            <w:vAlign w:val="center"/>
          </w:tcPr>
          <w:p w14:paraId="4C486328">
            <w:pPr>
              <w:spacing w:line="360" w:lineRule="exact"/>
              <w:jc w:val="center"/>
              <w:rPr>
                <w:bCs/>
                <w:color w:val="000000" w:themeColor="text1"/>
                <w:szCs w:val="21"/>
                <w14:textFill>
                  <w14:solidFill>
                    <w14:schemeClr w14:val="tx1"/>
                  </w14:solidFill>
                </w14:textFill>
              </w:rPr>
            </w:pPr>
          </w:p>
        </w:tc>
        <w:tc>
          <w:tcPr>
            <w:tcW w:w="198" w:type="pct"/>
            <w:vMerge w:val="continue"/>
            <w:tcBorders>
              <w:left w:val="single" w:color="auto" w:sz="4" w:space="0"/>
              <w:right w:val="single" w:color="auto" w:sz="4" w:space="0"/>
            </w:tcBorders>
            <w:tcMar>
              <w:top w:w="10" w:type="dxa"/>
              <w:left w:w="10" w:type="dxa"/>
              <w:right w:w="10" w:type="dxa"/>
            </w:tcMar>
            <w:vAlign w:val="center"/>
          </w:tcPr>
          <w:p w14:paraId="748B5344">
            <w:pPr>
              <w:adjustRightInd w:val="0"/>
              <w:snapToGrid w:val="0"/>
              <w:spacing w:line="360" w:lineRule="exact"/>
              <w:jc w:val="center"/>
              <w:rPr>
                <w:color w:val="000000" w:themeColor="text1"/>
                <w:kern w:val="0"/>
                <w:szCs w:val="21"/>
                <w14:textFill>
                  <w14:solidFill>
                    <w14:schemeClr w14:val="tx1"/>
                  </w14:solidFill>
                </w14:textFill>
              </w:rPr>
            </w:pPr>
          </w:p>
        </w:tc>
        <w:tc>
          <w:tcPr>
            <w:tcW w:w="796" w:type="pct"/>
            <w:vMerge w:val="continue"/>
            <w:tcBorders>
              <w:left w:val="single" w:color="auto" w:sz="4" w:space="0"/>
              <w:right w:val="single" w:color="auto" w:sz="4" w:space="0"/>
            </w:tcBorders>
            <w:tcMar>
              <w:top w:w="10" w:type="dxa"/>
              <w:left w:w="10" w:type="dxa"/>
              <w:right w:w="10" w:type="dxa"/>
            </w:tcMar>
            <w:vAlign w:val="center"/>
          </w:tcPr>
          <w:p w14:paraId="3AA63A79">
            <w:pPr>
              <w:adjustRightInd w:val="0"/>
              <w:snapToGrid w:val="0"/>
              <w:spacing w:line="360" w:lineRule="exact"/>
              <w:jc w:val="center"/>
              <w:rPr>
                <w:color w:val="000000" w:themeColor="text1"/>
                <w:kern w:val="0"/>
                <w:szCs w:val="21"/>
                <w14:textFill>
                  <w14:solidFill>
                    <w14:schemeClr w14:val="tx1"/>
                  </w14:solidFill>
                </w14:textFill>
              </w:rPr>
            </w:pPr>
          </w:p>
        </w:tc>
        <w:tc>
          <w:tcPr>
            <w:tcW w:w="177" w:type="pct"/>
            <w:vMerge w:val="continue"/>
            <w:tcBorders>
              <w:left w:val="single" w:color="auto" w:sz="4" w:space="0"/>
              <w:right w:val="single" w:color="auto" w:sz="4" w:space="0"/>
            </w:tcBorders>
            <w:tcMar>
              <w:top w:w="10" w:type="dxa"/>
              <w:left w:w="10" w:type="dxa"/>
              <w:right w:w="10" w:type="dxa"/>
            </w:tcMar>
            <w:vAlign w:val="center"/>
          </w:tcPr>
          <w:p w14:paraId="5EE2613C">
            <w:pPr>
              <w:adjustRightInd w:val="0"/>
              <w:snapToGrid w:val="0"/>
              <w:spacing w:line="360" w:lineRule="exact"/>
              <w:jc w:val="center"/>
              <w:rPr>
                <w:color w:val="000000" w:themeColor="text1"/>
                <w:kern w:val="0"/>
                <w:szCs w:val="21"/>
                <w14:textFill>
                  <w14:solidFill>
                    <w14:schemeClr w14:val="tx1"/>
                  </w14:solidFill>
                </w14:textFill>
              </w:rPr>
            </w:pPr>
          </w:p>
        </w:tc>
        <w:tc>
          <w:tcPr>
            <w:tcW w:w="528" w:type="pct"/>
            <w:vMerge w:val="continue"/>
            <w:tcBorders>
              <w:left w:val="single" w:color="auto" w:sz="4" w:space="0"/>
              <w:right w:val="single" w:color="auto" w:sz="4" w:space="0"/>
            </w:tcBorders>
            <w:tcMar>
              <w:top w:w="10" w:type="dxa"/>
              <w:left w:w="10" w:type="dxa"/>
              <w:right w:w="10" w:type="dxa"/>
            </w:tcMar>
            <w:vAlign w:val="center"/>
          </w:tcPr>
          <w:p w14:paraId="389E56DD">
            <w:pPr>
              <w:spacing w:line="360" w:lineRule="exact"/>
              <w:jc w:val="center"/>
              <w:rPr>
                <w:color w:val="000000" w:themeColor="text1"/>
                <w:szCs w:val="21"/>
                <w14:textFill>
                  <w14:solidFill>
                    <w14:schemeClr w14:val="tx1"/>
                  </w14:solidFill>
                </w14:textFill>
              </w:rPr>
            </w:pPr>
          </w:p>
        </w:tc>
        <w:tc>
          <w:tcPr>
            <w:tcW w:w="368" w:type="pct"/>
            <w:vMerge w:val="continue"/>
            <w:tcBorders>
              <w:left w:val="single" w:color="auto" w:sz="4" w:space="0"/>
              <w:bottom w:val="single" w:color="auto" w:sz="4" w:space="0"/>
              <w:right w:val="single" w:color="auto" w:sz="4" w:space="0"/>
            </w:tcBorders>
            <w:tcMar>
              <w:top w:w="10" w:type="dxa"/>
              <w:left w:w="10" w:type="dxa"/>
              <w:right w:w="10" w:type="dxa"/>
            </w:tcMar>
            <w:vAlign w:val="center"/>
          </w:tcPr>
          <w:p w14:paraId="67114133">
            <w:pPr>
              <w:spacing w:line="360" w:lineRule="exact"/>
              <w:jc w:val="center"/>
              <w:rPr>
                <w:color w:val="000000" w:themeColor="text1"/>
                <w:kern w:val="0"/>
                <w:szCs w:val="21"/>
                <w:lang w:bidi="ar"/>
                <w14:textFill>
                  <w14:solidFill>
                    <w14:schemeClr w14:val="tx1"/>
                  </w14:solidFill>
                </w14:textFill>
              </w:rPr>
            </w:pPr>
          </w:p>
        </w:tc>
        <w:tc>
          <w:tcPr>
            <w:tcW w:w="1132" w:type="pct"/>
            <w:tcBorders>
              <w:top w:val="single" w:color="auto" w:sz="4" w:space="0"/>
              <w:left w:val="single" w:color="auto" w:sz="4" w:space="0"/>
              <w:bottom w:val="single" w:color="auto" w:sz="4" w:space="0"/>
              <w:right w:val="single" w:color="auto" w:sz="8" w:space="0"/>
            </w:tcBorders>
            <w:tcMar>
              <w:top w:w="10" w:type="dxa"/>
              <w:left w:w="10" w:type="dxa"/>
              <w:right w:w="10" w:type="dxa"/>
            </w:tcMar>
            <w:vAlign w:val="center"/>
          </w:tcPr>
          <w:p w14:paraId="68AF100C">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3、生态保护重要、极重要区执行全市总体准入要求中一般生态空间的总体要求。</w:t>
            </w:r>
          </w:p>
        </w:tc>
        <w:tc>
          <w:tcPr>
            <w:tcW w:w="1297"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1B0D92E2">
            <w:pPr>
              <w:adjustRightInd w:val="0"/>
              <w:snapToGrid w:val="0"/>
              <w:spacing w:line="360" w:lineRule="exact"/>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不涉及</w:t>
            </w:r>
          </w:p>
        </w:tc>
        <w:tc>
          <w:tcPr>
            <w:tcW w:w="217"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597925C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491F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3" w:type="pct"/>
            <w:vMerge w:val="continue"/>
            <w:tcBorders>
              <w:left w:val="single" w:color="auto" w:sz="8" w:space="0"/>
              <w:right w:val="single" w:color="auto" w:sz="4" w:space="0"/>
            </w:tcBorders>
            <w:tcMar>
              <w:top w:w="10" w:type="dxa"/>
              <w:left w:w="10" w:type="dxa"/>
              <w:right w:w="10" w:type="dxa"/>
            </w:tcMar>
            <w:vAlign w:val="center"/>
          </w:tcPr>
          <w:p w14:paraId="4F1C5430">
            <w:pPr>
              <w:spacing w:line="360" w:lineRule="exact"/>
              <w:jc w:val="center"/>
              <w:rPr>
                <w:bCs/>
                <w:color w:val="000000" w:themeColor="text1"/>
                <w:szCs w:val="21"/>
                <w14:textFill>
                  <w14:solidFill>
                    <w14:schemeClr w14:val="tx1"/>
                  </w14:solidFill>
                </w14:textFill>
              </w:rPr>
            </w:pPr>
          </w:p>
        </w:tc>
        <w:tc>
          <w:tcPr>
            <w:tcW w:w="198" w:type="pct"/>
            <w:vMerge w:val="continue"/>
            <w:tcBorders>
              <w:left w:val="single" w:color="auto" w:sz="4" w:space="0"/>
              <w:right w:val="single" w:color="auto" w:sz="4" w:space="0"/>
            </w:tcBorders>
            <w:tcMar>
              <w:top w:w="10" w:type="dxa"/>
              <w:left w:w="10" w:type="dxa"/>
              <w:right w:w="10" w:type="dxa"/>
            </w:tcMar>
            <w:vAlign w:val="center"/>
          </w:tcPr>
          <w:p w14:paraId="18CA2028">
            <w:pPr>
              <w:adjustRightInd w:val="0"/>
              <w:snapToGrid w:val="0"/>
              <w:spacing w:line="360" w:lineRule="exact"/>
              <w:jc w:val="center"/>
              <w:rPr>
                <w:color w:val="000000" w:themeColor="text1"/>
                <w:kern w:val="0"/>
                <w:szCs w:val="21"/>
                <w14:textFill>
                  <w14:solidFill>
                    <w14:schemeClr w14:val="tx1"/>
                  </w14:solidFill>
                </w14:textFill>
              </w:rPr>
            </w:pPr>
          </w:p>
        </w:tc>
        <w:tc>
          <w:tcPr>
            <w:tcW w:w="796" w:type="pct"/>
            <w:vMerge w:val="continue"/>
            <w:tcBorders>
              <w:left w:val="single" w:color="auto" w:sz="4" w:space="0"/>
              <w:right w:val="single" w:color="auto" w:sz="4" w:space="0"/>
            </w:tcBorders>
            <w:tcMar>
              <w:top w:w="10" w:type="dxa"/>
              <w:left w:w="10" w:type="dxa"/>
              <w:right w:w="10" w:type="dxa"/>
            </w:tcMar>
            <w:vAlign w:val="center"/>
          </w:tcPr>
          <w:p w14:paraId="578F2DF9">
            <w:pPr>
              <w:adjustRightInd w:val="0"/>
              <w:snapToGrid w:val="0"/>
              <w:spacing w:line="360" w:lineRule="exact"/>
              <w:jc w:val="center"/>
              <w:rPr>
                <w:color w:val="000000" w:themeColor="text1"/>
                <w:kern w:val="0"/>
                <w:szCs w:val="21"/>
                <w14:textFill>
                  <w14:solidFill>
                    <w14:schemeClr w14:val="tx1"/>
                  </w14:solidFill>
                </w14:textFill>
              </w:rPr>
            </w:pPr>
          </w:p>
        </w:tc>
        <w:tc>
          <w:tcPr>
            <w:tcW w:w="177" w:type="pct"/>
            <w:vMerge w:val="continue"/>
            <w:tcBorders>
              <w:left w:val="single" w:color="auto" w:sz="4" w:space="0"/>
              <w:right w:val="single" w:color="auto" w:sz="4" w:space="0"/>
            </w:tcBorders>
            <w:tcMar>
              <w:top w:w="10" w:type="dxa"/>
              <w:left w:w="10" w:type="dxa"/>
              <w:right w:w="10" w:type="dxa"/>
            </w:tcMar>
            <w:vAlign w:val="center"/>
          </w:tcPr>
          <w:p w14:paraId="7FF8709F">
            <w:pPr>
              <w:adjustRightInd w:val="0"/>
              <w:snapToGrid w:val="0"/>
              <w:spacing w:line="360" w:lineRule="exact"/>
              <w:jc w:val="center"/>
              <w:rPr>
                <w:color w:val="000000" w:themeColor="text1"/>
                <w:kern w:val="0"/>
                <w:szCs w:val="21"/>
                <w14:textFill>
                  <w14:solidFill>
                    <w14:schemeClr w14:val="tx1"/>
                  </w14:solidFill>
                </w14:textFill>
              </w:rPr>
            </w:pPr>
          </w:p>
        </w:tc>
        <w:tc>
          <w:tcPr>
            <w:tcW w:w="528" w:type="pct"/>
            <w:vMerge w:val="continue"/>
            <w:tcBorders>
              <w:left w:val="single" w:color="auto" w:sz="4" w:space="0"/>
              <w:right w:val="single" w:color="auto" w:sz="4" w:space="0"/>
            </w:tcBorders>
            <w:tcMar>
              <w:top w:w="10" w:type="dxa"/>
              <w:left w:w="10" w:type="dxa"/>
              <w:right w:w="10" w:type="dxa"/>
            </w:tcMar>
            <w:vAlign w:val="center"/>
          </w:tcPr>
          <w:p w14:paraId="40BA6649">
            <w:pPr>
              <w:spacing w:line="360" w:lineRule="exact"/>
              <w:jc w:val="center"/>
              <w:rPr>
                <w:color w:val="000000" w:themeColor="text1"/>
                <w:szCs w:val="21"/>
                <w14:textFill>
                  <w14:solidFill>
                    <w14:schemeClr w14:val="tx1"/>
                  </w14:solidFill>
                </w14:textFill>
              </w:rPr>
            </w:pPr>
          </w:p>
        </w:tc>
        <w:tc>
          <w:tcPr>
            <w:tcW w:w="368"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4DB52FA9">
            <w:pPr>
              <w:spacing w:line="360" w:lineRule="exact"/>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污染物排放管控</w:t>
            </w:r>
          </w:p>
        </w:tc>
        <w:tc>
          <w:tcPr>
            <w:tcW w:w="1132" w:type="pct"/>
            <w:tcBorders>
              <w:top w:val="single" w:color="auto" w:sz="4" w:space="0"/>
              <w:left w:val="single" w:color="auto" w:sz="4" w:space="0"/>
              <w:bottom w:val="single" w:color="auto" w:sz="4" w:space="0"/>
              <w:right w:val="single" w:color="auto" w:sz="8" w:space="0"/>
            </w:tcBorders>
            <w:tcMar>
              <w:top w:w="10" w:type="dxa"/>
              <w:left w:w="10" w:type="dxa"/>
              <w:right w:w="10" w:type="dxa"/>
            </w:tcMar>
            <w:vAlign w:val="center"/>
          </w:tcPr>
          <w:p w14:paraId="760753F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4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05056EAB">
            <w:pPr>
              <w:spacing w:line="360" w:lineRule="exact"/>
              <w:jc w:val="center"/>
              <w:rPr>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w:t>
            </w:r>
          </w:p>
        </w:tc>
        <w:tc>
          <w:tcPr>
            <w:tcW w:w="586"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2E401BD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D68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3" w:type="pct"/>
            <w:vMerge w:val="continue"/>
            <w:tcBorders>
              <w:left w:val="single" w:color="auto" w:sz="8" w:space="0"/>
              <w:right w:val="single" w:color="auto" w:sz="4" w:space="0"/>
            </w:tcBorders>
            <w:tcMar>
              <w:top w:w="10" w:type="dxa"/>
              <w:left w:w="10" w:type="dxa"/>
              <w:right w:w="10" w:type="dxa"/>
            </w:tcMar>
            <w:vAlign w:val="center"/>
          </w:tcPr>
          <w:p w14:paraId="28422B11">
            <w:pPr>
              <w:spacing w:line="360" w:lineRule="exact"/>
              <w:jc w:val="center"/>
              <w:rPr>
                <w:bCs/>
                <w:color w:val="000000" w:themeColor="text1"/>
                <w:szCs w:val="21"/>
                <w14:textFill>
                  <w14:solidFill>
                    <w14:schemeClr w14:val="tx1"/>
                  </w14:solidFill>
                </w14:textFill>
              </w:rPr>
            </w:pPr>
          </w:p>
        </w:tc>
        <w:tc>
          <w:tcPr>
            <w:tcW w:w="198" w:type="pct"/>
            <w:vMerge w:val="continue"/>
            <w:tcBorders>
              <w:left w:val="single" w:color="auto" w:sz="4" w:space="0"/>
              <w:right w:val="single" w:color="auto" w:sz="4" w:space="0"/>
            </w:tcBorders>
            <w:tcMar>
              <w:top w:w="10" w:type="dxa"/>
              <w:left w:w="10" w:type="dxa"/>
              <w:right w:w="10" w:type="dxa"/>
            </w:tcMar>
            <w:vAlign w:val="center"/>
          </w:tcPr>
          <w:p w14:paraId="6862DB4F">
            <w:pPr>
              <w:adjustRightInd w:val="0"/>
              <w:snapToGrid w:val="0"/>
              <w:spacing w:line="360" w:lineRule="exact"/>
              <w:jc w:val="center"/>
              <w:rPr>
                <w:color w:val="000000" w:themeColor="text1"/>
                <w:kern w:val="0"/>
                <w:szCs w:val="21"/>
                <w14:textFill>
                  <w14:solidFill>
                    <w14:schemeClr w14:val="tx1"/>
                  </w14:solidFill>
                </w14:textFill>
              </w:rPr>
            </w:pPr>
          </w:p>
        </w:tc>
        <w:tc>
          <w:tcPr>
            <w:tcW w:w="796" w:type="pct"/>
            <w:vMerge w:val="continue"/>
            <w:tcBorders>
              <w:left w:val="single" w:color="auto" w:sz="4" w:space="0"/>
              <w:right w:val="single" w:color="auto" w:sz="4" w:space="0"/>
            </w:tcBorders>
            <w:tcMar>
              <w:top w:w="10" w:type="dxa"/>
              <w:left w:w="10" w:type="dxa"/>
              <w:right w:w="10" w:type="dxa"/>
            </w:tcMar>
            <w:vAlign w:val="center"/>
          </w:tcPr>
          <w:p w14:paraId="34A10CDF">
            <w:pPr>
              <w:adjustRightInd w:val="0"/>
              <w:snapToGrid w:val="0"/>
              <w:spacing w:line="360" w:lineRule="exact"/>
              <w:jc w:val="center"/>
              <w:rPr>
                <w:color w:val="000000" w:themeColor="text1"/>
                <w:kern w:val="0"/>
                <w:szCs w:val="21"/>
                <w14:textFill>
                  <w14:solidFill>
                    <w14:schemeClr w14:val="tx1"/>
                  </w14:solidFill>
                </w14:textFill>
              </w:rPr>
            </w:pPr>
          </w:p>
        </w:tc>
        <w:tc>
          <w:tcPr>
            <w:tcW w:w="177" w:type="pct"/>
            <w:vMerge w:val="continue"/>
            <w:tcBorders>
              <w:left w:val="single" w:color="auto" w:sz="4" w:space="0"/>
              <w:right w:val="single" w:color="auto" w:sz="4" w:space="0"/>
            </w:tcBorders>
            <w:tcMar>
              <w:top w:w="10" w:type="dxa"/>
              <w:left w:w="10" w:type="dxa"/>
              <w:right w:w="10" w:type="dxa"/>
            </w:tcMar>
            <w:vAlign w:val="center"/>
          </w:tcPr>
          <w:p w14:paraId="283F641F">
            <w:pPr>
              <w:adjustRightInd w:val="0"/>
              <w:snapToGrid w:val="0"/>
              <w:spacing w:line="360" w:lineRule="exact"/>
              <w:jc w:val="center"/>
              <w:rPr>
                <w:color w:val="000000" w:themeColor="text1"/>
                <w:kern w:val="0"/>
                <w:szCs w:val="21"/>
                <w14:textFill>
                  <w14:solidFill>
                    <w14:schemeClr w14:val="tx1"/>
                  </w14:solidFill>
                </w14:textFill>
              </w:rPr>
            </w:pPr>
          </w:p>
        </w:tc>
        <w:tc>
          <w:tcPr>
            <w:tcW w:w="528" w:type="pct"/>
            <w:vMerge w:val="continue"/>
            <w:tcBorders>
              <w:left w:val="single" w:color="auto" w:sz="4" w:space="0"/>
              <w:right w:val="single" w:color="auto" w:sz="4" w:space="0"/>
            </w:tcBorders>
            <w:tcMar>
              <w:top w:w="10" w:type="dxa"/>
              <w:left w:w="10" w:type="dxa"/>
              <w:right w:w="10" w:type="dxa"/>
            </w:tcMar>
            <w:vAlign w:val="center"/>
          </w:tcPr>
          <w:p w14:paraId="10B42ED4">
            <w:pPr>
              <w:spacing w:line="360" w:lineRule="exact"/>
              <w:jc w:val="center"/>
              <w:rPr>
                <w:color w:val="000000" w:themeColor="text1"/>
                <w:szCs w:val="21"/>
                <w14:textFill>
                  <w14:solidFill>
                    <w14:schemeClr w14:val="tx1"/>
                  </w14:solidFill>
                </w14:textFill>
              </w:rPr>
            </w:pPr>
          </w:p>
        </w:tc>
        <w:tc>
          <w:tcPr>
            <w:tcW w:w="368"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0A10516A">
            <w:pPr>
              <w:spacing w:line="360" w:lineRule="exact"/>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环境风险防控</w:t>
            </w:r>
          </w:p>
        </w:tc>
        <w:tc>
          <w:tcPr>
            <w:tcW w:w="1132" w:type="pct"/>
            <w:tcBorders>
              <w:top w:val="single" w:color="auto" w:sz="4" w:space="0"/>
              <w:left w:val="single" w:color="auto" w:sz="4" w:space="0"/>
              <w:bottom w:val="single" w:color="auto" w:sz="4" w:space="0"/>
              <w:right w:val="single" w:color="auto" w:sz="8" w:space="0"/>
            </w:tcBorders>
            <w:tcMar>
              <w:top w:w="10" w:type="dxa"/>
              <w:left w:w="10" w:type="dxa"/>
              <w:right w:w="10" w:type="dxa"/>
            </w:tcMar>
            <w:vAlign w:val="center"/>
          </w:tcPr>
          <w:p w14:paraId="17E51ED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493"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75D27913">
            <w:pPr>
              <w:spacing w:line="360" w:lineRule="exact"/>
              <w:jc w:val="center"/>
              <w:rPr>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w:t>
            </w:r>
          </w:p>
        </w:tc>
        <w:tc>
          <w:tcPr>
            <w:tcW w:w="586"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28712BF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0073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3" w:type="pct"/>
            <w:vMerge w:val="continue"/>
            <w:tcBorders>
              <w:left w:val="single" w:color="auto" w:sz="8" w:space="0"/>
              <w:bottom w:val="single" w:color="auto" w:sz="4" w:space="0"/>
              <w:right w:val="single" w:color="auto" w:sz="4" w:space="0"/>
            </w:tcBorders>
            <w:tcMar>
              <w:top w:w="10" w:type="dxa"/>
              <w:left w:w="10" w:type="dxa"/>
              <w:right w:w="10" w:type="dxa"/>
            </w:tcMar>
            <w:vAlign w:val="center"/>
          </w:tcPr>
          <w:p w14:paraId="4E15C511">
            <w:pPr>
              <w:spacing w:line="360" w:lineRule="exact"/>
              <w:jc w:val="center"/>
              <w:rPr>
                <w:bCs/>
                <w:color w:val="000000" w:themeColor="text1"/>
                <w:szCs w:val="21"/>
                <w14:textFill>
                  <w14:solidFill>
                    <w14:schemeClr w14:val="tx1"/>
                  </w14:solidFill>
                </w14:textFill>
              </w:rPr>
            </w:pPr>
          </w:p>
        </w:tc>
        <w:tc>
          <w:tcPr>
            <w:tcW w:w="198" w:type="pct"/>
            <w:vMerge w:val="continue"/>
            <w:tcBorders>
              <w:left w:val="single" w:color="auto" w:sz="4" w:space="0"/>
              <w:bottom w:val="single" w:color="auto" w:sz="4" w:space="0"/>
              <w:right w:val="single" w:color="auto" w:sz="4" w:space="0"/>
            </w:tcBorders>
            <w:tcMar>
              <w:top w:w="10" w:type="dxa"/>
              <w:left w:w="10" w:type="dxa"/>
              <w:right w:w="10" w:type="dxa"/>
            </w:tcMar>
            <w:vAlign w:val="center"/>
          </w:tcPr>
          <w:p w14:paraId="59A60490">
            <w:pPr>
              <w:adjustRightInd w:val="0"/>
              <w:snapToGrid w:val="0"/>
              <w:spacing w:line="360" w:lineRule="exact"/>
              <w:jc w:val="center"/>
              <w:rPr>
                <w:color w:val="000000" w:themeColor="text1"/>
                <w:kern w:val="0"/>
                <w:szCs w:val="21"/>
                <w14:textFill>
                  <w14:solidFill>
                    <w14:schemeClr w14:val="tx1"/>
                  </w14:solidFill>
                </w14:textFill>
              </w:rPr>
            </w:pPr>
          </w:p>
        </w:tc>
        <w:tc>
          <w:tcPr>
            <w:tcW w:w="796" w:type="pct"/>
            <w:vMerge w:val="continue"/>
            <w:tcBorders>
              <w:left w:val="single" w:color="auto" w:sz="4" w:space="0"/>
              <w:bottom w:val="single" w:color="auto" w:sz="4" w:space="0"/>
              <w:right w:val="single" w:color="auto" w:sz="4" w:space="0"/>
            </w:tcBorders>
            <w:tcMar>
              <w:top w:w="10" w:type="dxa"/>
              <w:left w:w="10" w:type="dxa"/>
              <w:right w:w="10" w:type="dxa"/>
            </w:tcMar>
            <w:vAlign w:val="center"/>
          </w:tcPr>
          <w:p w14:paraId="04C3EA97">
            <w:pPr>
              <w:adjustRightInd w:val="0"/>
              <w:snapToGrid w:val="0"/>
              <w:spacing w:line="360" w:lineRule="exact"/>
              <w:jc w:val="center"/>
              <w:rPr>
                <w:color w:val="000000" w:themeColor="text1"/>
                <w:kern w:val="0"/>
                <w:szCs w:val="21"/>
                <w14:textFill>
                  <w14:solidFill>
                    <w14:schemeClr w14:val="tx1"/>
                  </w14:solidFill>
                </w14:textFill>
              </w:rPr>
            </w:pPr>
          </w:p>
        </w:tc>
        <w:tc>
          <w:tcPr>
            <w:tcW w:w="177" w:type="pct"/>
            <w:vMerge w:val="continue"/>
            <w:tcBorders>
              <w:left w:val="single" w:color="auto" w:sz="4" w:space="0"/>
              <w:right w:val="single" w:color="auto" w:sz="4" w:space="0"/>
            </w:tcBorders>
            <w:tcMar>
              <w:top w:w="10" w:type="dxa"/>
              <w:left w:w="10" w:type="dxa"/>
              <w:right w:w="10" w:type="dxa"/>
            </w:tcMar>
            <w:vAlign w:val="center"/>
          </w:tcPr>
          <w:p w14:paraId="367BFA68">
            <w:pPr>
              <w:adjustRightInd w:val="0"/>
              <w:snapToGrid w:val="0"/>
              <w:spacing w:line="360" w:lineRule="exact"/>
              <w:jc w:val="center"/>
              <w:rPr>
                <w:color w:val="000000" w:themeColor="text1"/>
                <w:kern w:val="0"/>
                <w:szCs w:val="21"/>
                <w14:textFill>
                  <w14:solidFill>
                    <w14:schemeClr w14:val="tx1"/>
                  </w14:solidFill>
                </w14:textFill>
              </w:rPr>
            </w:pPr>
          </w:p>
        </w:tc>
        <w:tc>
          <w:tcPr>
            <w:tcW w:w="528" w:type="pct"/>
            <w:vMerge w:val="continue"/>
            <w:tcBorders>
              <w:left w:val="single" w:color="auto" w:sz="4" w:space="0"/>
              <w:right w:val="single" w:color="auto" w:sz="4" w:space="0"/>
            </w:tcBorders>
            <w:tcMar>
              <w:top w:w="10" w:type="dxa"/>
              <w:left w:w="10" w:type="dxa"/>
              <w:right w:w="10" w:type="dxa"/>
            </w:tcMar>
            <w:vAlign w:val="center"/>
          </w:tcPr>
          <w:p w14:paraId="7848AA05">
            <w:pPr>
              <w:spacing w:line="360" w:lineRule="exact"/>
              <w:jc w:val="center"/>
              <w:rPr>
                <w:color w:val="000000" w:themeColor="text1"/>
                <w:szCs w:val="21"/>
                <w14:textFill>
                  <w14:solidFill>
                    <w14:schemeClr w14:val="tx1"/>
                  </w14:solidFill>
                </w14:textFill>
              </w:rPr>
            </w:pPr>
          </w:p>
        </w:tc>
        <w:tc>
          <w:tcPr>
            <w:tcW w:w="368" w:type="pc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1510D98D">
            <w:pPr>
              <w:spacing w:line="360" w:lineRule="exact"/>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资源利用效率要求</w:t>
            </w:r>
          </w:p>
        </w:tc>
        <w:tc>
          <w:tcPr>
            <w:tcW w:w="1132" w:type="pct"/>
            <w:tcBorders>
              <w:top w:val="single" w:color="auto" w:sz="4" w:space="0"/>
              <w:left w:val="single" w:color="auto" w:sz="4" w:space="0"/>
              <w:bottom w:val="single" w:color="auto" w:sz="4" w:space="0"/>
              <w:right w:val="single" w:color="auto" w:sz="8" w:space="0"/>
            </w:tcBorders>
            <w:tcMar>
              <w:top w:w="10" w:type="dxa"/>
              <w:left w:w="10" w:type="dxa"/>
              <w:right w:w="10" w:type="dxa"/>
            </w:tcMar>
            <w:vAlign w:val="center"/>
          </w:tcPr>
          <w:p w14:paraId="676B033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493" w:type="dxa"/>
            <w:tcBorders>
              <w:top w:val="single" w:color="auto" w:sz="4" w:space="0"/>
              <w:left w:val="single" w:color="auto" w:sz="4" w:space="0"/>
              <w:right w:val="single" w:color="auto" w:sz="4" w:space="0"/>
            </w:tcBorders>
            <w:tcMar>
              <w:top w:w="10" w:type="dxa"/>
              <w:left w:w="10" w:type="dxa"/>
              <w:right w:w="10" w:type="dxa"/>
            </w:tcMar>
            <w:vAlign w:val="center"/>
          </w:tcPr>
          <w:p w14:paraId="0FE73B7B">
            <w:pPr>
              <w:spacing w:line="360" w:lineRule="exact"/>
              <w:jc w:val="center"/>
              <w:rPr>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w:t>
            </w:r>
          </w:p>
        </w:tc>
        <w:tc>
          <w:tcPr>
            <w:tcW w:w="586" w:type="dxa"/>
            <w:tcBorders>
              <w:top w:val="single" w:color="auto" w:sz="4" w:space="0"/>
              <w:left w:val="single" w:color="auto" w:sz="4" w:space="0"/>
              <w:right w:val="single" w:color="auto" w:sz="4" w:space="0"/>
            </w:tcBorders>
            <w:tcMar>
              <w:top w:w="10" w:type="dxa"/>
              <w:left w:w="10" w:type="dxa"/>
              <w:right w:w="10" w:type="dxa"/>
            </w:tcMar>
            <w:vAlign w:val="center"/>
          </w:tcPr>
          <w:p w14:paraId="6AFFC5F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14:paraId="0C616258">
      <w:pPr>
        <w:pStyle w:val="3"/>
        <w:ind w:firstLine="480"/>
        <w:rPr>
          <w:rFonts w:ascii="宋体" w:hAnsi="宋体"/>
          <w:color w:val="000000" w:themeColor="text1"/>
          <w:sz w:val="24"/>
          <w14:textFill>
            <w14:solidFill>
              <w14:schemeClr w14:val="tx1"/>
            </w14:solidFill>
          </w14:textFill>
        </w:rPr>
        <w:sectPr>
          <w:pgSz w:w="16838" w:h="11906" w:orient="landscape"/>
          <w:pgMar w:top="1531" w:right="1701" w:bottom="1531" w:left="1701" w:header="851" w:footer="680" w:gutter="0"/>
          <w:cols w:space="720" w:num="1"/>
          <w:docGrid w:linePitch="312" w:charSpace="0"/>
        </w:sectPr>
      </w:pPr>
      <w:r>
        <w:rPr>
          <w:color w:val="000000" w:themeColor="text1"/>
          <w:sz w:val="24"/>
          <w14:textFill>
            <w14:solidFill>
              <w14:schemeClr w14:val="tx1"/>
            </w14:solidFill>
          </w14:textFill>
        </w:rPr>
        <w:t>综上所述，项目建设符合</w:t>
      </w:r>
      <w:r>
        <w:rPr>
          <w:rFonts w:hint="eastAsia"/>
          <w:color w:val="000000" w:themeColor="text1"/>
          <w:sz w:val="24"/>
          <w14:textFill>
            <w14:solidFill>
              <w14:schemeClr w14:val="tx1"/>
            </w14:solidFill>
          </w14:textFill>
        </w:rPr>
        <w:t>遵化市管控单元管控要求。</w:t>
      </w:r>
    </w:p>
    <w:tbl>
      <w:tblPr>
        <w:tblStyle w:val="66"/>
        <w:tblW w:w="0" w:type="auto"/>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34"/>
        <w:gridCol w:w="7774"/>
      </w:tblGrid>
      <w:tr w14:paraId="698F5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836" w:hRule="atLeast"/>
        </w:trPr>
        <w:tc>
          <w:tcPr>
            <w:tcW w:w="1034" w:type="dxa"/>
            <w:tcMar>
              <w:top w:w="16" w:type="dxa"/>
              <w:left w:w="16" w:type="dxa"/>
              <w:right w:w="16" w:type="dxa"/>
            </w:tcMar>
            <w:vAlign w:val="center"/>
          </w:tcPr>
          <w:p w14:paraId="528F30D4">
            <w:pPr>
              <w:autoSpaceDE w:val="0"/>
              <w:autoSpaceDN w:val="0"/>
              <w:adjustRightInd w:val="0"/>
              <w:snapToGrid w:val="0"/>
              <w:spacing w:line="360" w:lineRule="exact"/>
              <w:jc w:val="center"/>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其</w:t>
            </w:r>
            <w:r>
              <w:rPr>
                <w:rFonts w:ascii="宋体" w:hAnsi="宋体"/>
                <w:color w:val="000000" w:themeColor="text1"/>
                <w:kern w:val="0"/>
                <w:sz w:val="24"/>
                <w14:textFill>
                  <w14:solidFill>
                    <w14:schemeClr w14:val="tx1"/>
                  </w14:solidFill>
                </w14:textFill>
              </w:rPr>
              <w:t>他符合性分析</w:t>
            </w:r>
          </w:p>
        </w:tc>
        <w:tc>
          <w:tcPr>
            <w:tcW w:w="7774" w:type="dxa"/>
            <w:tcMar>
              <w:top w:w="16" w:type="dxa"/>
              <w:left w:w="16" w:type="dxa"/>
              <w:right w:w="16" w:type="dxa"/>
            </w:tcMar>
            <w:vAlign w:val="center"/>
          </w:tcPr>
          <w:p w14:paraId="5DAE6B98">
            <w:pPr>
              <w:numPr>
                <w:ilvl w:val="0"/>
                <w:numId w:val="9"/>
              </w:numPr>
              <w:autoSpaceDE w:val="0"/>
              <w:autoSpaceDN w:val="0"/>
              <w:adjustRightInd w:val="0"/>
              <w:snapToGrid w:val="0"/>
              <w:spacing w:line="440" w:lineRule="exact"/>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与《关于支持光伏发电产业发展规范用地管理有关工作的通知》（自然资办发[2023]12 号）符合性分析</w:t>
            </w:r>
          </w:p>
          <w:p w14:paraId="1E957BCC">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《关于支持光伏发电产业发展规范用地管理有关工作的通知》（自然资办发[2023]12 号）要求：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和东北内蒙古重点国有林区。</w:t>
            </w:r>
          </w:p>
          <w:p w14:paraId="353F7D28">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本项目位于河北省唐山市遵化市铁厂镇，项目占地为农用地（不涉及耕地）。工程占地范围内不涉及生态红线，符合相关规划。</w:t>
            </w:r>
          </w:p>
          <w:p w14:paraId="653B057F">
            <w:pPr>
              <w:numPr>
                <w:ilvl w:val="0"/>
                <w:numId w:val="9"/>
              </w:numPr>
              <w:autoSpaceDE w:val="0"/>
              <w:autoSpaceDN w:val="0"/>
              <w:adjustRightInd w:val="0"/>
              <w:snapToGrid w:val="0"/>
              <w:spacing w:line="440" w:lineRule="exact"/>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与河北省发展和改革委员会、河北省自然资源厅《关于规范光伏复合项目用地管理有关事项的通知》（冀发改能源[2019]1104 号）的符合性分析</w:t>
            </w:r>
          </w:p>
          <w:p w14:paraId="01ED4212">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关于规范光伏复合项目用地管理有关事项的通知》（冀发改能源[2019]1104号）要求：各市、县应依据当地土地利用总体规划和光伏发电产业政策，积极引导光伏发电企业科学合理选址，可以利用未利用地的，不得占用耕地；可以利用劣地的，不得占用好地。禁止以任何方式占用永久基本农田，严禁在国家相关法律法规和规划明确禁止的区域内开发建设光伏复合项目。</w:t>
            </w:r>
          </w:p>
          <w:p w14:paraId="5E313A0D">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位于河北省唐山市遵化市铁厂镇，项目占地为荒山荒坡。工程占地范围内不涉及生态红线，符合相关规划。项目运营期废气、废水、噪声、固废均采取合理措施处置，不会对环境产生较大影响；项目采取相应治理措施后，经预测，其污染物排放均满足国家规定的污染物排放标准要求，项目建设符合生态保护红线及自然保护区相关的空间布局约束要求。因此本项目符合《关于规范光伏复合项目用地管理有关事项的通知》（冀发改能源[2019]1104号）要求。</w:t>
            </w:r>
          </w:p>
          <w:p w14:paraId="6ED8BA39">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p>
          <w:p w14:paraId="131A4CFF">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p>
          <w:p w14:paraId="5DFD361E">
            <w:pPr>
              <w:numPr>
                <w:ilvl w:val="0"/>
                <w:numId w:val="9"/>
              </w:numPr>
              <w:autoSpaceDE w:val="0"/>
              <w:autoSpaceDN w:val="0"/>
              <w:adjustRightInd w:val="0"/>
              <w:snapToGrid w:val="0"/>
              <w:spacing w:line="440" w:lineRule="exact"/>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与相关规划的符合性分析</w:t>
            </w:r>
          </w:p>
          <w:p w14:paraId="085C5F10">
            <w:pPr>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本项目与相关规划的符合性分析见下表 1-5。</w:t>
            </w:r>
          </w:p>
          <w:p w14:paraId="675210DD">
            <w:pPr>
              <w:autoSpaceDE w:val="0"/>
              <w:autoSpaceDN w:val="0"/>
              <w:adjustRightInd w:val="0"/>
              <w:snapToGrid w:val="0"/>
              <w:spacing w:line="440" w:lineRule="exact"/>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表1-5    相关规划符合性分析一览表</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1361"/>
              <w:gridCol w:w="2819"/>
              <w:gridCol w:w="2212"/>
              <w:gridCol w:w="689"/>
            </w:tblGrid>
            <w:tr w14:paraId="26E7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435" w:type="dxa"/>
                  <w:vAlign w:val="center"/>
                </w:tcPr>
                <w:p w14:paraId="6C79AFC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1361" w:type="dxa"/>
                  <w:vAlign w:val="center"/>
                </w:tcPr>
                <w:p w14:paraId="258D7AF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文件名称</w:t>
                  </w:r>
                </w:p>
              </w:tc>
              <w:tc>
                <w:tcPr>
                  <w:tcW w:w="2819" w:type="dxa"/>
                  <w:vAlign w:val="center"/>
                </w:tcPr>
                <w:p w14:paraId="4A49395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文件要求</w:t>
                  </w:r>
                </w:p>
              </w:tc>
              <w:tc>
                <w:tcPr>
                  <w:tcW w:w="2212" w:type="dxa"/>
                  <w:vAlign w:val="center"/>
                </w:tcPr>
                <w:p w14:paraId="34E7156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本项目情况</w:t>
                  </w:r>
                </w:p>
              </w:tc>
              <w:tc>
                <w:tcPr>
                  <w:tcW w:w="689" w:type="dxa"/>
                  <w:vAlign w:val="center"/>
                </w:tcPr>
                <w:p w14:paraId="03737FF7">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符合性</w:t>
                  </w:r>
                </w:p>
              </w:tc>
            </w:tr>
            <w:tr w14:paraId="2963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5" w:hRule="atLeast"/>
                <w:jc w:val="center"/>
              </w:trPr>
              <w:tc>
                <w:tcPr>
                  <w:tcW w:w="435" w:type="dxa"/>
                  <w:vMerge w:val="restart"/>
                  <w:vAlign w:val="center"/>
                </w:tcPr>
                <w:p w14:paraId="41F90C0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361" w:type="dxa"/>
                  <w:vMerge w:val="restart"/>
                  <w:vAlign w:val="center"/>
                </w:tcPr>
                <w:p w14:paraId="171D4029">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《“十四五”现代能源体系规划》</w:t>
                  </w:r>
                </w:p>
              </w:tc>
              <w:tc>
                <w:tcPr>
                  <w:tcW w:w="2819" w:type="dxa"/>
                  <w:vAlign w:val="center"/>
                </w:tcPr>
                <w:p w14:paraId="2CBDDCAD">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加快发展风电、太阳能发电。全面推进风电和太阳能发电大规模开发和高质量发展，优先就地就近开发利用，加快负荷中心及周边地区分散式风电和分布式光伏建设，推广应用低风速风电技术。</w:t>
                  </w:r>
                </w:p>
              </w:tc>
              <w:tc>
                <w:tcPr>
                  <w:tcW w:w="2212" w:type="dxa"/>
                  <w:vAlign w:val="center"/>
                </w:tcPr>
                <w:p w14:paraId="75CB46DB">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本项目属于光伏发电项目，位于河北省唐山市遵化市铁厂镇，项目就近并网</w:t>
                  </w:r>
                </w:p>
              </w:tc>
              <w:tc>
                <w:tcPr>
                  <w:tcW w:w="689" w:type="dxa"/>
                  <w:vAlign w:val="center"/>
                </w:tcPr>
                <w:p w14:paraId="3BDF4F0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5E24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435" w:type="dxa"/>
                  <w:vMerge w:val="continue"/>
                  <w:vAlign w:val="center"/>
                </w:tcPr>
                <w:p w14:paraId="7AB47E26">
                  <w:pPr>
                    <w:spacing w:line="360" w:lineRule="exact"/>
                    <w:jc w:val="center"/>
                    <w:rPr>
                      <w:color w:val="000000" w:themeColor="text1"/>
                      <w:szCs w:val="21"/>
                      <w14:textFill>
                        <w14:solidFill>
                          <w14:schemeClr w14:val="tx1"/>
                        </w14:solidFill>
                      </w14:textFill>
                    </w:rPr>
                  </w:pPr>
                </w:p>
              </w:tc>
              <w:tc>
                <w:tcPr>
                  <w:tcW w:w="1361" w:type="dxa"/>
                  <w:vMerge w:val="continue"/>
                  <w:vAlign w:val="center"/>
                </w:tcPr>
                <w:p w14:paraId="3174A58C">
                  <w:pPr>
                    <w:spacing w:line="360" w:lineRule="exact"/>
                    <w:rPr>
                      <w:color w:val="000000" w:themeColor="text1"/>
                      <w:szCs w:val="21"/>
                      <w14:textFill>
                        <w14:solidFill>
                          <w14:schemeClr w14:val="tx1"/>
                        </w14:solidFill>
                      </w14:textFill>
                    </w:rPr>
                  </w:pPr>
                </w:p>
              </w:tc>
              <w:tc>
                <w:tcPr>
                  <w:tcW w:w="2819" w:type="dxa"/>
                  <w:vAlign w:val="center"/>
                </w:tcPr>
                <w:p w14:paraId="5BB54C47">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风能和太阳能资源禀赋较好、建设条件优越、具备持续整装开发条件、符合区域生态环境保护等要求的地区，有序推进风电和光伏发电集中式开发，加快推进以沙漠、戈壁、荒漠地区为重点的大型风电光伏基地项目建设，积极推进黄河上游、新疆、冀北等多能互补清洁能源基地建设。</w:t>
                  </w:r>
                </w:p>
              </w:tc>
              <w:tc>
                <w:tcPr>
                  <w:tcW w:w="2212" w:type="dxa"/>
                  <w:vAlign w:val="center"/>
                </w:tcPr>
                <w:p w14:paraId="2AE69661">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项目位于河北省唐山市遵化市铁厂镇，占地为荒山荒坡。项目所在区域属于太阳能资源很丰富地区，适合建设太阳能光伏发电项目。工程占地范围内不涉及生态红线，符合区域生态环境保护等要求。</w:t>
                  </w:r>
                </w:p>
              </w:tc>
              <w:tc>
                <w:tcPr>
                  <w:tcW w:w="689" w:type="dxa"/>
                  <w:vAlign w:val="center"/>
                </w:tcPr>
                <w:p w14:paraId="6B89612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7D5D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vAlign w:val="center"/>
                </w:tcPr>
                <w:p w14:paraId="484CD3B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361" w:type="dxa"/>
                  <w:vAlign w:val="center"/>
                </w:tcPr>
                <w:p w14:paraId="70C374A0">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《河北省国民经济和社会发展第十四个五年规划和二〇三五年远景目标纲要》</w:t>
                  </w:r>
                </w:p>
              </w:tc>
              <w:tc>
                <w:tcPr>
                  <w:tcW w:w="2819" w:type="dxa"/>
                  <w:vAlign w:val="center"/>
                </w:tcPr>
                <w:p w14:paraId="234F3938">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大力发展光电、风电、抽水蓄能，安全有序发展核电。</w:t>
                  </w:r>
                </w:p>
              </w:tc>
              <w:tc>
                <w:tcPr>
                  <w:tcW w:w="2212" w:type="dxa"/>
                  <w:vAlign w:val="center"/>
                </w:tcPr>
                <w:p w14:paraId="51180BB0">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本项目为光伏发电项目。</w:t>
                  </w:r>
                </w:p>
              </w:tc>
              <w:tc>
                <w:tcPr>
                  <w:tcW w:w="689" w:type="dxa"/>
                  <w:vAlign w:val="center"/>
                </w:tcPr>
                <w:p w14:paraId="30DCD3C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1A27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dxa"/>
                  <w:vAlign w:val="center"/>
                </w:tcPr>
                <w:p w14:paraId="405A503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361" w:type="dxa"/>
                  <w:vAlign w:val="center"/>
                </w:tcPr>
                <w:p w14:paraId="17E92F26">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《河北省“十四五”新型储能发展规》</w:t>
                  </w:r>
                </w:p>
              </w:tc>
              <w:tc>
                <w:tcPr>
                  <w:tcW w:w="2819" w:type="dxa"/>
                  <w:vAlign w:val="center"/>
                </w:tcPr>
                <w:p w14:paraId="415D4D13">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强新型储能项目布局、建设、运营、退役全环节、全生命周期环境保护，严格落实生态保护红线、环境质量底线、资源利用上线和生态环境准入清单“三线一单”要求，严格执行环保标准，做到环境保护设施与主体工程“同时设计、同时施工、同时投产”，预防和减轻环境影响。通过规划实施，“十四五”期间在推动新型储能健康发展的同时，实现与生态环境的友好共赢，为实现双碳目标做出重要贡献。</w:t>
                  </w:r>
                </w:p>
              </w:tc>
              <w:tc>
                <w:tcPr>
                  <w:tcW w:w="2212" w:type="dxa"/>
                  <w:vAlign w:val="center"/>
                </w:tcPr>
                <w:p w14:paraId="771FA1F2">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不设置储能系统</w:t>
                  </w:r>
                  <w:r>
                    <w:rPr>
                      <w:rFonts w:hint="eastAsia"/>
                      <w:color w:val="000000" w:themeColor="text1"/>
                      <w:szCs w:val="21"/>
                      <w14:textFill>
                        <w14:solidFill>
                          <w14:schemeClr w14:val="tx1"/>
                        </w14:solidFill>
                      </w14:textFill>
                    </w:rPr>
                    <w:t>；项目施工期结束后对施工场地严格落实绿化和生态恢复；运营期废气、废水、噪声、固废均采取合理措施处置，不会环境产生较大影响；项目退役过程严格落实生态恢复要求，符合规划要求。</w:t>
                  </w:r>
                </w:p>
              </w:tc>
              <w:tc>
                <w:tcPr>
                  <w:tcW w:w="689" w:type="dxa"/>
                  <w:vAlign w:val="center"/>
                </w:tcPr>
                <w:p w14:paraId="7D364D3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33C9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jc w:val="center"/>
              </w:trPr>
              <w:tc>
                <w:tcPr>
                  <w:tcW w:w="435" w:type="dxa"/>
                  <w:vAlign w:val="center"/>
                </w:tcPr>
                <w:p w14:paraId="3D75CEC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361" w:type="dxa"/>
                  <w:vAlign w:val="center"/>
                </w:tcPr>
                <w:p w14:paraId="38880D9F">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《唐山市国民经济和社会发展第十四个五年规划和二〇三五年远景目标纲要》</w:t>
                  </w:r>
                </w:p>
              </w:tc>
              <w:tc>
                <w:tcPr>
                  <w:tcW w:w="2819" w:type="dxa"/>
                  <w:vAlign w:val="center"/>
                </w:tcPr>
                <w:p w14:paraId="3D1E0FAE">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抓住碳达峰、碳中和战略机遇，合理发展清洁高效灵活电源。积极发展非化石能源，打造北部山区和南部沿海地区百万光伏基地，支持光电平价上网，到 2025 年光电装机达到 400 万千瓦。</w:t>
                  </w:r>
                </w:p>
              </w:tc>
              <w:tc>
                <w:tcPr>
                  <w:tcW w:w="2212" w:type="dxa"/>
                  <w:vAlign w:val="center"/>
                </w:tcPr>
                <w:p w14:paraId="48660B9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本项目为光伏发电项目。装机容量150MW。</w:t>
                  </w:r>
                </w:p>
              </w:tc>
              <w:tc>
                <w:tcPr>
                  <w:tcW w:w="686" w:type="dxa"/>
                  <w:vAlign w:val="center"/>
                </w:tcPr>
                <w:p w14:paraId="140A3F8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bl>
          <w:p w14:paraId="380666C3">
            <w:pPr>
              <w:numPr>
                <w:ilvl w:val="0"/>
                <w:numId w:val="9"/>
              </w:numPr>
              <w:autoSpaceDE w:val="0"/>
              <w:autoSpaceDN w:val="0"/>
              <w:adjustRightInd w:val="0"/>
              <w:snapToGrid w:val="0"/>
              <w:spacing w:line="440" w:lineRule="exact"/>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与相关环境政策的符合性分析</w:t>
            </w:r>
          </w:p>
          <w:p w14:paraId="73E79C45">
            <w:pPr>
              <w:autoSpaceDE w:val="0"/>
              <w:autoSpaceDN w:val="0"/>
              <w:adjustRightInd w:val="0"/>
              <w:snapToGrid w:val="0"/>
              <w:spacing w:line="440" w:lineRule="exact"/>
              <w:ind w:firstLine="482" w:firstLineChars="200"/>
              <w:jc w:val="left"/>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表1-6    与相关环境政策的符合性分析</w:t>
            </w:r>
          </w:p>
          <w:tbl>
            <w:tblPr>
              <w:tblStyle w:val="6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3340"/>
              <w:gridCol w:w="2671"/>
              <w:gridCol w:w="662"/>
            </w:tblGrid>
            <w:tr w14:paraId="7C6E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3" w:type="pct"/>
                  <w:gridSpan w:val="2"/>
                  <w:vAlign w:val="center"/>
                </w:tcPr>
                <w:p w14:paraId="0E75E886">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相关环保政策</w:t>
                  </w:r>
                </w:p>
              </w:tc>
              <w:tc>
                <w:tcPr>
                  <w:tcW w:w="1727" w:type="pct"/>
                  <w:vAlign w:val="center"/>
                </w:tcPr>
                <w:p w14:paraId="68E2DA92">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p>
              </w:tc>
              <w:tc>
                <w:tcPr>
                  <w:tcW w:w="428" w:type="pct"/>
                  <w:vAlign w:val="center"/>
                </w:tcPr>
                <w:p w14:paraId="26849BCD">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符合性</w:t>
                  </w:r>
                </w:p>
              </w:tc>
            </w:tr>
            <w:tr w14:paraId="6A7A1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trPr>
              <w:tc>
                <w:tcPr>
                  <w:tcW w:w="683" w:type="pct"/>
                  <w:vMerge w:val="restart"/>
                  <w:vAlign w:val="center"/>
                </w:tcPr>
                <w:p w14:paraId="0153DB8F">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《河北省扬尘污染防治办法》（河北省人民政府令〔2020〕第1号）</w:t>
                  </w:r>
                </w:p>
              </w:tc>
              <w:tc>
                <w:tcPr>
                  <w:tcW w:w="2160" w:type="pct"/>
                  <w:vAlign w:val="center"/>
                </w:tcPr>
                <w:p w14:paraId="5B9F8A1A">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运输渣土、土方等易产生扬尘污染物料的车辆，应当符合下列防尘要求：1.依法安装、使用符合国家标准的卫星定位系统、行驶记录仪，并保持号牌清晰；</w:t>
                  </w:r>
                </w:p>
              </w:tc>
              <w:tc>
                <w:tcPr>
                  <w:tcW w:w="1727" w:type="pct"/>
                  <w:vAlign w:val="center"/>
                </w:tcPr>
                <w:p w14:paraId="35132964">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本项目施工期土石方和建筑材料运输均委托资质单位，并要求运输车辆依法安装、使用符合国家标准的卫星定位系统、行驶记录仪，并保持号牌清晰；</w:t>
                  </w:r>
                </w:p>
              </w:tc>
              <w:tc>
                <w:tcPr>
                  <w:tcW w:w="428" w:type="pct"/>
                  <w:vAlign w:val="center"/>
                </w:tcPr>
                <w:p w14:paraId="5BBBBF6D">
                  <w:pPr>
                    <w:spacing w:line="360" w:lineRule="exact"/>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符合</w:t>
                  </w:r>
                </w:p>
              </w:tc>
            </w:tr>
            <w:tr w14:paraId="4319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vAlign w:val="center"/>
                </w:tcPr>
                <w:p w14:paraId="02E6DFCF">
                  <w:pPr>
                    <w:spacing w:line="360" w:lineRule="exact"/>
                    <w:rPr>
                      <w:color w:val="000000" w:themeColor="text1"/>
                      <w14:textFill>
                        <w14:solidFill>
                          <w14:schemeClr w14:val="tx1"/>
                        </w14:solidFill>
                      </w14:textFill>
                    </w:rPr>
                  </w:pPr>
                </w:p>
              </w:tc>
              <w:tc>
                <w:tcPr>
                  <w:tcW w:w="2160" w:type="pct"/>
                  <w:vAlign w:val="center"/>
                </w:tcPr>
                <w:p w14:paraId="50234BA2">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2.建筑垃圾、工程渣土运输车辆应当持有城市管理等主管部门核发的核准文件；</w:t>
                  </w:r>
                </w:p>
              </w:tc>
              <w:tc>
                <w:tcPr>
                  <w:tcW w:w="1727" w:type="pct"/>
                  <w:vAlign w:val="center"/>
                </w:tcPr>
                <w:p w14:paraId="1B3AB6C6">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同时要求运输单位的建筑垃圾、工程渣土运输车辆应当持有城市管理等核准文件；</w:t>
                  </w:r>
                </w:p>
              </w:tc>
              <w:tc>
                <w:tcPr>
                  <w:tcW w:w="428" w:type="pct"/>
                  <w:vAlign w:val="center"/>
                </w:tcPr>
                <w:p w14:paraId="6B617070">
                  <w:pPr>
                    <w:spacing w:line="360" w:lineRule="exact"/>
                    <w:rPr>
                      <w:color w:val="000000" w:themeColor="text1"/>
                      <w:szCs w:val="21"/>
                      <w14:textFill>
                        <w14:solidFill>
                          <w14:schemeClr w14:val="tx1"/>
                        </w14:solidFill>
                      </w14:textFill>
                    </w:rPr>
                  </w:pPr>
                </w:p>
              </w:tc>
            </w:tr>
            <w:tr w14:paraId="5F20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83" w:type="pct"/>
                  <w:vMerge w:val="continue"/>
                  <w:vAlign w:val="center"/>
                </w:tcPr>
                <w:p w14:paraId="51CAC557">
                  <w:pPr>
                    <w:spacing w:line="360" w:lineRule="exact"/>
                    <w:rPr>
                      <w:color w:val="000000" w:themeColor="text1"/>
                      <w14:textFill>
                        <w14:solidFill>
                          <w14:schemeClr w14:val="tx1"/>
                        </w14:solidFill>
                      </w14:textFill>
                    </w:rPr>
                  </w:pPr>
                </w:p>
              </w:tc>
              <w:tc>
                <w:tcPr>
                  <w:tcW w:w="2160" w:type="pct"/>
                  <w:vAlign w:val="center"/>
                </w:tcPr>
                <w:p w14:paraId="74009038">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3.通行限行区域或者路段时，应当随车携安机关交通管理部门核发的通行证件，并按规定的时间、区域、路线、车速通行；</w:t>
                  </w:r>
                </w:p>
              </w:tc>
              <w:tc>
                <w:tcPr>
                  <w:tcW w:w="1727" w:type="pct"/>
                  <w:vAlign w:val="center"/>
                </w:tcPr>
                <w:p w14:paraId="39EB7056">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同时本项目运输车 辆采用密闭措施，沿指定路线进行；</w:t>
                  </w:r>
                </w:p>
              </w:tc>
              <w:tc>
                <w:tcPr>
                  <w:tcW w:w="428" w:type="pct"/>
                  <w:vAlign w:val="center"/>
                </w:tcPr>
                <w:p w14:paraId="058CCCFB">
                  <w:pPr>
                    <w:spacing w:line="360" w:lineRule="exact"/>
                    <w:rPr>
                      <w:color w:val="000000" w:themeColor="text1"/>
                      <w:szCs w:val="21"/>
                      <w14:textFill>
                        <w14:solidFill>
                          <w14:schemeClr w14:val="tx1"/>
                        </w14:solidFill>
                      </w14:textFill>
                    </w:rPr>
                  </w:pPr>
                </w:p>
              </w:tc>
            </w:tr>
            <w:tr w14:paraId="6483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683" w:type="pct"/>
                  <w:vMerge w:val="continue"/>
                  <w:vAlign w:val="center"/>
                </w:tcPr>
                <w:p w14:paraId="6DA12679">
                  <w:pPr>
                    <w:spacing w:line="360" w:lineRule="exact"/>
                    <w:rPr>
                      <w:color w:val="000000" w:themeColor="text1"/>
                      <w14:textFill>
                        <w14:solidFill>
                          <w14:schemeClr w14:val="tx1"/>
                        </w14:solidFill>
                      </w14:textFill>
                    </w:rPr>
                  </w:pPr>
                </w:p>
              </w:tc>
              <w:tc>
                <w:tcPr>
                  <w:tcW w:w="2160" w:type="pct"/>
                  <w:vAlign w:val="center"/>
                </w:tcPr>
                <w:p w14:paraId="556096DA">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4.装载物不得超过车厢挡板高度，并采取完全密闭措施，防止物料遗撒、滴漏或者扬散；</w:t>
                  </w:r>
                </w:p>
              </w:tc>
              <w:tc>
                <w:tcPr>
                  <w:tcW w:w="1727" w:type="pct"/>
                  <w:vAlign w:val="center"/>
                </w:tcPr>
                <w:p w14:paraId="46B89FD8">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按照上述要求执行</w:t>
                  </w:r>
                </w:p>
              </w:tc>
              <w:tc>
                <w:tcPr>
                  <w:tcW w:w="428" w:type="pct"/>
                  <w:vAlign w:val="center"/>
                </w:tcPr>
                <w:p w14:paraId="590EE4C5">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6578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83" w:type="pct"/>
                  <w:vMerge w:val="continue"/>
                  <w:vAlign w:val="center"/>
                </w:tcPr>
                <w:p w14:paraId="527E42D4">
                  <w:pPr>
                    <w:spacing w:line="360" w:lineRule="exact"/>
                    <w:rPr>
                      <w:color w:val="000000" w:themeColor="text1"/>
                      <w14:textFill>
                        <w14:solidFill>
                          <w14:schemeClr w14:val="tx1"/>
                        </w14:solidFill>
                      </w14:textFill>
                    </w:rPr>
                  </w:pPr>
                </w:p>
              </w:tc>
              <w:tc>
                <w:tcPr>
                  <w:tcW w:w="2160" w:type="pct"/>
                  <w:vAlign w:val="center"/>
                </w:tcPr>
                <w:p w14:paraId="49CF34C2">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5.车辆除泥、冲洗干净后方可驶出作业场所，并保持车体整洁；</w:t>
                  </w:r>
                </w:p>
              </w:tc>
              <w:tc>
                <w:tcPr>
                  <w:tcW w:w="1727" w:type="pct"/>
                  <w:vAlign w:val="center"/>
                </w:tcPr>
                <w:p w14:paraId="2C5932AB">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项目施工车辆在洗车平台清洗完毕后驶出作业场所，保持车体整洁；</w:t>
                  </w:r>
                </w:p>
              </w:tc>
              <w:tc>
                <w:tcPr>
                  <w:tcW w:w="428" w:type="pct"/>
                  <w:vAlign w:val="center"/>
                </w:tcPr>
                <w:p w14:paraId="75249876">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74BE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683" w:type="pct"/>
                  <w:vMerge w:val="continue"/>
                  <w:vAlign w:val="center"/>
                </w:tcPr>
                <w:p w14:paraId="727243B4">
                  <w:pPr>
                    <w:spacing w:line="360" w:lineRule="exact"/>
                    <w:rPr>
                      <w:color w:val="000000" w:themeColor="text1"/>
                      <w14:textFill>
                        <w14:solidFill>
                          <w14:schemeClr w14:val="tx1"/>
                        </w14:solidFill>
                      </w14:textFill>
                    </w:rPr>
                  </w:pPr>
                </w:p>
              </w:tc>
              <w:tc>
                <w:tcPr>
                  <w:tcW w:w="2160" w:type="pct"/>
                  <w:vAlign w:val="center"/>
                </w:tcPr>
                <w:p w14:paraId="54B183DF">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6.法律、法规、规章规定的其他扬尘污染防治措施。</w:t>
                  </w:r>
                </w:p>
              </w:tc>
              <w:tc>
                <w:tcPr>
                  <w:tcW w:w="1727" w:type="pct"/>
                  <w:vAlign w:val="center"/>
                </w:tcPr>
                <w:p w14:paraId="225FEF7D">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符合相关规定要求</w:t>
                  </w:r>
                </w:p>
              </w:tc>
              <w:tc>
                <w:tcPr>
                  <w:tcW w:w="428" w:type="pct"/>
                  <w:vAlign w:val="center"/>
                </w:tcPr>
                <w:p w14:paraId="58937BF0">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w:t>
                  </w:r>
                </w:p>
              </w:tc>
            </w:tr>
            <w:tr w14:paraId="0781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Align w:val="center"/>
                </w:tcPr>
                <w:p w14:paraId="623F9762">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《河北省关于深入打好污染防治攻坚战的实施意见》</w:t>
                  </w:r>
                </w:p>
              </w:tc>
              <w:tc>
                <w:tcPr>
                  <w:tcW w:w="2160" w:type="pct"/>
                  <w:vAlign w:val="center"/>
                </w:tcPr>
                <w:p w14:paraId="5B6878AC">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推动能源清洁低碳转型。加快煤炭减量步伐，实施可再生能源替代行动，新增可再生能源和原料用能不纳入能源消费总量控制，尽早实现能耗“双控”向碳排放总量和强度“双控”转变。到2025年，非化石能源消费占能源消费总量比重达到 13%以上。大力发展风能、太阳能等可再生能源发电。提高电能占终端能源消费比重。衔接国土空间规划分区和用途管制要求，将生态保护红线、环境质量底线、资源利用上线的硬约束落实到环境管控单元，建立差别化生态环境准入清单。严格规划环评审查和项目环评准入，开展重大经济技术政策的生态环境影响分析和重大生态环境政策的社会经济影响评估。加强大气面源和噪声污染治理。强化施工、道路、矿山、堆场、裸露地面等扬尘管控，推广低尘机械化湿式清扫作业。深化餐饮油烟污染和恶臭异味治理。强化秸秆综合利用和禁烧管控。到 2025 年，大型规模化养殖场氨排放总量持续下降。加快解决群众关心的突出噪声问题。有效管控建设用地土壤污染风险。严格建设用地土壤环境准入管理。从严管控农药、化工、焦化等行业重度污染地块规划用途，推进腾退地块土壤污染风险管控和修复。到2025 年，建设用地土壤污染修复和风险管控措施实现全覆盖。严密防控环境风险。开展涉危险废物涉重金属企业、化工园区等重点领域环境风险调查评估，完成重点河流突发水污染事件“一河一策一图”全覆盖。开展涉铊企业排查整治行动。到 2025 年，重点行业重点重金属污染物排放量下降比例确保完成国家下达指标任务。健全突发环境事件跨省域市级联防联控机制。加强新污染物治理。确保核与辐射安全。</w:t>
                  </w:r>
                </w:p>
              </w:tc>
              <w:tc>
                <w:tcPr>
                  <w:tcW w:w="1727" w:type="pct"/>
                  <w:vAlign w:val="center"/>
                </w:tcPr>
                <w:p w14:paraId="0255E0C1">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本项目为太阳能发电项目，太阳能为可再生能源，项目不使用煤炭。根据本项目与“三线一单”符合性分析，本项目满足“三线一单” 管控要求。本项目在严格执行本环评提出的施工期扬尘及噪声防控措施的前提下，项目不会对周边环境产生明显不利影响。本项目已取得遵化市自然资源和规划局出具用地情况说明（意见编号：1302812023XS0004S01号），用地符合当地规划，项目不属于农药、化工、焦化等行业。本项目在严格执行本环评提出的风险防控措施当地前提下，环境风险可防控。</w:t>
                  </w:r>
                </w:p>
              </w:tc>
              <w:tc>
                <w:tcPr>
                  <w:tcW w:w="428" w:type="pct"/>
                  <w:vAlign w:val="center"/>
                </w:tcPr>
                <w:p w14:paraId="183561D1">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符合</w:t>
                  </w:r>
                </w:p>
              </w:tc>
            </w:tr>
            <w:tr w14:paraId="7C1C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restart"/>
                  <w:vAlign w:val="center"/>
                </w:tcPr>
                <w:p w14:paraId="00A429AE">
                  <w:pPr>
                    <w:spacing w:line="3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唐山市集中式饮用水水源地保护管理条例</w:t>
                  </w:r>
                </w:p>
              </w:tc>
              <w:tc>
                <w:tcPr>
                  <w:tcW w:w="2160" w:type="pct"/>
                  <w:vAlign w:val="center"/>
                </w:tcPr>
                <w:p w14:paraId="4A4ABADB">
                  <w:pPr>
                    <w:spacing w:line="360" w:lineRule="exact"/>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禁止新建、扩建对水体污染严重的建设项目，改建建设项目不得增加排污量</w:t>
                  </w:r>
                </w:p>
              </w:tc>
              <w:tc>
                <w:tcPr>
                  <w:tcW w:w="1727" w:type="pct"/>
                  <w:vMerge w:val="restart"/>
                  <w:vAlign w:val="center"/>
                </w:tcPr>
                <w:p w14:paraId="664303B7">
                  <w:pPr>
                    <w:spacing w:line="360" w:lineRule="exac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本项目属于光伏发电新建项目，</w:t>
                  </w:r>
                  <w:r>
                    <w:rPr>
                      <w:rFonts w:hint="eastAsia" w:cs="宋体"/>
                      <w:color w:val="000000" w:themeColor="text1"/>
                      <w:lang w:bidi="ar"/>
                      <w14:textFill>
                        <w14:solidFill>
                          <w14:schemeClr w14:val="tx1"/>
                        </w14:solidFill>
                      </w14:textFill>
                    </w:rPr>
                    <w:t>光伏组件日常清洗采用水车进行清洗，产生的清洗废水水质简单，直接排至光伏板下自然蒸发和吸收；项目工作人员办公在升压站，工作人员产生的生活污水经化粪池初步处理后进入生活污水一体化处理设施，处理后合格水用于站区道路抑尘。</w:t>
                  </w:r>
                </w:p>
              </w:tc>
              <w:tc>
                <w:tcPr>
                  <w:tcW w:w="428" w:type="pct"/>
                  <w:vAlign w:val="center"/>
                </w:tcPr>
                <w:p w14:paraId="5BC76EF5">
                  <w:pPr>
                    <w:spacing w:line="360" w:lineRule="exact"/>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符合</w:t>
                  </w:r>
                </w:p>
              </w:tc>
            </w:tr>
            <w:tr w14:paraId="5F34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vAlign w:val="center"/>
                </w:tcPr>
                <w:p w14:paraId="12CFB9D9">
                  <w:pPr>
                    <w:spacing w:line="360" w:lineRule="exact"/>
                    <w:rPr>
                      <w:rFonts w:hint="eastAsia"/>
                      <w:color w:val="000000" w:themeColor="text1"/>
                      <w14:textFill>
                        <w14:solidFill>
                          <w14:schemeClr w14:val="tx1"/>
                        </w14:solidFill>
                      </w14:textFill>
                    </w:rPr>
                  </w:pPr>
                </w:p>
              </w:tc>
              <w:tc>
                <w:tcPr>
                  <w:tcW w:w="2160" w:type="pct"/>
                  <w:vAlign w:val="center"/>
                </w:tcPr>
                <w:p w14:paraId="75D3F6E3">
                  <w:pPr>
                    <w:spacing w:line="360" w:lineRule="exact"/>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禁止直接或者间接排入不符合国家和地方规定标准的废水、污水</w:t>
                  </w:r>
                </w:p>
              </w:tc>
              <w:tc>
                <w:tcPr>
                  <w:tcW w:w="1727" w:type="pct"/>
                  <w:vMerge w:val="continue"/>
                  <w:vAlign w:val="center"/>
                </w:tcPr>
                <w:p w14:paraId="4A049D27">
                  <w:pPr>
                    <w:spacing w:line="360" w:lineRule="exact"/>
                    <w:rPr>
                      <w:rFonts w:hint="eastAsia"/>
                      <w:color w:val="000000" w:themeColor="text1"/>
                      <w14:textFill>
                        <w14:solidFill>
                          <w14:schemeClr w14:val="tx1"/>
                        </w14:solidFill>
                      </w14:textFill>
                    </w:rPr>
                  </w:pPr>
                </w:p>
              </w:tc>
              <w:tc>
                <w:tcPr>
                  <w:tcW w:w="428" w:type="pct"/>
                  <w:vAlign w:val="center"/>
                </w:tcPr>
                <w:p w14:paraId="008B9D56">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符合</w:t>
                  </w:r>
                </w:p>
              </w:tc>
            </w:tr>
            <w:tr w14:paraId="57AE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vAlign w:val="center"/>
                </w:tcPr>
                <w:p w14:paraId="4CD77D20">
                  <w:pPr>
                    <w:spacing w:line="360" w:lineRule="exact"/>
                    <w:rPr>
                      <w:rFonts w:hint="eastAsia"/>
                      <w:color w:val="000000" w:themeColor="text1"/>
                      <w14:textFill>
                        <w14:solidFill>
                          <w14:schemeClr w14:val="tx1"/>
                        </w14:solidFill>
                      </w14:textFill>
                    </w:rPr>
                  </w:pPr>
                </w:p>
              </w:tc>
              <w:tc>
                <w:tcPr>
                  <w:tcW w:w="2160" w:type="pct"/>
                  <w:vAlign w:val="center"/>
                </w:tcPr>
                <w:p w14:paraId="66F4D14D">
                  <w:pPr>
                    <w:spacing w:line="360" w:lineRule="exact"/>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禁止使用剧毒、高毒、高残留农药</w:t>
                  </w:r>
                </w:p>
              </w:tc>
              <w:tc>
                <w:tcPr>
                  <w:tcW w:w="1727" w:type="pct"/>
                  <w:vAlign w:val="center"/>
                </w:tcPr>
                <w:p w14:paraId="06A29CD2">
                  <w:pPr>
                    <w:spacing w:line="360" w:lineRule="exac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本项目不涉及</w:t>
                  </w:r>
                </w:p>
              </w:tc>
              <w:tc>
                <w:tcPr>
                  <w:tcW w:w="428" w:type="pct"/>
                  <w:vAlign w:val="center"/>
                </w:tcPr>
                <w:p w14:paraId="39EBE76D">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符合</w:t>
                  </w:r>
                </w:p>
              </w:tc>
            </w:tr>
            <w:tr w14:paraId="37F30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vAlign w:val="center"/>
                </w:tcPr>
                <w:p w14:paraId="76F1848B">
                  <w:pPr>
                    <w:spacing w:line="360" w:lineRule="exact"/>
                    <w:rPr>
                      <w:rFonts w:hint="eastAsia"/>
                      <w:color w:val="000000" w:themeColor="text1"/>
                      <w14:textFill>
                        <w14:solidFill>
                          <w14:schemeClr w14:val="tx1"/>
                        </w14:solidFill>
                      </w14:textFill>
                    </w:rPr>
                  </w:pPr>
                </w:p>
              </w:tc>
              <w:tc>
                <w:tcPr>
                  <w:tcW w:w="2160" w:type="pct"/>
                  <w:vAlign w:val="center"/>
                </w:tcPr>
                <w:p w14:paraId="0AA44638">
                  <w:pPr>
                    <w:spacing w:line="360" w:lineRule="exact"/>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禁止设置易溶性、有毒有害废弃物和危险废物的暂存和转运场所，禁止设置生活垃圾和工业固体废物的处置场所，生活垃圾转运站和工业固体废物暂存场所应当设置防护设施</w:t>
                  </w:r>
                </w:p>
              </w:tc>
              <w:tc>
                <w:tcPr>
                  <w:tcW w:w="1727" w:type="pct"/>
                  <w:vAlign w:val="center"/>
                </w:tcPr>
                <w:p w14:paraId="08F29600">
                  <w:pPr>
                    <w:spacing w:line="360" w:lineRule="exac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本项目不设置暂存转运场所，不设置</w:t>
                  </w:r>
                  <w:r>
                    <w:rPr>
                      <w:rFonts w:hint="eastAsia"/>
                      <w:color w:val="000000" w:themeColor="text1"/>
                      <w14:textFill>
                        <w14:solidFill>
                          <w14:schemeClr w14:val="tx1"/>
                        </w14:solidFill>
                      </w14:textFill>
                    </w:rPr>
                    <w:t>生活垃圾和工业固体废物的处置场所</w:t>
                  </w:r>
                </w:p>
              </w:tc>
              <w:tc>
                <w:tcPr>
                  <w:tcW w:w="662" w:type="dxa"/>
                  <w:vAlign w:val="center"/>
                </w:tcPr>
                <w:p w14:paraId="7DE07727">
                  <w:pPr>
                    <w:spacing w:line="360" w:lineRule="exact"/>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符合</w:t>
                  </w:r>
                </w:p>
              </w:tc>
            </w:tr>
          </w:tbl>
          <w:p w14:paraId="548B55E9">
            <w:pPr>
              <w:autoSpaceDE w:val="0"/>
              <w:autoSpaceDN w:val="0"/>
              <w:adjustRightInd w:val="0"/>
              <w:snapToGrid w:val="0"/>
              <w:spacing w:line="440" w:lineRule="exact"/>
              <w:ind w:firstLine="480" w:firstLineChars="20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综上，本项目符合相关环保政策。</w:t>
            </w:r>
          </w:p>
          <w:p w14:paraId="4DD365EE">
            <w:pPr>
              <w:autoSpaceDE w:val="0"/>
              <w:autoSpaceDN w:val="0"/>
              <w:adjustRightInd w:val="0"/>
              <w:snapToGrid w:val="0"/>
              <w:spacing w:line="440" w:lineRule="exact"/>
              <w:ind w:firstLine="420" w:firstLineChars="200"/>
              <w:jc w:val="left"/>
              <w:rPr>
                <w:color w:val="000000" w:themeColor="text1"/>
                <w14:textFill>
                  <w14:solidFill>
                    <w14:schemeClr w14:val="tx1"/>
                  </w14:solidFill>
                </w14:textFill>
              </w:rPr>
            </w:pPr>
          </w:p>
        </w:tc>
      </w:tr>
    </w:tbl>
    <w:p w14:paraId="398A4F8A">
      <w:pPr>
        <w:autoSpaceDE w:val="0"/>
        <w:autoSpaceDN w:val="0"/>
        <w:adjustRightInd w:val="0"/>
        <w:snapToGrid w:val="0"/>
        <w:spacing w:line="360" w:lineRule="exact"/>
        <w:ind w:firstLine="480"/>
        <w:jc w:val="center"/>
        <w:rPr>
          <w:color w:val="000000" w:themeColor="text1"/>
          <w:kern w:val="0"/>
          <w:sz w:val="24"/>
          <w14:textFill>
            <w14:solidFill>
              <w14:schemeClr w14:val="tx1"/>
            </w14:solidFill>
          </w14:textFill>
        </w:rPr>
        <w:sectPr>
          <w:pgSz w:w="11906" w:h="16838"/>
          <w:pgMar w:top="1701" w:right="1531" w:bottom="1701" w:left="1531" w:header="851" w:footer="680" w:gutter="0"/>
          <w:cols w:space="720" w:num="1"/>
          <w:docGrid w:linePitch="312" w:charSpace="0"/>
        </w:sectPr>
      </w:pPr>
    </w:p>
    <w:bookmarkEnd w:id="6"/>
    <w:p w14:paraId="680C7E2E">
      <w:pPr>
        <w:pStyle w:val="61"/>
        <w:ind w:firstLine="600"/>
        <w:jc w:val="center"/>
        <w:outlineLvl w:val="0"/>
        <w:rPr>
          <w:rFonts w:ascii="黑体" w:hAnsi="黑体" w:eastAsia="黑体"/>
          <w:snapToGrid w:val="0"/>
          <w:color w:val="000000" w:themeColor="text1"/>
          <w:sz w:val="30"/>
          <w:szCs w:val="30"/>
          <w14:textFill>
            <w14:solidFill>
              <w14:schemeClr w14:val="tx1"/>
            </w14:solidFill>
          </w14:textFill>
        </w:rPr>
      </w:pPr>
      <w:bookmarkStart w:id="7" w:name="_Toc22240"/>
      <w:bookmarkStart w:id="8" w:name="_Toc5633"/>
      <w:r>
        <w:rPr>
          <w:rFonts w:ascii="黑体" w:hAnsi="黑体" w:eastAsia="黑体"/>
          <w:snapToGrid w:val="0"/>
          <w:color w:val="000000" w:themeColor="text1"/>
          <w:sz w:val="30"/>
          <w:szCs w:val="30"/>
          <w14:textFill>
            <w14:solidFill>
              <w14:schemeClr w14:val="tx1"/>
            </w14:solidFill>
          </w14:textFill>
        </w:rPr>
        <w:t>二、建设内容</w:t>
      </w:r>
      <w:bookmarkEnd w:id="7"/>
      <w:bookmarkEnd w:id="8"/>
    </w:p>
    <w:tbl>
      <w:tblPr>
        <w:tblStyle w:val="6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4"/>
        <w:gridCol w:w="8516"/>
      </w:tblGrid>
      <w:tr w14:paraId="20829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300" w:type="pct"/>
            <w:vAlign w:val="center"/>
          </w:tcPr>
          <w:p w14:paraId="133974BF">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地理位置</w:t>
            </w:r>
          </w:p>
        </w:tc>
        <w:tc>
          <w:tcPr>
            <w:tcW w:w="4700" w:type="pct"/>
            <w:vAlign w:val="center"/>
          </w:tcPr>
          <w:p w14:paraId="3E7D81E1">
            <w:pPr>
              <w:tabs>
                <w:tab w:val="left" w:pos="2310"/>
              </w:tabs>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1、光伏区</w:t>
            </w:r>
          </w:p>
          <w:p w14:paraId="60A1AE46">
            <w:pPr>
              <w:tabs>
                <w:tab w:val="left" w:pos="2310"/>
              </w:tabs>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拟选场址位于河北省唐山市遵化市铁厂镇周边</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光伏区共4个区块，共设48个光伏发电单元。各片区中心地理坐标见下表，外延拐点坐标具体见生态附表16-19。</w:t>
            </w:r>
          </w:p>
          <w:p w14:paraId="2AC62B93">
            <w:pPr>
              <w:tabs>
                <w:tab w:val="left" w:pos="2310"/>
              </w:tabs>
              <w:spacing w:line="440" w:lineRule="exact"/>
              <w:ind w:firstLine="482" w:firstLineChars="200"/>
              <w:rPr>
                <w:color w:val="000000" w:themeColor="text1"/>
                <w14:textFill>
                  <w14:solidFill>
                    <w14:schemeClr w14:val="tx1"/>
                  </w14:solidFill>
                </w14:textFill>
              </w:rPr>
            </w:pPr>
            <w:r>
              <w:rPr>
                <w:rFonts w:hint="eastAsia"/>
                <w:b/>
                <w:bCs/>
                <w:color w:val="000000" w:themeColor="text1"/>
                <w:kern w:val="0"/>
                <w:sz w:val="24"/>
                <w14:textFill>
                  <w14:solidFill>
                    <w14:schemeClr w14:val="tx1"/>
                  </w14:solidFill>
                </w14:textFill>
              </w:rPr>
              <w:t>表2-1    各片区中心地理坐标一览表</w:t>
            </w:r>
          </w:p>
          <w:tbl>
            <w:tblPr>
              <w:tblStyle w:val="6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1417"/>
              <w:gridCol w:w="2557"/>
              <w:gridCol w:w="2299"/>
              <w:gridCol w:w="1568"/>
            </w:tblGrid>
            <w:tr w14:paraId="68A7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269" w:type="pct"/>
                  <w:vMerge w:val="restart"/>
                  <w:vAlign w:val="center"/>
                </w:tcPr>
                <w:p w14:paraId="0D8C2999">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855" w:type="pct"/>
                  <w:vMerge w:val="restart"/>
                  <w:vAlign w:val="center"/>
                </w:tcPr>
                <w:p w14:paraId="5B205091">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地块名称</w:t>
                  </w:r>
                </w:p>
              </w:tc>
              <w:tc>
                <w:tcPr>
                  <w:tcW w:w="2928" w:type="pct"/>
                  <w:gridSpan w:val="2"/>
                  <w:vAlign w:val="center"/>
                </w:tcPr>
                <w:p w14:paraId="7C1EE750">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中心坐标</w:t>
                  </w:r>
                </w:p>
              </w:tc>
              <w:tc>
                <w:tcPr>
                  <w:tcW w:w="946" w:type="pct"/>
                  <w:vMerge w:val="restart"/>
                  <w:vAlign w:val="center"/>
                </w:tcPr>
                <w:p w14:paraId="26E52FE6">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装机容量</w:t>
                  </w:r>
                </w:p>
              </w:tc>
            </w:tr>
            <w:tr w14:paraId="17DB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269" w:type="pct"/>
                  <w:vMerge w:val="continue"/>
                  <w:vAlign w:val="center"/>
                </w:tcPr>
                <w:p w14:paraId="525C4365">
                  <w:pPr>
                    <w:pStyle w:val="46"/>
                    <w:spacing w:line="360" w:lineRule="exact"/>
                    <w:jc w:val="center"/>
                    <w:rPr>
                      <w:color w:val="000000" w:themeColor="text1"/>
                      <w:sz w:val="21"/>
                      <w14:textFill>
                        <w14:solidFill>
                          <w14:schemeClr w14:val="tx1"/>
                        </w14:solidFill>
                      </w14:textFill>
                    </w:rPr>
                  </w:pPr>
                </w:p>
              </w:tc>
              <w:tc>
                <w:tcPr>
                  <w:tcW w:w="855" w:type="pct"/>
                  <w:vMerge w:val="continue"/>
                  <w:vAlign w:val="center"/>
                </w:tcPr>
                <w:p w14:paraId="4C43EF9F">
                  <w:pPr>
                    <w:pStyle w:val="46"/>
                    <w:spacing w:line="360" w:lineRule="exact"/>
                    <w:jc w:val="center"/>
                    <w:rPr>
                      <w:color w:val="000000" w:themeColor="text1"/>
                      <w:sz w:val="21"/>
                      <w14:textFill>
                        <w14:solidFill>
                          <w14:schemeClr w14:val="tx1"/>
                        </w14:solidFill>
                      </w14:textFill>
                    </w:rPr>
                  </w:pPr>
                </w:p>
              </w:tc>
              <w:tc>
                <w:tcPr>
                  <w:tcW w:w="1542" w:type="pct"/>
                  <w:vAlign w:val="center"/>
                </w:tcPr>
                <w:p w14:paraId="2A4AF565">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东经</w:t>
                  </w:r>
                </w:p>
              </w:tc>
              <w:tc>
                <w:tcPr>
                  <w:tcW w:w="1386" w:type="pct"/>
                  <w:vAlign w:val="center"/>
                </w:tcPr>
                <w:p w14:paraId="722CA695">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北纬</w:t>
                  </w:r>
                </w:p>
              </w:tc>
              <w:tc>
                <w:tcPr>
                  <w:tcW w:w="946" w:type="pct"/>
                  <w:vMerge w:val="continue"/>
                  <w:vAlign w:val="center"/>
                </w:tcPr>
                <w:p w14:paraId="1AFCF0CE">
                  <w:pPr>
                    <w:pStyle w:val="46"/>
                    <w:spacing w:line="360" w:lineRule="exact"/>
                    <w:jc w:val="center"/>
                    <w:rPr>
                      <w:color w:val="000000" w:themeColor="text1"/>
                      <w:sz w:val="21"/>
                      <w14:textFill>
                        <w14:solidFill>
                          <w14:schemeClr w14:val="tx1"/>
                        </w14:solidFill>
                      </w14:textFill>
                    </w:rPr>
                  </w:pPr>
                </w:p>
              </w:tc>
            </w:tr>
            <w:tr w14:paraId="2A20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9" w:type="pct"/>
                  <w:vAlign w:val="center"/>
                </w:tcPr>
                <w:p w14:paraId="5ECAE41F">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855" w:type="pct"/>
                  <w:vAlign w:val="center"/>
                </w:tcPr>
                <w:p w14:paraId="6893ABA2">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光伏北区</w:t>
                  </w:r>
                </w:p>
              </w:tc>
              <w:tc>
                <w:tcPr>
                  <w:tcW w:w="1542" w:type="pct"/>
                  <w:vAlign w:val="center"/>
                </w:tcPr>
                <w:p w14:paraId="3A666871">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118度9分48.89103秒</w:t>
                  </w:r>
                </w:p>
              </w:tc>
              <w:tc>
                <w:tcPr>
                  <w:tcW w:w="1386" w:type="pct"/>
                  <w:vAlign w:val="center"/>
                </w:tcPr>
                <w:p w14:paraId="1831B235">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40度2分50.62985秒</w:t>
                  </w:r>
                </w:p>
              </w:tc>
              <w:tc>
                <w:tcPr>
                  <w:tcW w:w="946" w:type="pct"/>
                  <w:vAlign w:val="center"/>
                </w:tcPr>
                <w:p w14:paraId="291B7F56">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48360kWp</w:t>
                  </w:r>
                </w:p>
              </w:tc>
            </w:tr>
            <w:tr w14:paraId="2D39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9" w:type="pct"/>
                  <w:vAlign w:val="center"/>
                </w:tcPr>
                <w:p w14:paraId="06A52FEB">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855" w:type="pct"/>
                  <w:vAlign w:val="center"/>
                </w:tcPr>
                <w:p w14:paraId="2CDDA9A1">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光伏在北区</w:t>
                  </w:r>
                </w:p>
              </w:tc>
              <w:tc>
                <w:tcPr>
                  <w:tcW w:w="1542" w:type="pct"/>
                  <w:vAlign w:val="center"/>
                </w:tcPr>
                <w:p w14:paraId="1C834CD4">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118度8分40.60414秒</w:t>
                  </w:r>
                </w:p>
              </w:tc>
              <w:tc>
                <w:tcPr>
                  <w:tcW w:w="1386" w:type="pct"/>
                  <w:vAlign w:val="center"/>
                </w:tcPr>
                <w:p w14:paraId="47D44DA1">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40度4分31.82423秒</w:t>
                  </w:r>
                </w:p>
              </w:tc>
              <w:tc>
                <w:tcPr>
                  <w:tcW w:w="946" w:type="pct"/>
                  <w:vAlign w:val="center"/>
                </w:tcPr>
                <w:p w14:paraId="6149851E">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24641.28kWp</w:t>
                  </w:r>
                </w:p>
              </w:tc>
            </w:tr>
            <w:tr w14:paraId="1223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vAlign w:val="center"/>
                </w:tcPr>
                <w:p w14:paraId="4B615114">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855" w:type="pct"/>
                  <w:vAlign w:val="center"/>
                </w:tcPr>
                <w:p w14:paraId="24802CC3">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光伏东区</w:t>
                  </w:r>
                </w:p>
              </w:tc>
              <w:tc>
                <w:tcPr>
                  <w:tcW w:w="1542" w:type="pct"/>
                  <w:vAlign w:val="center"/>
                </w:tcPr>
                <w:p w14:paraId="47968BEA">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118度10分14.34413秒</w:t>
                  </w:r>
                </w:p>
              </w:tc>
              <w:tc>
                <w:tcPr>
                  <w:tcW w:w="1386" w:type="pct"/>
                  <w:vAlign w:val="center"/>
                </w:tcPr>
                <w:p w14:paraId="1A16A65A">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40度1分45.81910秒</w:t>
                  </w:r>
                </w:p>
              </w:tc>
              <w:tc>
                <w:tcPr>
                  <w:tcW w:w="946" w:type="pct"/>
                  <w:vAlign w:val="center"/>
                </w:tcPr>
                <w:p w14:paraId="3C6B776D">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49981.92kWp</w:t>
                  </w:r>
                </w:p>
              </w:tc>
            </w:tr>
            <w:tr w14:paraId="0CF6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vAlign w:val="center"/>
                </w:tcPr>
                <w:p w14:paraId="62330936">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p>
              </w:tc>
              <w:tc>
                <w:tcPr>
                  <w:tcW w:w="855" w:type="pct"/>
                  <w:vAlign w:val="center"/>
                </w:tcPr>
                <w:p w14:paraId="731AF4E3">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光伏西区</w:t>
                  </w:r>
                </w:p>
              </w:tc>
              <w:tc>
                <w:tcPr>
                  <w:tcW w:w="1542" w:type="pct"/>
                  <w:vAlign w:val="center"/>
                </w:tcPr>
                <w:p w14:paraId="69BA6772">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118度8分17.54573秒</w:t>
                  </w:r>
                </w:p>
              </w:tc>
              <w:tc>
                <w:tcPr>
                  <w:tcW w:w="1386" w:type="pct"/>
                  <w:vAlign w:val="center"/>
                </w:tcPr>
                <w:p w14:paraId="64CCD4C8">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40度1分53.38936秒</w:t>
                  </w:r>
                </w:p>
              </w:tc>
              <w:tc>
                <w:tcPr>
                  <w:tcW w:w="946" w:type="pct"/>
                  <w:vAlign w:val="center"/>
                </w:tcPr>
                <w:p w14:paraId="2697273F">
                  <w:pPr>
                    <w:pStyle w:val="46"/>
                    <w:spacing w:line="36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52080kWp</w:t>
                  </w:r>
                </w:p>
              </w:tc>
            </w:tr>
          </w:tbl>
          <w:p w14:paraId="664920AA">
            <w:pPr>
              <w:tabs>
                <w:tab w:val="left" w:pos="2310"/>
              </w:tabs>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2、升压站</w:t>
            </w:r>
          </w:p>
          <w:p w14:paraId="119AB85F">
            <w:pPr>
              <w:tabs>
                <w:tab w:val="left" w:pos="2310"/>
              </w:tabs>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本项目升压站</w:t>
            </w:r>
            <w:r>
              <w:rPr>
                <w:color w:val="000000" w:themeColor="text1"/>
                <w:kern w:val="0"/>
                <w:sz w:val="24"/>
                <w14:textFill>
                  <w14:solidFill>
                    <w14:schemeClr w14:val="tx1"/>
                  </w14:solidFill>
                </w14:textFill>
              </w:rPr>
              <w:t>中心坐标为东经</w:t>
            </w:r>
            <w:r>
              <w:rPr>
                <w:rFonts w:hint="eastAsia"/>
                <w:color w:val="000000" w:themeColor="text1"/>
                <w:kern w:val="0"/>
                <w:sz w:val="24"/>
                <w14:textFill>
                  <w14:solidFill>
                    <w14:schemeClr w14:val="tx1"/>
                  </w14:solidFill>
                </w14:textFill>
              </w:rPr>
              <w:t>118度</w:t>
            </w:r>
            <w:r>
              <w:rPr>
                <w:rFonts w:hint="eastAsia"/>
                <w:color w:val="000000" w:themeColor="text1"/>
                <w:kern w:val="0"/>
                <w:sz w:val="24"/>
                <w:lang w:val="en-US" w:eastAsia="zh-CN"/>
                <w14:textFill>
                  <w14:solidFill>
                    <w14:schemeClr w14:val="tx1"/>
                  </w14:solidFill>
                </w14:textFill>
              </w:rPr>
              <w:t>9</w:t>
            </w:r>
            <w:r>
              <w:rPr>
                <w:rFonts w:hint="eastAsia"/>
                <w:color w:val="000000" w:themeColor="text1"/>
                <w:kern w:val="0"/>
                <w:sz w:val="24"/>
                <w14:textFill>
                  <w14:solidFill>
                    <w14:schemeClr w14:val="tx1"/>
                  </w14:solidFill>
                </w14:textFill>
              </w:rPr>
              <w:t>分</w:t>
            </w:r>
            <w:r>
              <w:rPr>
                <w:rFonts w:hint="eastAsia"/>
                <w:color w:val="000000" w:themeColor="text1"/>
                <w:kern w:val="0"/>
                <w:sz w:val="24"/>
                <w:lang w:val="en-US" w:eastAsia="zh-CN"/>
                <w14:textFill>
                  <w14:solidFill>
                    <w14:schemeClr w14:val="tx1"/>
                  </w14:solidFill>
                </w14:textFill>
              </w:rPr>
              <w:t>38.231</w:t>
            </w:r>
            <w:r>
              <w:rPr>
                <w:rFonts w:hint="eastAsia"/>
                <w:color w:val="000000" w:themeColor="text1"/>
                <w:kern w:val="0"/>
                <w:sz w:val="24"/>
                <w14:textFill>
                  <w14:solidFill>
                    <w14:schemeClr w14:val="tx1"/>
                  </w14:solidFill>
                </w14:textFill>
              </w:rPr>
              <w:t>秒</w:t>
            </w:r>
            <w:r>
              <w:rPr>
                <w:color w:val="000000" w:themeColor="text1"/>
                <w:kern w:val="0"/>
                <w:sz w:val="24"/>
                <w14:textFill>
                  <w14:solidFill>
                    <w14:schemeClr w14:val="tx1"/>
                  </w14:solidFill>
                </w14:textFill>
              </w:rPr>
              <w:t>，北纬</w:t>
            </w:r>
            <w:r>
              <w:rPr>
                <w:rFonts w:hint="eastAsia"/>
                <w:color w:val="000000" w:themeColor="text1"/>
                <w:kern w:val="0"/>
                <w:sz w:val="24"/>
                <w14:textFill>
                  <w14:solidFill>
                    <w14:schemeClr w14:val="tx1"/>
                  </w14:solidFill>
                </w14:textFill>
              </w:rPr>
              <w:t>40度1分</w:t>
            </w:r>
            <w:r>
              <w:rPr>
                <w:rFonts w:hint="eastAsia"/>
                <w:color w:val="000000" w:themeColor="text1"/>
                <w:kern w:val="0"/>
                <w:sz w:val="24"/>
                <w:lang w:val="en-US" w:eastAsia="zh-CN"/>
                <w14:textFill>
                  <w14:solidFill>
                    <w14:schemeClr w14:val="tx1"/>
                  </w14:solidFill>
                </w14:textFill>
              </w:rPr>
              <w:t>49.113</w:t>
            </w:r>
            <w:r>
              <w:rPr>
                <w:rFonts w:hint="eastAsia"/>
                <w:color w:val="000000" w:themeColor="text1"/>
                <w:kern w:val="0"/>
                <w:sz w:val="24"/>
                <w14:textFill>
                  <w14:solidFill>
                    <w14:schemeClr w14:val="tx1"/>
                  </w14:solidFill>
                </w14:textFill>
              </w:rPr>
              <w:t>秒</w:t>
            </w:r>
            <w:r>
              <w:rPr>
                <w:color w:val="000000" w:themeColor="text1"/>
                <w:kern w:val="0"/>
                <w:sz w:val="24"/>
                <w14:textFill>
                  <w14:solidFill>
                    <w14:schemeClr w14:val="tx1"/>
                  </w14:solidFill>
                </w14:textFill>
              </w:rPr>
              <w:t>。</w:t>
            </w:r>
          </w:p>
          <w:p w14:paraId="1AD6B4F1">
            <w:pPr>
              <w:tabs>
                <w:tab w:val="left" w:pos="2310"/>
              </w:tabs>
              <w:spacing w:line="440" w:lineRule="exact"/>
              <w:ind w:firstLine="480" w:firstLineChars="200"/>
              <w:rPr>
                <w:color w:val="000000" w:themeColor="text1"/>
                <w14:textFill>
                  <w14:solidFill>
                    <w14:schemeClr w14:val="tx1"/>
                  </w14:solidFill>
                </w14:textFill>
              </w:rPr>
            </w:pPr>
            <w:r>
              <w:rPr>
                <w:rFonts w:hint="eastAsia"/>
                <w:color w:val="000000" w:themeColor="text1"/>
                <w:kern w:val="0"/>
                <w:sz w:val="24"/>
                <w14:textFill>
                  <w14:solidFill>
                    <w14:schemeClr w14:val="tx1"/>
                  </w14:solidFill>
                </w14:textFill>
              </w:rPr>
              <w:t>项目地理位置及周边关系见附图。</w:t>
            </w:r>
          </w:p>
        </w:tc>
      </w:tr>
      <w:tr w14:paraId="12DBE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300" w:type="pct"/>
            <w:vAlign w:val="center"/>
          </w:tcPr>
          <w:p w14:paraId="2D06E5DF">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项目组成及规模</w:t>
            </w:r>
          </w:p>
        </w:tc>
        <w:tc>
          <w:tcPr>
            <w:tcW w:w="4700" w:type="pct"/>
          </w:tcPr>
          <w:p w14:paraId="0758FCCC">
            <w:pPr>
              <w:adjustRightInd w:val="0"/>
              <w:snapToGrid w:val="0"/>
              <w:spacing w:line="440" w:lineRule="exact"/>
              <w:ind w:firstLine="482" w:firstLineChars="200"/>
              <w:rPr>
                <w:b/>
                <w:bCs/>
                <w:iCs/>
                <w:color w:val="000000" w:themeColor="text1"/>
                <w:sz w:val="24"/>
                <w:szCs w:val="22"/>
                <w14:textFill>
                  <w14:solidFill>
                    <w14:schemeClr w14:val="tx1"/>
                  </w14:solidFill>
                </w14:textFill>
              </w:rPr>
            </w:pPr>
            <w:r>
              <w:rPr>
                <w:b/>
                <w:bCs/>
                <w:iCs/>
                <w:color w:val="000000" w:themeColor="text1"/>
                <w:sz w:val="24"/>
                <w:szCs w:val="22"/>
                <w14:textFill>
                  <w14:solidFill>
                    <w14:schemeClr w14:val="tx1"/>
                  </w14:solidFill>
                </w14:textFill>
              </w:rPr>
              <w:t>1、项目由来</w:t>
            </w:r>
          </w:p>
          <w:p w14:paraId="446E0EF1">
            <w:pPr>
              <w:adjustRightInd w:val="0"/>
              <w:snapToGrid w:val="0"/>
              <w:spacing w:line="440" w:lineRule="exact"/>
              <w:ind w:firstLine="480" w:firstLineChars="200"/>
              <w:rPr>
                <w:bCs/>
                <w:iCs/>
                <w:color w:val="000000" w:themeColor="text1"/>
                <w:sz w:val="24"/>
                <w:szCs w:val="22"/>
                <w14:textFill>
                  <w14:solidFill>
                    <w14:schemeClr w14:val="tx1"/>
                  </w14:solidFill>
                </w14:textFill>
              </w:rPr>
            </w:pPr>
            <w:r>
              <w:rPr>
                <w:rFonts w:hint="eastAsia"/>
                <w:bCs/>
                <w:iCs/>
                <w:color w:val="000000" w:themeColor="text1"/>
                <w:sz w:val="24"/>
                <w:szCs w:val="22"/>
                <w14:textFill>
                  <w14:solidFill>
                    <w14:schemeClr w14:val="tx1"/>
                  </w14:solidFill>
                </w14:textFill>
              </w:rPr>
              <w:t>能源是人类赖以生存和发展的基础，是现代经济发展的动力，在气候变化和化石能源日益短缺的双重压力下，为了人类社会的可持续发展，加大可再生能源投入、加快能源转型步伐已经成为国际社会共识并付诸行动。在碳达峰、碳中和的国家能源战略目标下，迫切需要大力发展新能源，加快推进能源转型。在此背景下，为贯彻落实习近平总书记生态文明的思想，坚持创新、协调、绿色、开放、共享发展理念，大力推进光伏发电项目建设，为全市高质量发展提供低碳、高效清洁能源，拓展可再生能源的利用途径，应对气候变化、防治大气污染和雾霾，助力优化能源结构，建投遵化热电有限责任公司投资69287万元建设河北建投遵化15万千瓦复合型保障性光伏项目，充分利用现有空间资源和产品资源。本项目属于《河北省发展和改革委员会关于下达河北省2023年风电、光伏发电年度开发建设方案的通知》中的保障类项目，且项目已由遵化市行政审批局备案，备案文号遵审投资备字[2024]124号。</w:t>
            </w:r>
          </w:p>
          <w:p w14:paraId="398F634E">
            <w:pPr>
              <w:spacing w:line="440" w:lineRule="exact"/>
              <w:ind w:firstLine="480" w:firstLineChars="200"/>
              <w:rPr>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按照《建设项目环境影响评价分类管理名录》（2021版）的有关规定，项目类别属于“四十一、电力、热力生产和供应业”中“90太阳能发电4416（不含居民家用光伏发电）”；地面集中光伏电站（总容量大于6000千瓦，且接入电压等级不小于10千伏），因此本项目须编制环境影响报告表。本项目占地范围不涉及生态红线，但本项目影响区域涉及燕山水源涵养区，设置生态环境影响专题评价。为此河北奇正环境科技有限公司受</w:t>
            </w:r>
            <w:r>
              <w:rPr>
                <w:rFonts w:hint="eastAsia"/>
                <w:color w:val="000000" w:themeColor="text1"/>
                <w:sz w:val="24"/>
                <w:lang w:bidi="ar"/>
                <w14:textFill>
                  <w14:solidFill>
                    <w14:schemeClr w14:val="tx1"/>
                  </w14:solidFill>
                </w14:textFill>
              </w:rPr>
              <w:t>建投遵化热电有限责任公司</w:t>
            </w:r>
            <w:r>
              <w:rPr>
                <w:rFonts w:hint="eastAsia"/>
                <w:color w:val="000000" w:themeColor="text1"/>
                <w:sz w:val="24"/>
                <w:szCs w:val="22"/>
                <w14:textFill>
                  <w14:solidFill>
                    <w14:schemeClr w14:val="tx1"/>
                  </w14:solidFill>
                </w14:textFill>
              </w:rPr>
              <w:t>的委托，编制了本项目环境影响报告表（附生态环境影响专题评价）。</w:t>
            </w:r>
          </w:p>
          <w:p w14:paraId="78268175">
            <w:pPr>
              <w:spacing w:line="440" w:lineRule="exact"/>
              <w:ind w:firstLine="482" w:firstLineChars="200"/>
              <w:rPr>
                <w:i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升压站电磁辐射及220KV外送线路相关内容评价不在本次评价内容内，将另行环评。</w:t>
            </w:r>
          </w:p>
          <w:p w14:paraId="1EF69A5A">
            <w:pPr>
              <w:spacing w:line="440" w:lineRule="exact"/>
              <w:ind w:firstLine="482" w:firstLineChars="200"/>
              <w:rPr>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2</w:t>
            </w:r>
            <w:r>
              <w:rPr>
                <w:b/>
                <w:bCs/>
                <w:color w:val="000000" w:themeColor="text1"/>
                <w:sz w:val="24"/>
                <w:szCs w:val="22"/>
                <w14:textFill>
                  <w14:solidFill>
                    <w14:schemeClr w14:val="tx1"/>
                  </w14:solidFill>
                </w14:textFill>
              </w:rPr>
              <w:t>、建设内容及规模</w:t>
            </w:r>
          </w:p>
          <w:p w14:paraId="60D31924">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项目占地面积273.3496公顷，建设内容包括光伏场区、升压站</w:t>
            </w:r>
            <w:r>
              <w:rPr>
                <w:rFonts w:hint="eastAsia"/>
                <w:color w:val="000000" w:themeColor="text1"/>
                <w:sz w:val="24"/>
                <w:lang w:val="en-US" w:eastAsia="zh-CN" w:bidi="ar"/>
                <w14:textFill>
                  <w14:solidFill>
                    <w14:schemeClr w14:val="tx1"/>
                  </w14:solidFill>
                </w14:textFill>
              </w:rPr>
              <w:t>及</w:t>
            </w:r>
            <w:r>
              <w:rPr>
                <w:rFonts w:hint="eastAsia"/>
                <w:color w:val="000000" w:themeColor="text1"/>
                <w:sz w:val="24"/>
                <w:lang w:bidi="ar"/>
                <w14:textFill>
                  <w14:solidFill>
                    <w14:schemeClr w14:val="tx1"/>
                  </w14:solidFill>
                </w14:textFill>
              </w:rPr>
              <w:t>集电线路等。</w:t>
            </w:r>
          </w:p>
          <w:p w14:paraId="60F4BE78">
            <w:pPr>
              <w:numPr>
                <w:ilvl w:val="0"/>
                <w:numId w:val="10"/>
              </w:num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光伏场区</w:t>
            </w:r>
          </w:p>
          <w:p w14:paraId="1E96DF9B">
            <w:pPr>
              <w:snapToGrid w:val="0"/>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涉及4个片区，分别为北区、在北区、东区及西区，主要建设光伏发电系统1套，采用单块容量为620Wp的半片双面光伏组件，共计282360块组件，装机容量175.0632MWp，额定容量为150MW；</w:t>
            </w:r>
          </w:p>
          <w:p w14:paraId="11BC097C">
            <w:pPr>
              <w:snapToGrid w:val="0"/>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（2）升压站</w:t>
            </w:r>
          </w:p>
          <w:p w14:paraId="69F2604D">
            <w:pPr>
              <w:snapToGrid w:val="0"/>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建设1座220kV升压站及配套附属设施，升压站规划建设1×150MVA主变，电压等级为220/35kV。站内布置有综合楼、一体化消防泵站、主变压器、一体化污水处理设施等设施；</w:t>
            </w:r>
          </w:p>
          <w:p w14:paraId="12BAA181">
            <w:pPr>
              <w:snapToGrid w:val="0"/>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（3）集电线路</w:t>
            </w:r>
          </w:p>
          <w:p w14:paraId="6F0937F6">
            <w:pPr>
              <w:snapToGrid w:val="0"/>
              <w:spacing w:line="440" w:lineRule="exact"/>
              <w:ind w:firstLine="480" w:firstLineChars="200"/>
              <w:rPr>
                <w:color w:val="000000" w:themeColor="text1"/>
                <w14:textFill>
                  <w14:solidFill>
                    <w14:schemeClr w14:val="tx1"/>
                  </w14:solidFill>
                </w14:textFill>
              </w:rPr>
            </w:pPr>
            <w:r>
              <w:rPr>
                <w:rFonts w:hint="eastAsia"/>
                <w:color w:val="000000" w:themeColor="text1"/>
                <w:sz w:val="24"/>
                <w:lang w:bidi="ar"/>
                <w14:textFill>
                  <w14:solidFill>
                    <w14:schemeClr w14:val="tx1"/>
                  </w14:solidFill>
                </w14:textFill>
              </w:rPr>
              <w:t>本工程集电线路采用35kV电压等级，共7回集电线路分别连接厂区升压电站。</w:t>
            </w:r>
          </w:p>
          <w:p w14:paraId="3A3354F7">
            <w:pPr>
              <w:numPr>
                <w:ilvl w:val="0"/>
                <w:numId w:val="11"/>
              </w:numPr>
              <w:snapToGrid w:val="0"/>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项目组成</w:t>
            </w:r>
          </w:p>
          <w:p w14:paraId="262CCF54">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项目组成见下表</w:t>
            </w:r>
            <w:r>
              <w:rPr>
                <w:color w:val="000000" w:themeColor="text1"/>
                <w:sz w:val="24"/>
                <w:lang w:bidi="ar"/>
                <w14:textFill>
                  <w14:solidFill>
                    <w14:schemeClr w14:val="tx1"/>
                  </w14:solidFill>
                </w14:textFill>
              </w:rPr>
              <w:t>2-</w:t>
            </w:r>
            <w:r>
              <w:rPr>
                <w:rFonts w:hint="eastAsia"/>
                <w:color w:val="000000" w:themeColor="text1"/>
                <w:sz w:val="24"/>
                <w:lang w:bidi="ar"/>
                <w14:textFill>
                  <w14:solidFill>
                    <w14:schemeClr w14:val="tx1"/>
                  </w14:solidFill>
                </w14:textFill>
              </w:rPr>
              <w:t>2。</w:t>
            </w:r>
          </w:p>
          <w:p w14:paraId="058C38E9">
            <w:pPr>
              <w:spacing w:line="440" w:lineRule="exact"/>
              <w:ind w:firstLine="482" w:firstLineChars="200"/>
              <w:rPr>
                <w:b/>
                <w:bCs/>
                <w:color w:val="000000" w:themeColor="text1"/>
                <w:sz w:val="24"/>
                <w:lang w:bidi="ar"/>
                <w14:textFill>
                  <w14:solidFill>
                    <w14:schemeClr w14:val="tx1"/>
                  </w14:solidFill>
                </w14:textFill>
              </w:rPr>
            </w:pPr>
            <w:r>
              <w:rPr>
                <w:b/>
                <w:bCs/>
                <w:color w:val="000000" w:themeColor="text1"/>
                <w:sz w:val="24"/>
                <w:lang w:bidi="ar"/>
                <w14:textFill>
                  <w14:solidFill>
                    <w14:schemeClr w14:val="tx1"/>
                  </w14:solidFill>
                </w14:textFill>
              </w:rPr>
              <w:t>表2-</w:t>
            </w:r>
            <w:r>
              <w:rPr>
                <w:rFonts w:hint="eastAsia"/>
                <w:b/>
                <w:bCs/>
                <w:color w:val="000000" w:themeColor="text1"/>
                <w:sz w:val="24"/>
                <w:lang w:bidi="ar"/>
                <w14:textFill>
                  <w14:solidFill>
                    <w14:schemeClr w14:val="tx1"/>
                  </w14:solidFill>
                </w14:textFill>
              </w:rPr>
              <w:t xml:space="preserve">2    </w:t>
            </w:r>
            <w:r>
              <w:rPr>
                <w:b/>
                <w:bCs/>
                <w:color w:val="000000" w:themeColor="text1"/>
                <w:sz w:val="24"/>
                <w:lang w:bidi="ar"/>
                <w14:textFill>
                  <w14:solidFill>
                    <w14:schemeClr w14:val="tx1"/>
                  </w14:solidFill>
                </w14:textFill>
              </w:rPr>
              <w:t>项目组成及建设内容一览表</w:t>
            </w:r>
          </w:p>
          <w:tbl>
            <w:tblPr>
              <w:tblStyle w:val="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63"/>
              <w:gridCol w:w="819"/>
              <w:gridCol w:w="748"/>
              <w:gridCol w:w="1811"/>
              <w:gridCol w:w="4349"/>
            </w:tblGrid>
            <w:tr w14:paraId="1352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59" w:hRule="atLeast"/>
              </w:trPr>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3EEDE417">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工程</w:t>
                  </w:r>
                </w:p>
                <w:p w14:paraId="373CBB29">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类型</w:t>
                  </w:r>
                </w:p>
              </w:tc>
              <w:tc>
                <w:tcPr>
                  <w:tcW w:w="493" w:type="pct"/>
                  <w:tcBorders>
                    <w:top w:val="single" w:color="auto" w:sz="4" w:space="0"/>
                    <w:left w:val="single" w:color="auto" w:sz="4" w:space="0"/>
                    <w:bottom w:val="single" w:color="auto" w:sz="4" w:space="0"/>
                    <w:right w:val="single" w:color="auto" w:sz="4" w:space="0"/>
                  </w:tcBorders>
                  <w:shd w:val="clear" w:color="auto" w:fill="auto"/>
                  <w:vAlign w:val="center"/>
                </w:tcPr>
                <w:p w14:paraId="331F2472">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项目</w:t>
                  </w: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2EF908A">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建设内容</w:t>
                  </w:r>
                </w:p>
              </w:tc>
            </w:tr>
            <w:tr w14:paraId="6FC8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70" w:hRule="atLeast"/>
              </w:trPr>
              <w:tc>
                <w:tcPr>
                  <w:tcW w:w="3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EE9D81">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主体工程</w:t>
                  </w:r>
                </w:p>
              </w:tc>
              <w:tc>
                <w:tcPr>
                  <w:tcW w:w="493" w:type="pct"/>
                  <w:tcBorders>
                    <w:top w:val="single" w:color="auto" w:sz="4" w:space="0"/>
                    <w:left w:val="single" w:color="auto" w:sz="4" w:space="0"/>
                    <w:bottom w:val="single" w:color="auto" w:sz="4" w:space="0"/>
                    <w:right w:val="single" w:color="auto" w:sz="4" w:space="0"/>
                  </w:tcBorders>
                  <w:shd w:val="clear" w:color="auto" w:fill="auto"/>
                  <w:vAlign w:val="center"/>
                </w:tcPr>
                <w:p w14:paraId="5B2230BB">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光伏厂区</w:t>
                  </w:r>
                </w:p>
              </w:tc>
              <w:tc>
                <w:tcPr>
                  <w:tcW w:w="4166" w:type="pct"/>
                  <w:gridSpan w:val="3"/>
                  <w:tcBorders>
                    <w:top w:val="single" w:color="auto" w:sz="4" w:space="0"/>
                    <w:left w:val="single" w:color="auto" w:sz="4" w:space="0"/>
                    <w:right w:val="single" w:color="auto" w:sz="4" w:space="0"/>
                  </w:tcBorders>
                  <w:shd w:val="clear" w:color="auto" w:fill="auto"/>
                  <w:vAlign w:val="center"/>
                </w:tcPr>
                <w:p w14:paraId="0D6C439D">
                  <w:pPr>
                    <w:spacing w:line="360" w:lineRule="exact"/>
                    <w:rPr>
                      <w:rFonts w:cs="宋体"/>
                      <w:color w:val="000000" w:themeColor="text1"/>
                      <w:lang w:bidi="ar"/>
                      <w14:textFill>
                        <w14:solidFill>
                          <w14:schemeClr w14:val="tx1"/>
                        </w14:solidFill>
                      </w14:textFill>
                    </w:rPr>
                  </w:pPr>
                  <w:r>
                    <w:rPr>
                      <w:rFonts w:hint="eastAsia" w:cs="宋体"/>
                      <w:color w:val="000000" w:themeColor="text1"/>
                      <w:lang w:bidi="ar"/>
                      <w14:textFill>
                        <w14:solidFill>
                          <w14:schemeClr w14:val="tx1"/>
                        </w14:solidFill>
                      </w14:textFill>
                    </w:rPr>
                    <w:t>本项目光伏场区分为四个区域，</w:t>
                  </w:r>
                  <w:r>
                    <w:rPr>
                      <w:rFonts w:hint="eastAsia"/>
                      <w:color w:val="000000" w:themeColor="text1"/>
                      <w:szCs w:val="21"/>
                      <w:shd w:val="clear" w:color="auto" w:fill="FFFFFF" w:themeFill="background1"/>
                      <w14:textFill>
                        <w14:solidFill>
                          <w14:schemeClr w14:val="tx1"/>
                        </w14:solidFill>
                      </w14:textFill>
                    </w:rPr>
                    <w:t>额定容量150MW，装机容量175.0632MWp</w:t>
                  </w:r>
                  <w:r>
                    <w:rPr>
                      <w:rFonts w:hint="eastAsia" w:cs="宋体"/>
                      <w:color w:val="000000" w:themeColor="text1"/>
                      <w:shd w:val="clear" w:color="auto" w:fill="FFFFFF" w:themeFill="background1"/>
                      <w:lang w:bidi="ar"/>
                      <w14:textFill>
                        <w14:solidFill>
                          <w14:schemeClr w14:val="tx1"/>
                        </w14:solidFill>
                      </w14:textFill>
                    </w:rPr>
                    <w:t>。</w:t>
                  </w:r>
                  <w:r>
                    <w:rPr>
                      <w:rFonts w:hint="eastAsia" w:cs="宋体"/>
                      <w:color w:val="000000" w:themeColor="text1"/>
                      <w:lang w:bidi="ar"/>
                      <w14:textFill>
                        <w14:solidFill>
                          <w14:schemeClr w14:val="tx1"/>
                        </w14:solidFill>
                      </w14:textFill>
                    </w:rPr>
                    <w:t>共设</w:t>
                  </w:r>
                  <w:r>
                    <w:rPr>
                      <w:rFonts w:hint="eastAsia"/>
                      <w:color w:val="000000" w:themeColor="text1"/>
                      <w:lang w:bidi="ar"/>
                      <w14:textFill>
                        <w14:solidFill>
                          <w14:schemeClr w14:val="tx1"/>
                        </w14:solidFill>
                      </w14:textFill>
                    </w:rPr>
                    <w:t>48</w:t>
                  </w:r>
                  <w:r>
                    <w:rPr>
                      <w:rFonts w:hint="eastAsia" w:cs="宋体"/>
                      <w:color w:val="000000" w:themeColor="text1"/>
                      <w:lang w:bidi="ar"/>
                      <w14:textFill>
                        <w14:solidFill>
                          <w14:schemeClr w14:val="tx1"/>
                        </w14:solidFill>
                      </w14:textFill>
                    </w:rPr>
                    <w:t>个光伏发电单元（包括</w:t>
                  </w:r>
                  <w:r>
                    <w:rPr>
                      <w:color w:val="000000" w:themeColor="text1"/>
                      <w:lang w:bidi="ar"/>
                      <w14:textFill>
                        <w14:solidFill>
                          <w14:schemeClr w14:val="tx1"/>
                        </w14:solidFill>
                      </w14:textFill>
                    </w:rPr>
                    <w:t>4</w:t>
                  </w:r>
                  <w:r>
                    <w:rPr>
                      <w:rFonts w:hint="eastAsia"/>
                      <w:color w:val="000000" w:themeColor="text1"/>
                      <w:lang w:bidi="ar"/>
                      <w14:textFill>
                        <w14:solidFill>
                          <w14:schemeClr w14:val="tx1"/>
                        </w14:solidFill>
                      </w14:textFill>
                    </w:rPr>
                    <w:t>7</w:t>
                  </w:r>
                  <w:r>
                    <w:rPr>
                      <w:rFonts w:hint="eastAsia" w:cs="宋体"/>
                      <w:color w:val="000000" w:themeColor="text1"/>
                      <w:lang w:bidi="ar"/>
                      <w14:textFill>
                        <w14:solidFill>
                          <w14:schemeClr w14:val="tx1"/>
                        </w14:solidFill>
                      </w14:textFill>
                    </w:rPr>
                    <w:t>个</w:t>
                  </w:r>
                  <w:r>
                    <w:rPr>
                      <w:color w:val="000000" w:themeColor="text1"/>
                      <w:lang w:bidi="ar"/>
                      <w14:textFill>
                        <w14:solidFill>
                          <w14:schemeClr w14:val="tx1"/>
                        </w14:solidFill>
                      </w14:textFill>
                    </w:rPr>
                    <w:t>3.15MWp</w:t>
                  </w:r>
                  <w:r>
                    <w:rPr>
                      <w:rFonts w:hint="eastAsia" w:cs="宋体"/>
                      <w:color w:val="000000" w:themeColor="text1"/>
                      <w:lang w:bidi="ar"/>
                      <w14:textFill>
                        <w14:solidFill>
                          <w14:schemeClr w14:val="tx1"/>
                        </w14:solidFill>
                      </w14:textFill>
                    </w:rPr>
                    <w:t>发电单元，</w:t>
                  </w:r>
                  <w:r>
                    <w:rPr>
                      <w:color w:val="000000" w:themeColor="text1"/>
                      <w:lang w:bidi="ar"/>
                      <w14:textFill>
                        <w14:solidFill>
                          <w14:schemeClr w14:val="tx1"/>
                        </w14:solidFill>
                      </w14:textFill>
                    </w:rPr>
                    <w:t>1</w:t>
                  </w:r>
                  <w:r>
                    <w:rPr>
                      <w:rFonts w:hint="eastAsia" w:cs="宋体"/>
                      <w:color w:val="000000" w:themeColor="text1"/>
                      <w:lang w:bidi="ar"/>
                      <w14:textFill>
                        <w14:solidFill>
                          <w14:schemeClr w14:val="tx1"/>
                        </w14:solidFill>
                      </w14:textFill>
                    </w:rPr>
                    <w:t>个</w:t>
                  </w:r>
                  <w:r>
                    <w:rPr>
                      <w:color w:val="000000" w:themeColor="text1"/>
                      <w:lang w:bidi="ar"/>
                      <w14:textFill>
                        <w14:solidFill>
                          <w14:schemeClr w14:val="tx1"/>
                        </w14:solidFill>
                      </w14:textFill>
                    </w:rPr>
                    <w:t>2.0MWp</w:t>
                  </w:r>
                  <w:r>
                    <w:rPr>
                      <w:rFonts w:hint="eastAsia" w:cs="宋体"/>
                      <w:color w:val="000000" w:themeColor="text1"/>
                      <w:lang w:bidi="ar"/>
                      <w14:textFill>
                        <w14:solidFill>
                          <w14:schemeClr w14:val="tx1"/>
                        </w14:solidFill>
                      </w14:textFill>
                    </w:rPr>
                    <w:t>发电单元）。本项目安装</w:t>
                  </w:r>
                  <w:r>
                    <w:rPr>
                      <w:color w:val="000000" w:themeColor="text1"/>
                      <w:lang w:bidi="ar"/>
                      <w14:textFill>
                        <w14:solidFill>
                          <w14:schemeClr w14:val="tx1"/>
                        </w14:solidFill>
                      </w14:textFill>
                    </w:rPr>
                    <w:t>320kW</w:t>
                  </w:r>
                  <w:r>
                    <w:rPr>
                      <w:rFonts w:hint="eastAsia" w:cs="宋体"/>
                      <w:color w:val="000000" w:themeColor="text1"/>
                      <w:lang w:bidi="ar"/>
                      <w14:textFill>
                        <w14:solidFill>
                          <w14:schemeClr w14:val="tx1"/>
                        </w14:solidFill>
                      </w14:textFill>
                    </w:rPr>
                    <w:t>组串式逆变器</w:t>
                  </w:r>
                  <w:r>
                    <w:rPr>
                      <w:rFonts w:hint="eastAsia"/>
                      <w:color w:val="000000" w:themeColor="text1"/>
                      <w:lang w:bidi="ar"/>
                      <w14:textFill>
                        <w14:solidFill>
                          <w14:schemeClr w14:val="tx1"/>
                        </w14:solidFill>
                      </w14:textFill>
                    </w:rPr>
                    <w:t>470</w:t>
                  </w:r>
                  <w:r>
                    <w:rPr>
                      <w:rFonts w:hint="eastAsia" w:cs="宋体"/>
                      <w:color w:val="000000" w:themeColor="text1"/>
                      <w:lang w:bidi="ar"/>
                      <w14:textFill>
                        <w14:solidFill>
                          <w14:schemeClr w14:val="tx1"/>
                        </w14:solidFill>
                      </w14:textFill>
                    </w:rPr>
                    <w:t>台。升压箱变48座</w:t>
                  </w:r>
                  <w:r>
                    <w:rPr>
                      <w:rFonts w:hint="eastAsia"/>
                      <w:color w:val="000000" w:themeColor="text1"/>
                      <w14:textFill>
                        <w14:solidFill>
                          <w14:schemeClr w14:val="tx1"/>
                        </w14:solidFill>
                      </w14:textFill>
                    </w:rPr>
                    <w:t>（其中在北区涉及升压箱变7座，北区涉及升压箱变13座，东区涉及升压箱变14座，西区涉及升压箱变14座）</w:t>
                  </w:r>
                  <w:r>
                    <w:rPr>
                      <w:rFonts w:hint="eastAsia" w:cs="宋体"/>
                      <w:color w:val="000000" w:themeColor="text1"/>
                      <w:lang w:bidi="ar"/>
                      <w14:textFill>
                        <w14:solidFill>
                          <w14:schemeClr w14:val="tx1"/>
                        </w14:solidFill>
                      </w14:textFill>
                    </w:rPr>
                    <w:t>。其中，47个3.15MW发电单元中有41个发电单元为每个发电单元接入10台 320kW逆变器，每台逆变器接入25串光伏组串，每个光伏组串串联24个光伏组件；6个发电单元为每个发电单元接入9台320kW逆变器，其中有5个发电单元9台逆变器接入25串光伏组串，每个光伏组串串联24个光伏组件；有1个发电单元9台逆变器接入26串光伏组串，每个光伏组串串联 24个光伏组件；1个2.0MW发电单元，每个发电单元接入6台逆变器，每台逆变器接入26串光伏组串，每个光伏组串串联24个光伏组件。</w:t>
                  </w:r>
                </w:p>
                <w:p w14:paraId="1B677BF9">
                  <w:pPr>
                    <w:spacing w:line="360" w:lineRule="exact"/>
                    <w:rPr>
                      <w:rFonts w:cs="宋体"/>
                      <w:color w:val="000000" w:themeColor="text1"/>
                      <w:lang w:bidi="ar"/>
                      <w14:textFill>
                        <w14:solidFill>
                          <w14:schemeClr w14:val="tx1"/>
                        </w14:solidFill>
                      </w14:textFill>
                    </w:rPr>
                  </w:pPr>
                  <w:r>
                    <w:rPr>
                      <w:rFonts w:hint="eastAsia" w:cs="宋体"/>
                      <w:color w:val="000000" w:themeColor="text1"/>
                      <w:lang w:bidi="ar"/>
                      <w14:textFill>
                        <w14:solidFill>
                          <w14:schemeClr w14:val="tx1"/>
                        </w14:solidFill>
                      </w14:textFill>
                    </w:rPr>
                    <w:t>其中北区设置78000块620Wp双面单晶组件，容量为48360kwp；东区设置80616块620Wp双面单晶组件，容量为49981.92kwp；西区设置84000块620Wp双面单晶组件，容量为52080kwp；在北区设置39744块620Wp双面单晶组件，容量为24641.28kwp；</w:t>
                  </w:r>
                </w:p>
              </w:tc>
            </w:tr>
            <w:tr w14:paraId="61AA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3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AA109C">
                  <w:pPr>
                    <w:spacing w:line="360" w:lineRule="exact"/>
                    <w:jc w:val="center"/>
                    <w:rPr>
                      <w:color w:val="000000" w:themeColor="text1"/>
                      <w:sz w:val="20"/>
                      <w:szCs w:val="20"/>
                      <w14:textFill>
                        <w14:solidFill>
                          <w14:schemeClr w14:val="tx1"/>
                        </w14:solidFill>
                      </w14:textFill>
                    </w:rPr>
                  </w:pPr>
                </w:p>
              </w:tc>
              <w:tc>
                <w:tcPr>
                  <w:tcW w:w="493" w:type="pct"/>
                  <w:tcBorders>
                    <w:top w:val="single" w:color="auto" w:sz="4" w:space="0"/>
                    <w:left w:val="single" w:color="auto" w:sz="4" w:space="0"/>
                    <w:bottom w:val="single" w:color="auto" w:sz="4" w:space="0"/>
                    <w:right w:val="single" w:color="auto" w:sz="4" w:space="0"/>
                  </w:tcBorders>
                  <w:shd w:val="clear" w:color="auto" w:fill="auto"/>
                  <w:vAlign w:val="center"/>
                </w:tcPr>
                <w:p w14:paraId="772AB4A1">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升压站</w:t>
                  </w: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551C727">
                  <w:pPr>
                    <w:spacing w:line="360" w:lineRule="exact"/>
                    <w:rPr>
                      <w:rFonts w:cs="宋体"/>
                      <w:color w:val="000000" w:themeColor="text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升压站总占地面积为</w:t>
                  </w:r>
                  <w:r>
                    <w:rPr>
                      <w:rFonts w:hint="eastAsia"/>
                      <w:color w:val="000000" w:themeColor="text1"/>
                      <w:szCs w:val="21"/>
                      <w:lang w:bidi="ar"/>
                      <w14:textFill>
                        <w14:solidFill>
                          <w14:schemeClr w14:val="tx1"/>
                        </w14:solidFill>
                      </w14:textFill>
                    </w:rPr>
                    <w:t>1.32</w:t>
                  </w:r>
                  <w:r>
                    <w:rPr>
                      <w:rFonts w:hint="eastAsia"/>
                      <w:color w:val="000000" w:themeColor="text1"/>
                      <w:szCs w:val="21"/>
                      <w:lang w:val="en-US" w:eastAsia="zh-CN" w:bidi="ar"/>
                      <w14:textFill>
                        <w14:solidFill>
                          <w14:schemeClr w14:val="tx1"/>
                        </w14:solidFill>
                      </w14:textFill>
                    </w:rPr>
                    <w:t>18</w:t>
                  </w:r>
                  <w:r>
                    <w:rPr>
                      <w:rFonts w:hint="eastAsia"/>
                      <w:color w:val="000000" w:themeColor="text1"/>
                      <w:szCs w:val="21"/>
                      <w:lang w:bidi="ar"/>
                      <w14:textFill>
                        <w14:solidFill>
                          <w14:schemeClr w14:val="tx1"/>
                        </w14:solidFill>
                      </w14:textFill>
                    </w:rPr>
                    <w:t>公顷</w:t>
                  </w:r>
                  <w:r>
                    <w:rPr>
                      <w:rFonts w:hint="eastAsia" w:cs="宋体"/>
                      <w:color w:val="000000" w:themeColor="text1"/>
                      <w:szCs w:val="21"/>
                      <w:lang w:bidi="ar"/>
                      <w14:textFill>
                        <w14:solidFill>
                          <w14:schemeClr w14:val="tx1"/>
                        </w14:solidFill>
                      </w14:textFill>
                    </w:rPr>
                    <w:t>。</w:t>
                  </w:r>
                </w:p>
                <w:p w14:paraId="5724BBC6">
                  <w:pPr>
                    <w:spacing w:line="360" w:lineRule="exact"/>
                    <w:rPr>
                      <w:color w:val="000000" w:themeColor="text1"/>
                      <w14:textFill>
                        <w14:solidFill>
                          <w14:schemeClr w14:val="tx1"/>
                        </w14:solidFill>
                      </w14:textFill>
                    </w:rPr>
                  </w:pPr>
                  <w:r>
                    <w:rPr>
                      <w:rFonts w:hint="eastAsia" w:cs="宋体"/>
                      <w:color w:val="000000" w:themeColor="text1"/>
                      <w:lang w:bidi="ar"/>
                      <w14:textFill>
                        <w14:solidFill>
                          <w14:schemeClr w14:val="tx1"/>
                        </w14:solidFill>
                      </w14:textFill>
                    </w:rPr>
                    <w:t>新建一座220kV光伏升压站，规划建设1×150MVA主变本升压站，配套建设</w:t>
                  </w:r>
                  <w:r>
                    <w:rPr>
                      <w:rFonts w:hint="eastAsia"/>
                      <w:color w:val="000000" w:themeColor="text1"/>
                      <w:shd w:val="clear" w:color="auto" w:fill="FFFFFF" w:themeFill="background1"/>
                      <w:lang w:bidi="ar"/>
                      <w14:textFill>
                        <w14:solidFill>
                          <w14:schemeClr w14:val="tx1"/>
                        </w14:solidFill>
                      </w14:textFill>
                    </w:rPr>
                    <w:t>22</w:t>
                  </w:r>
                  <w:r>
                    <w:rPr>
                      <w:color w:val="000000" w:themeColor="text1"/>
                      <w:shd w:val="clear" w:color="auto" w:fill="FFFFFF" w:themeFill="background1"/>
                      <w:lang w:bidi="ar"/>
                      <w14:textFill>
                        <w14:solidFill>
                          <w14:schemeClr w14:val="tx1"/>
                        </w14:solidFill>
                      </w14:textFill>
                    </w:rPr>
                    <w:t>0kV</w:t>
                  </w:r>
                  <w:r>
                    <w:rPr>
                      <w:rFonts w:hint="eastAsia" w:cs="宋体"/>
                      <w:color w:val="000000" w:themeColor="text1"/>
                      <w:lang w:bidi="ar"/>
                      <w14:textFill>
                        <w14:solidFill>
                          <w14:schemeClr w14:val="tx1"/>
                        </w14:solidFill>
                      </w14:textFill>
                    </w:rPr>
                    <w:t>线变组间隔</w:t>
                  </w:r>
                  <w:r>
                    <w:rPr>
                      <w:color w:val="000000" w:themeColor="text1"/>
                      <w:lang w:bidi="ar"/>
                      <w14:textFill>
                        <w14:solidFill>
                          <w14:schemeClr w14:val="tx1"/>
                        </w14:solidFill>
                      </w14:textFill>
                    </w:rPr>
                    <w:t>1</w:t>
                  </w:r>
                  <w:r>
                    <w:rPr>
                      <w:rFonts w:hint="eastAsia" w:cs="宋体"/>
                      <w:color w:val="000000" w:themeColor="text1"/>
                      <w:lang w:bidi="ar"/>
                      <w14:textFill>
                        <w14:solidFill>
                          <w14:schemeClr w14:val="tx1"/>
                        </w14:solidFill>
                      </w14:textFill>
                    </w:rPr>
                    <w:t>个。</w:t>
                  </w:r>
                </w:p>
                <w:p w14:paraId="39A01DF5">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升压站站内布置有综合楼、一体化消防泵站、主变压器、一体化污水处理设施等设施。</w:t>
                  </w:r>
                </w:p>
              </w:tc>
            </w:tr>
            <w:tr w14:paraId="13FC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3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1CB5B4">
                  <w:pPr>
                    <w:spacing w:line="360" w:lineRule="exact"/>
                    <w:jc w:val="center"/>
                    <w:rPr>
                      <w:color w:val="000000" w:themeColor="text1"/>
                      <w:sz w:val="20"/>
                      <w:szCs w:val="20"/>
                      <w14:textFill>
                        <w14:solidFill>
                          <w14:schemeClr w14:val="tx1"/>
                        </w14:solidFill>
                      </w14:textFill>
                    </w:rPr>
                  </w:pPr>
                </w:p>
              </w:tc>
              <w:tc>
                <w:tcPr>
                  <w:tcW w:w="493" w:type="pct"/>
                  <w:tcBorders>
                    <w:top w:val="single" w:color="auto" w:sz="4" w:space="0"/>
                    <w:left w:val="single" w:color="auto" w:sz="4" w:space="0"/>
                    <w:bottom w:val="single" w:color="auto" w:sz="4" w:space="0"/>
                    <w:right w:val="single" w:color="auto" w:sz="4" w:space="0"/>
                  </w:tcBorders>
                  <w:shd w:val="clear" w:color="auto" w:fill="auto"/>
                  <w:vAlign w:val="center"/>
                </w:tcPr>
                <w:p w14:paraId="6B6330A5">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集电线路工程</w:t>
                  </w: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FAB9A31">
                  <w:pPr>
                    <w:spacing w:line="360" w:lineRule="exact"/>
                    <w:rPr>
                      <w:color w:val="000000" w:themeColor="text1"/>
                      <w14:textFill>
                        <w14:solidFill>
                          <w14:schemeClr w14:val="tx1"/>
                        </w14:solidFill>
                      </w14:textFill>
                    </w:rPr>
                  </w:pPr>
                  <w:r>
                    <w:rPr>
                      <w:rFonts w:hint="eastAsia" w:cs="宋体"/>
                      <w:color w:val="000000" w:themeColor="text1"/>
                      <w:lang w:bidi="ar"/>
                      <w14:textFill>
                        <w14:solidFill>
                          <w14:schemeClr w14:val="tx1"/>
                        </w14:solidFill>
                      </w14:textFill>
                    </w:rPr>
                    <w:t>包括电气主接线（</w:t>
                  </w:r>
                  <w:r>
                    <w:rPr>
                      <w:rFonts w:hint="eastAsia"/>
                      <w:color w:val="000000" w:themeColor="text1"/>
                      <w:lang w:bidi="ar"/>
                      <w14:textFill>
                        <w14:solidFill>
                          <w14:schemeClr w14:val="tx1"/>
                        </w14:solidFill>
                      </w14:textFill>
                    </w:rPr>
                    <w:t>22</w:t>
                  </w:r>
                  <w:r>
                    <w:rPr>
                      <w:color w:val="000000" w:themeColor="text1"/>
                      <w:lang w:bidi="ar"/>
                      <w14:textFill>
                        <w14:solidFill>
                          <w14:schemeClr w14:val="tx1"/>
                        </w14:solidFill>
                      </w14:textFill>
                    </w:rPr>
                    <w:t>0kV</w:t>
                  </w:r>
                  <w:r>
                    <w:rPr>
                      <w:rFonts w:hint="eastAsia" w:cs="宋体"/>
                      <w:color w:val="000000" w:themeColor="text1"/>
                      <w:lang w:bidi="ar"/>
                      <w14:textFill>
                        <w14:solidFill>
                          <w14:schemeClr w14:val="tx1"/>
                        </w14:solidFill>
                      </w14:textFill>
                    </w:rPr>
                    <w:t>电气主接线、</w:t>
                  </w:r>
                  <w:r>
                    <w:rPr>
                      <w:color w:val="000000" w:themeColor="text1"/>
                      <w:lang w:bidi="ar"/>
                      <w14:textFill>
                        <w14:solidFill>
                          <w14:schemeClr w14:val="tx1"/>
                        </w14:solidFill>
                      </w14:textFill>
                    </w:rPr>
                    <w:t>35kV</w:t>
                  </w:r>
                  <w:r>
                    <w:rPr>
                      <w:rFonts w:hint="eastAsia" w:cs="宋体"/>
                      <w:color w:val="000000" w:themeColor="text1"/>
                      <w:lang w:bidi="ar"/>
                      <w14:textFill>
                        <w14:solidFill>
                          <w14:schemeClr w14:val="tx1"/>
                        </w14:solidFill>
                      </w14:textFill>
                    </w:rPr>
                    <w:t>电气主接线、</w:t>
                  </w:r>
                  <w:r>
                    <w:rPr>
                      <w:color w:val="000000" w:themeColor="text1"/>
                      <w:lang w:bidi="ar"/>
                      <w14:textFill>
                        <w14:solidFill>
                          <w14:schemeClr w14:val="tx1"/>
                        </w14:solidFill>
                      </w14:textFill>
                    </w:rPr>
                    <w:t>0.4kV</w:t>
                  </w:r>
                  <w:r>
                    <w:rPr>
                      <w:rFonts w:hint="eastAsia" w:cs="宋体"/>
                      <w:color w:val="000000" w:themeColor="text1"/>
                      <w:lang w:bidi="ar"/>
                      <w14:textFill>
                        <w14:solidFill>
                          <w14:schemeClr w14:val="tx1"/>
                        </w14:solidFill>
                      </w14:textFill>
                    </w:rPr>
                    <w:t>所用电接线）及电气二次接线。共计</w:t>
                  </w:r>
                  <w:r>
                    <w:rPr>
                      <w:color w:val="000000" w:themeColor="text1"/>
                      <w:lang w:bidi="ar"/>
                      <w14:textFill>
                        <w14:solidFill>
                          <w14:schemeClr w14:val="tx1"/>
                        </w14:solidFill>
                      </w14:textFill>
                    </w:rPr>
                    <w:t>7</w:t>
                  </w:r>
                  <w:r>
                    <w:rPr>
                      <w:rFonts w:hint="eastAsia" w:cs="宋体"/>
                      <w:color w:val="000000" w:themeColor="text1"/>
                      <w:lang w:bidi="ar"/>
                      <w14:textFill>
                        <w14:solidFill>
                          <w14:schemeClr w14:val="tx1"/>
                        </w14:solidFill>
                      </w14:textFill>
                    </w:rPr>
                    <w:t>回集电线路，经</w:t>
                  </w:r>
                  <w:r>
                    <w:rPr>
                      <w:color w:val="000000" w:themeColor="text1"/>
                      <w:lang w:bidi="ar"/>
                      <w14:textFill>
                        <w14:solidFill>
                          <w14:schemeClr w14:val="tx1"/>
                        </w14:solidFill>
                      </w14:textFill>
                    </w:rPr>
                    <w:t>35kV</w:t>
                  </w:r>
                  <w:r>
                    <w:rPr>
                      <w:rFonts w:hint="eastAsia" w:cs="宋体"/>
                      <w:color w:val="000000" w:themeColor="text1"/>
                      <w:lang w:bidi="ar"/>
                      <w14:textFill>
                        <w14:solidFill>
                          <w14:schemeClr w14:val="tx1"/>
                        </w14:solidFill>
                      </w14:textFill>
                    </w:rPr>
                    <w:t>电缆线路接入本工程新建的</w:t>
                  </w:r>
                  <w:r>
                    <w:rPr>
                      <w:rFonts w:hint="eastAsia"/>
                      <w:color w:val="000000" w:themeColor="text1"/>
                      <w:lang w:bidi="ar"/>
                      <w14:textFill>
                        <w14:solidFill>
                          <w14:schemeClr w14:val="tx1"/>
                        </w14:solidFill>
                      </w14:textFill>
                    </w:rPr>
                    <w:t>22</w:t>
                  </w:r>
                  <w:r>
                    <w:rPr>
                      <w:color w:val="000000" w:themeColor="text1"/>
                      <w:lang w:bidi="ar"/>
                      <w14:textFill>
                        <w14:solidFill>
                          <w14:schemeClr w14:val="tx1"/>
                        </w14:solidFill>
                      </w14:textFill>
                    </w:rPr>
                    <w:t>0kV</w:t>
                  </w:r>
                  <w:r>
                    <w:rPr>
                      <w:rFonts w:hint="eastAsia" w:cs="宋体"/>
                      <w:color w:val="000000" w:themeColor="text1"/>
                      <w:lang w:bidi="ar"/>
                      <w14:textFill>
                        <w14:solidFill>
                          <w14:schemeClr w14:val="tx1"/>
                        </w14:solidFill>
                      </w14:textFill>
                    </w:rPr>
                    <w:t>升压站。</w:t>
                  </w:r>
                </w:p>
              </w:tc>
            </w:tr>
            <w:tr w14:paraId="61C5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3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EA1ADB">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辅助工程</w:t>
                  </w:r>
                </w:p>
              </w:tc>
              <w:tc>
                <w:tcPr>
                  <w:tcW w:w="493" w:type="pct"/>
                  <w:tcBorders>
                    <w:top w:val="single" w:color="auto" w:sz="4" w:space="0"/>
                    <w:left w:val="single" w:color="auto" w:sz="4" w:space="0"/>
                    <w:bottom w:val="single" w:color="auto" w:sz="4" w:space="0"/>
                    <w:right w:val="single" w:color="auto" w:sz="4" w:space="0"/>
                  </w:tcBorders>
                  <w:shd w:val="clear" w:color="auto" w:fill="auto"/>
                  <w:vAlign w:val="center"/>
                </w:tcPr>
                <w:p w14:paraId="0BEFD1B5">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道路工程</w:t>
                  </w: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D7CB03B">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升压站进站道路从市政道路新建至升压站，满足运输要求；升压站站内主变运输道路宽度为</w:t>
                  </w:r>
                  <w:r>
                    <w:rPr>
                      <w:color w:val="000000" w:themeColor="text1"/>
                      <w:szCs w:val="21"/>
                      <w:lang w:bidi="ar"/>
                      <w14:textFill>
                        <w14:solidFill>
                          <w14:schemeClr w14:val="tx1"/>
                        </w14:solidFill>
                      </w14:textFill>
                    </w:rPr>
                    <w:t>4.0m</w:t>
                  </w:r>
                  <w:r>
                    <w:rPr>
                      <w:rFonts w:hint="eastAsia" w:cs="宋体"/>
                      <w:color w:val="000000" w:themeColor="text1"/>
                      <w:szCs w:val="21"/>
                      <w:lang w:bidi="ar"/>
                      <w14:textFill>
                        <w14:solidFill>
                          <w14:schemeClr w14:val="tx1"/>
                        </w14:solidFill>
                      </w14:textFill>
                    </w:rPr>
                    <w:t>，其他道路为</w:t>
                  </w:r>
                  <w:r>
                    <w:rPr>
                      <w:color w:val="000000" w:themeColor="text1"/>
                      <w:szCs w:val="21"/>
                      <w:lang w:bidi="ar"/>
                      <w14:textFill>
                        <w14:solidFill>
                          <w14:schemeClr w14:val="tx1"/>
                        </w14:solidFill>
                      </w14:textFill>
                    </w:rPr>
                    <w:t>4m</w:t>
                  </w:r>
                  <w:r>
                    <w:rPr>
                      <w:rFonts w:hint="eastAsia" w:cs="宋体"/>
                      <w:color w:val="000000" w:themeColor="text1"/>
                      <w:szCs w:val="21"/>
                      <w:lang w:bidi="ar"/>
                      <w14:textFill>
                        <w14:solidFill>
                          <w14:schemeClr w14:val="tx1"/>
                        </w14:solidFill>
                      </w14:textFill>
                    </w:rPr>
                    <w:t>，路面均采用混凝土路面，公路型，转弯半径</w:t>
                  </w:r>
                  <w:r>
                    <w:rPr>
                      <w:color w:val="000000" w:themeColor="text1"/>
                      <w:szCs w:val="21"/>
                      <w:lang w:bidi="ar"/>
                      <w14:textFill>
                        <w14:solidFill>
                          <w14:schemeClr w14:val="tx1"/>
                        </w14:solidFill>
                      </w14:textFill>
                    </w:rPr>
                    <w:t>9m</w:t>
                  </w:r>
                  <w:r>
                    <w:rPr>
                      <w:rFonts w:hint="eastAsia" w:cs="宋体"/>
                      <w:color w:val="000000" w:themeColor="text1"/>
                      <w:szCs w:val="21"/>
                      <w:lang w:bidi="ar"/>
                      <w14:textFill>
                        <w14:solidFill>
                          <w14:schemeClr w14:val="tx1"/>
                        </w14:solidFill>
                      </w14:textFill>
                    </w:rPr>
                    <w:t>，围墙采用</w:t>
                  </w:r>
                  <w:r>
                    <w:rPr>
                      <w:color w:val="000000" w:themeColor="text1"/>
                      <w:szCs w:val="21"/>
                      <w:lang w:bidi="ar"/>
                      <w14:textFill>
                        <w14:solidFill>
                          <w14:schemeClr w14:val="tx1"/>
                        </w14:solidFill>
                      </w14:textFill>
                    </w:rPr>
                    <w:t>2.3m</w:t>
                  </w:r>
                  <w:r>
                    <w:rPr>
                      <w:rFonts w:hint="eastAsia" w:cs="宋体"/>
                      <w:color w:val="000000" w:themeColor="text1"/>
                      <w:szCs w:val="21"/>
                      <w:lang w:bidi="ar"/>
                      <w14:textFill>
                        <w14:solidFill>
                          <w14:schemeClr w14:val="tx1"/>
                        </w14:solidFill>
                      </w14:textFill>
                    </w:rPr>
                    <w:t>高的实体砖围墙。</w:t>
                  </w:r>
                </w:p>
                <w:p w14:paraId="64D95C52">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进入光伏区的道路充分利用现有道路，采用分散就近引接的方式，尽量减少新建道路工程量。每个阵列均有道路连接，满足运行、检修和施工要求。光伏电站内的施工检修道路主要考虑沿箱变修建，满足运行要求。</w:t>
                  </w:r>
                </w:p>
              </w:tc>
            </w:tr>
            <w:tr w14:paraId="2638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3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A7E483">
                  <w:pPr>
                    <w:spacing w:line="360" w:lineRule="exact"/>
                    <w:jc w:val="center"/>
                    <w:rPr>
                      <w:color w:val="000000" w:themeColor="text1"/>
                      <w:sz w:val="20"/>
                      <w:szCs w:val="20"/>
                      <w14:textFill>
                        <w14:solidFill>
                          <w14:schemeClr w14:val="tx1"/>
                        </w14:solidFill>
                      </w14:textFill>
                    </w:rPr>
                  </w:pPr>
                </w:p>
              </w:tc>
              <w:tc>
                <w:tcPr>
                  <w:tcW w:w="493" w:type="pct"/>
                  <w:tcBorders>
                    <w:top w:val="single" w:color="auto" w:sz="4" w:space="0"/>
                    <w:left w:val="single" w:color="auto" w:sz="4" w:space="0"/>
                    <w:bottom w:val="single" w:color="auto" w:sz="4" w:space="0"/>
                    <w:right w:val="single" w:color="auto" w:sz="4" w:space="0"/>
                  </w:tcBorders>
                  <w:shd w:val="clear" w:color="auto" w:fill="auto"/>
                  <w:vAlign w:val="center"/>
                </w:tcPr>
                <w:p w14:paraId="58A7653F">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表土临时堆场</w:t>
                  </w: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3CF0641">
                  <w:pPr>
                    <w:spacing w:line="360" w:lineRule="exact"/>
                    <w:jc w:val="left"/>
                    <w:rPr>
                      <w:color w:val="000000" w:themeColor="text1"/>
                      <w14:textFill>
                        <w14:solidFill>
                          <w14:schemeClr w14:val="tx1"/>
                        </w14:solidFill>
                      </w14:textFill>
                    </w:rPr>
                  </w:pPr>
                  <w:r>
                    <w:rPr>
                      <w:rFonts w:hint="eastAsia" w:cs="宋体"/>
                      <w:color w:val="000000" w:themeColor="text1"/>
                      <w:lang w:bidi="ar"/>
                      <w14:textFill>
                        <w14:solidFill>
                          <w14:schemeClr w14:val="tx1"/>
                        </w14:solidFill>
                      </w14:textFill>
                    </w:rPr>
                    <w:t>临时堆土场、散装建筑材料堆场应压实，并严密遮盖。施工中产生的弃渣用于回填及场地平整，剩余的少量建筑垃圾和弃渣，均用汽车运走。</w:t>
                  </w:r>
                </w:p>
              </w:tc>
            </w:tr>
            <w:tr w14:paraId="11ED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0" w:hRule="atLeast"/>
              </w:trPr>
              <w:tc>
                <w:tcPr>
                  <w:tcW w:w="3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A41602">
                  <w:pPr>
                    <w:spacing w:line="360" w:lineRule="exact"/>
                    <w:jc w:val="center"/>
                    <w:rPr>
                      <w:color w:val="000000" w:themeColor="text1"/>
                      <w:sz w:val="20"/>
                      <w:szCs w:val="20"/>
                      <w14:textFill>
                        <w14:solidFill>
                          <w14:schemeClr w14:val="tx1"/>
                        </w14:solidFill>
                      </w14:textFill>
                    </w:rPr>
                  </w:pPr>
                </w:p>
              </w:tc>
              <w:tc>
                <w:tcPr>
                  <w:tcW w:w="493" w:type="pct"/>
                  <w:tcBorders>
                    <w:top w:val="single" w:color="auto" w:sz="4" w:space="0"/>
                    <w:left w:val="single" w:color="auto" w:sz="4" w:space="0"/>
                    <w:bottom w:val="single" w:color="auto" w:sz="4" w:space="0"/>
                    <w:right w:val="single" w:color="auto" w:sz="4" w:space="0"/>
                  </w:tcBorders>
                  <w:shd w:val="clear" w:color="auto" w:fill="auto"/>
                  <w:vAlign w:val="center"/>
                </w:tcPr>
                <w:p w14:paraId="234909B6">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施工临时场地</w:t>
                  </w: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B134442">
                  <w:pPr>
                    <w:spacing w:line="360" w:lineRule="exact"/>
                    <w:jc w:val="left"/>
                    <w:rPr>
                      <w:color w:val="000000" w:themeColor="text1"/>
                      <w:szCs w:val="21"/>
                      <w14:textFill>
                        <w14:solidFill>
                          <w14:schemeClr w14:val="tx1"/>
                        </w14:solidFill>
                      </w14:textFill>
                    </w:rPr>
                  </w:pPr>
                  <w:r>
                    <w:rPr>
                      <w:rFonts w:hint="eastAsia" w:cs="宋体"/>
                      <w:color w:val="000000" w:themeColor="text1"/>
                      <w:lang w:bidi="ar"/>
                      <w14:textFill>
                        <w14:solidFill>
                          <w14:schemeClr w14:val="tx1"/>
                        </w14:solidFill>
                      </w14:textFill>
                    </w:rPr>
                    <w:t>为方便管理，施工区设置在升压站厂区内。</w:t>
                  </w:r>
                  <w:r>
                    <w:rPr>
                      <w:rFonts w:hint="eastAsia" w:cs="宋体"/>
                      <w:color w:val="000000" w:themeColor="text1"/>
                      <w:szCs w:val="21"/>
                      <w:lang w:bidi="ar"/>
                      <w14:textFill>
                        <w14:solidFill>
                          <w14:schemeClr w14:val="tx1"/>
                        </w14:solidFill>
                      </w14:textFill>
                    </w:rPr>
                    <w:t>施工现场主要设置的临建设施有：施工生活区、施工区，占地面积约为12500</w:t>
                  </w:r>
                  <w:r>
                    <w:rPr>
                      <w:color w:val="000000" w:themeColor="text1"/>
                      <w:szCs w:val="21"/>
                      <w:lang w:bidi="ar"/>
                      <w14:textFill>
                        <w14:solidFill>
                          <w14:schemeClr w14:val="tx1"/>
                        </w14:solidFill>
                      </w14:textFill>
                    </w:rPr>
                    <w:t>m</w:t>
                  </w:r>
                  <w:r>
                    <w:rPr>
                      <w:color w:val="000000" w:themeColor="text1"/>
                      <w:szCs w:val="21"/>
                      <w:vertAlign w:val="superscript"/>
                      <w:lang w:bidi="ar"/>
                      <w14:textFill>
                        <w14:solidFill>
                          <w14:schemeClr w14:val="tx1"/>
                        </w14:solidFill>
                      </w14:textFill>
                    </w:rPr>
                    <w:t>2</w:t>
                  </w:r>
                  <w:r>
                    <w:rPr>
                      <w:rFonts w:hint="eastAsia" w:cs="宋体"/>
                      <w:color w:val="000000" w:themeColor="text1"/>
                      <w:szCs w:val="21"/>
                      <w:lang w:bidi="ar"/>
                      <w14:textFill>
                        <w14:solidFill>
                          <w14:schemeClr w14:val="tx1"/>
                        </w14:solidFill>
                      </w14:textFill>
                    </w:rPr>
                    <w:t>。</w:t>
                  </w:r>
                </w:p>
              </w:tc>
            </w:tr>
            <w:tr w14:paraId="7B10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AF4A73">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公用工程</w:t>
                  </w:r>
                </w:p>
              </w:tc>
              <w:tc>
                <w:tcPr>
                  <w:tcW w:w="49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2530EC2">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供水</w:t>
                  </w: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88D4E29">
                  <w:pPr>
                    <w:spacing w:line="360" w:lineRule="exact"/>
                    <w:jc w:val="left"/>
                    <w:rPr>
                      <w:color w:val="000000" w:themeColor="text1"/>
                      <w:szCs w:val="21"/>
                      <w14:textFill>
                        <w14:solidFill>
                          <w14:schemeClr w14:val="tx1"/>
                        </w14:solidFill>
                      </w14:textFill>
                    </w:rPr>
                  </w:pPr>
                  <w:r>
                    <w:rPr>
                      <w:rFonts w:hint="eastAsia" w:cs="宋体"/>
                      <w:color w:val="000000" w:themeColor="text1"/>
                      <w14:textFill>
                        <w14:solidFill>
                          <w14:schemeClr w14:val="tx1"/>
                        </w14:solidFill>
                      </w14:textFill>
                    </w:rPr>
                    <w:t>本工程生产生活用水考虑从升压站附近住户租用水，由此提供施工期用水及运行期的生活消防用水。</w:t>
                  </w:r>
                </w:p>
              </w:tc>
            </w:tr>
            <w:tr w14:paraId="534D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3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5452AF">
                  <w:pPr>
                    <w:spacing w:line="360" w:lineRule="exact"/>
                    <w:jc w:val="center"/>
                    <w:rPr>
                      <w:color w:val="000000" w:themeColor="text1"/>
                      <w:sz w:val="20"/>
                      <w:szCs w:val="20"/>
                      <w14:textFill>
                        <w14:solidFill>
                          <w14:schemeClr w14:val="tx1"/>
                        </w14:solidFill>
                      </w14:textFill>
                    </w:rPr>
                  </w:pPr>
                </w:p>
              </w:tc>
              <w:tc>
                <w:tcPr>
                  <w:tcW w:w="49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E9F68A">
                  <w:pPr>
                    <w:spacing w:line="360" w:lineRule="exact"/>
                    <w:jc w:val="center"/>
                    <w:rPr>
                      <w:color w:val="000000" w:themeColor="text1"/>
                      <w:sz w:val="20"/>
                      <w:szCs w:val="20"/>
                      <w14:textFill>
                        <w14:solidFill>
                          <w14:schemeClr w14:val="tx1"/>
                        </w14:solidFill>
                      </w14:textFill>
                    </w:rPr>
                  </w:pP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308CE84">
                  <w:pPr>
                    <w:spacing w:line="360" w:lineRule="exac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运营期由附近村庄引水，全厂设置4辆清洗车，清洗车储水罐容量8m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，光伏组件清洗采用洒水车人工移动冲洗，升压站设置洒水栓，洒水车由洒水栓取水。</w:t>
                  </w:r>
                </w:p>
              </w:tc>
            </w:tr>
            <w:tr w14:paraId="142D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12" w:hRule="atLeast"/>
              </w:trPr>
              <w:tc>
                <w:tcPr>
                  <w:tcW w:w="3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D51559">
                  <w:pPr>
                    <w:spacing w:line="360" w:lineRule="exact"/>
                    <w:jc w:val="center"/>
                    <w:rPr>
                      <w:color w:val="000000" w:themeColor="text1"/>
                      <w:sz w:val="20"/>
                      <w:szCs w:val="20"/>
                      <w14:textFill>
                        <w14:solidFill>
                          <w14:schemeClr w14:val="tx1"/>
                        </w14:solidFill>
                      </w14:textFill>
                    </w:rPr>
                  </w:pPr>
                </w:p>
              </w:tc>
              <w:tc>
                <w:tcPr>
                  <w:tcW w:w="493" w:type="pct"/>
                  <w:vMerge w:val="restart"/>
                  <w:tcBorders>
                    <w:top w:val="single" w:color="auto" w:sz="4" w:space="0"/>
                    <w:left w:val="single" w:color="auto" w:sz="4" w:space="0"/>
                    <w:right w:val="single" w:color="auto" w:sz="4" w:space="0"/>
                  </w:tcBorders>
                  <w:shd w:val="clear" w:color="auto" w:fill="auto"/>
                  <w:vAlign w:val="center"/>
                </w:tcPr>
                <w:p w14:paraId="78B0D41F">
                  <w:pPr>
                    <w:spacing w:line="360" w:lineRule="exact"/>
                    <w:jc w:val="center"/>
                    <w:rPr>
                      <w:rFonts w:cs="宋体"/>
                      <w:color w:val="000000" w:themeColor="text1"/>
                      <w:lang w:bidi="ar"/>
                      <w14:textFill>
                        <w14:solidFill>
                          <w14:schemeClr w14:val="tx1"/>
                        </w14:solidFill>
                      </w14:textFill>
                    </w:rPr>
                  </w:pPr>
                  <w:r>
                    <w:rPr>
                      <w:rFonts w:hint="eastAsia" w:cs="宋体"/>
                      <w:color w:val="000000" w:themeColor="text1"/>
                      <w:lang w:bidi="ar"/>
                      <w14:textFill>
                        <w14:solidFill>
                          <w14:schemeClr w14:val="tx1"/>
                        </w14:solidFill>
                      </w14:textFill>
                    </w:rPr>
                    <w:t>排水</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0BAA86B0">
                  <w:pPr>
                    <w:spacing w:line="360" w:lineRule="exact"/>
                    <w:jc w:val="center"/>
                    <w:rPr>
                      <w:rFonts w:cs="宋体"/>
                      <w:color w:val="000000" w:themeColor="text1"/>
                      <w:lang w:bidi="ar"/>
                      <w14:textFill>
                        <w14:solidFill>
                          <w14:schemeClr w14:val="tx1"/>
                        </w14:solidFill>
                      </w14:textFill>
                    </w:rPr>
                  </w:pPr>
                  <w:r>
                    <w:rPr>
                      <w:rFonts w:hint="eastAsia" w:cs="宋体"/>
                      <w:color w:val="000000" w:themeColor="text1"/>
                      <w:lang w:bidi="ar"/>
                      <w14:textFill>
                        <w14:solidFill>
                          <w14:schemeClr w14:val="tx1"/>
                        </w14:solidFill>
                      </w14:textFill>
                    </w:rPr>
                    <w:t>施工期</w:t>
                  </w:r>
                </w:p>
              </w:tc>
              <w:tc>
                <w:tcPr>
                  <w:tcW w:w="371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E19D83">
                  <w:pPr>
                    <w:spacing w:line="360" w:lineRule="exact"/>
                    <w:jc w:val="left"/>
                    <w:rPr>
                      <w:rFonts w:cs="宋体"/>
                      <w:color w:val="000000" w:themeColor="text1"/>
                      <w:lang w:bidi="ar"/>
                      <w14:textFill>
                        <w14:solidFill>
                          <w14:schemeClr w14:val="tx1"/>
                        </w14:solidFill>
                      </w14:textFill>
                    </w:rPr>
                  </w:pPr>
                  <w:r>
                    <w:rPr>
                      <w:rFonts w:hint="eastAsia" w:cs="宋体"/>
                      <w:color w:val="000000" w:themeColor="text1"/>
                      <w:lang w:bidi="ar"/>
                      <w14:textFill>
                        <w14:solidFill>
                          <w14:schemeClr w14:val="tx1"/>
                        </w14:solidFill>
                      </w14:textFill>
                    </w:rPr>
                    <w:t>施工期：车辆冲洗废水经沉淀池处理后循环使用不外排。施工期间在施工生产生活区设计临时防渗旱厕，施工人员日常产生的生活污水全部排入站区的防渗旱厕，定期清掏，不外排。</w:t>
                  </w:r>
                </w:p>
              </w:tc>
            </w:tr>
            <w:tr w14:paraId="4601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276" w:hRule="atLeast"/>
              </w:trPr>
              <w:tc>
                <w:tcPr>
                  <w:tcW w:w="3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58C5FF">
                  <w:pPr>
                    <w:spacing w:line="360" w:lineRule="exact"/>
                    <w:jc w:val="center"/>
                    <w:rPr>
                      <w:color w:val="000000" w:themeColor="text1"/>
                      <w:sz w:val="20"/>
                      <w:szCs w:val="20"/>
                      <w14:textFill>
                        <w14:solidFill>
                          <w14:schemeClr w14:val="tx1"/>
                        </w14:solidFill>
                      </w14:textFill>
                    </w:rPr>
                  </w:pPr>
                </w:p>
              </w:tc>
              <w:tc>
                <w:tcPr>
                  <w:tcW w:w="493" w:type="pct"/>
                  <w:vMerge w:val="continue"/>
                  <w:tcBorders>
                    <w:left w:val="single" w:color="auto" w:sz="4" w:space="0"/>
                    <w:bottom w:val="single" w:color="auto" w:sz="4" w:space="0"/>
                    <w:right w:val="single" w:color="auto" w:sz="4" w:space="0"/>
                  </w:tcBorders>
                  <w:shd w:val="clear" w:color="auto" w:fill="auto"/>
                  <w:vAlign w:val="center"/>
                </w:tcPr>
                <w:p w14:paraId="6CAE3E90">
                  <w:pPr>
                    <w:spacing w:line="360" w:lineRule="exact"/>
                    <w:jc w:val="center"/>
                    <w:rPr>
                      <w:rFonts w:cs="宋体"/>
                      <w:color w:val="000000" w:themeColor="text1"/>
                      <w:lang w:bidi="ar"/>
                      <w14:textFill>
                        <w14:solidFill>
                          <w14:schemeClr w14:val="tx1"/>
                        </w14:solidFill>
                      </w14:textFill>
                    </w:rPr>
                  </w:pP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4495B915">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运营期</w:t>
                  </w:r>
                </w:p>
              </w:tc>
              <w:tc>
                <w:tcPr>
                  <w:tcW w:w="371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618572">
                  <w:pPr>
                    <w:spacing w:line="360" w:lineRule="exact"/>
                    <w:jc w:val="left"/>
                    <w:rPr>
                      <w:rFonts w:cs="宋体"/>
                      <w:color w:val="000000" w:themeColor="text1"/>
                      <w:lang w:bidi="ar"/>
                      <w14:textFill>
                        <w14:solidFill>
                          <w14:schemeClr w14:val="tx1"/>
                        </w14:solidFill>
                      </w14:textFill>
                    </w:rPr>
                  </w:pPr>
                  <w:r>
                    <w:rPr>
                      <w:rFonts w:hint="eastAsia" w:cs="宋体"/>
                      <w:color w:val="000000" w:themeColor="text1"/>
                      <w:lang w:bidi="ar"/>
                      <w14:textFill>
                        <w14:solidFill>
                          <w14:schemeClr w14:val="tx1"/>
                        </w14:solidFill>
                      </w14:textFill>
                    </w:rPr>
                    <w:t>运营期：光伏组件日常清洗采用水车进行清洗，产生的清洗废水水质简单，直接排至光伏板下自然蒸发和吸收；项目工作人员办公在升压站，工作人员产生的生活污水经化粪池初步处理后进入生活污水一体化处理设施，处理后合格水用于站区道路抑尘。</w:t>
                  </w:r>
                </w:p>
              </w:tc>
            </w:tr>
            <w:tr w14:paraId="0C1E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41" w:hRule="atLeast"/>
              </w:trPr>
              <w:tc>
                <w:tcPr>
                  <w:tcW w:w="3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18D3F6">
                  <w:pPr>
                    <w:spacing w:line="360" w:lineRule="exact"/>
                    <w:jc w:val="center"/>
                    <w:rPr>
                      <w:color w:val="000000" w:themeColor="text1"/>
                      <w:sz w:val="20"/>
                      <w:szCs w:val="20"/>
                      <w14:textFill>
                        <w14:solidFill>
                          <w14:schemeClr w14:val="tx1"/>
                        </w14:solidFill>
                      </w14:textFill>
                    </w:rPr>
                  </w:pPr>
                </w:p>
              </w:tc>
              <w:tc>
                <w:tcPr>
                  <w:tcW w:w="493" w:type="pct"/>
                  <w:vMerge w:val="restart"/>
                  <w:tcBorders>
                    <w:top w:val="single" w:color="auto" w:sz="4" w:space="0"/>
                    <w:left w:val="single" w:color="auto" w:sz="4" w:space="0"/>
                    <w:right w:val="single" w:color="auto" w:sz="4" w:space="0"/>
                  </w:tcBorders>
                  <w:shd w:val="clear" w:color="auto" w:fill="auto"/>
                  <w:vAlign w:val="center"/>
                </w:tcPr>
                <w:p w14:paraId="64F5DF0C">
                  <w:pPr>
                    <w:spacing w:line="360" w:lineRule="exact"/>
                    <w:jc w:val="center"/>
                    <w:rPr>
                      <w:color w:val="000000" w:themeColor="text1"/>
                      <w14:textFill>
                        <w14:solidFill>
                          <w14:schemeClr w14:val="tx1"/>
                        </w14:solidFill>
                      </w14:textFill>
                    </w:rPr>
                  </w:pPr>
                  <w:r>
                    <w:rPr>
                      <w:rFonts w:hint="eastAsia" w:cs="宋体"/>
                      <w:color w:val="000000" w:themeColor="text1"/>
                      <w:lang w:bidi="ar"/>
                      <w14:textFill>
                        <w14:solidFill>
                          <w14:schemeClr w14:val="tx1"/>
                        </w14:solidFill>
                      </w14:textFill>
                    </w:rPr>
                    <w:t>供电</w:t>
                  </w: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FF4B305">
                  <w:pPr>
                    <w:spacing w:line="360" w:lineRule="exact"/>
                    <w:jc w:val="left"/>
                    <w:rPr>
                      <w:rFonts w:cs="宋体"/>
                      <w:color w:val="000000" w:themeColor="text1"/>
                      <w14:textFill>
                        <w14:solidFill>
                          <w14:schemeClr w14:val="tx1"/>
                        </w14:solidFill>
                      </w14:textFill>
                    </w:rPr>
                  </w:pPr>
                  <w:r>
                    <w:rPr>
                      <w:rFonts w:hint="eastAsia" w:cs="宋体"/>
                      <w:color w:val="000000" w:themeColor="text1"/>
                      <w:lang w:bidi="ar"/>
                      <w14:textFill>
                        <w14:solidFill>
                          <w14:schemeClr w14:val="tx1"/>
                        </w14:solidFill>
                      </w14:textFill>
                    </w:rPr>
                    <w:t>施工电源由附近村</w:t>
                  </w:r>
                  <w:r>
                    <w:rPr>
                      <w:color w:val="000000" w:themeColor="text1"/>
                      <w:lang w:bidi="ar"/>
                      <w14:textFill>
                        <w14:solidFill>
                          <w14:schemeClr w14:val="tx1"/>
                        </w14:solidFill>
                      </w14:textFill>
                    </w:rPr>
                    <w:t>10kV</w:t>
                  </w:r>
                  <w:r>
                    <w:rPr>
                      <w:rFonts w:hint="eastAsia" w:cs="宋体"/>
                      <w:color w:val="000000" w:themeColor="text1"/>
                      <w:lang w:bidi="ar"/>
                      <w14:textFill>
                        <w14:solidFill>
                          <w14:schemeClr w14:val="tx1"/>
                        </w14:solidFill>
                      </w14:textFill>
                    </w:rPr>
                    <w:t>架空线路就近引接，距离约</w:t>
                  </w:r>
                  <w:r>
                    <w:rPr>
                      <w:color w:val="000000" w:themeColor="text1"/>
                      <w:lang w:bidi="ar"/>
                      <w14:textFill>
                        <w14:solidFill>
                          <w14:schemeClr w14:val="tx1"/>
                        </w14:solidFill>
                      </w14:textFill>
                    </w:rPr>
                    <w:t>1000m</w:t>
                  </w:r>
                  <w:r>
                    <w:rPr>
                      <w:rFonts w:hint="eastAsia" w:cs="宋体"/>
                      <w:color w:val="000000" w:themeColor="text1"/>
                      <w:lang w:bidi="ar"/>
                      <w14:textFill>
                        <w14:solidFill>
                          <w14:schemeClr w14:val="tx1"/>
                        </w14:solidFill>
                      </w14:textFill>
                    </w:rPr>
                    <w:t>，由业主方出资建设。即可满足施工、生活用电的需求。各机位的施工电源，考虑移动柴油发电机由施工单位自行</w:t>
                  </w:r>
                  <w:r>
                    <w:rPr>
                      <w:rFonts w:hint="eastAsia" w:cs="宋体"/>
                      <w:color w:val="000000" w:themeColor="text1"/>
                      <w14:textFill>
                        <w14:solidFill>
                          <w14:schemeClr w14:val="tx1"/>
                        </w14:solidFill>
                      </w14:textFill>
                    </w:rPr>
                    <w:t>解决。</w:t>
                  </w:r>
                </w:p>
              </w:tc>
            </w:tr>
            <w:tr w14:paraId="7C48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39" w:type="pct"/>
                  <w:vMerge w:val="continue"/>
                  <w:tcBorders>
                    <w:left w:val="single" w:color="auto" w:sz="4" w:space="0"/>
                    <w:bottom w:val="single" w:color="auto" w:sz="4" w:space="0"/>
                    <w:right w:val="single" w:color="auto" w:sz="4" w:space="0"/>
                  </w:tcBorders>
                  <w:shd w:val="clear" w:color="auto" w:fill="auto"/>
                  <w:vAlign w:val="center"/>
                </w:tcPr>
                <w:p w14:paraId="700F7490">
                  <w:pPr>
                    <w:spacing w:line="360" w:lineRule="exact"/>
                    <w:jc w:val="center"/>
                    <w:rPr>
                      <w:color w:val="000000" w:themeColor="text1"/>
                      <w:sz w:val="20"/>
                      <w:szCs w:val="20"/>
                      <w14:textFill>
                        <w14:solidFill>
                          <w14:schemeClr w14:val="tx1"/>
                        </w14:solidFill>
                      </w14:textFill>
                    </w:rPr>
                  </w:pPr>
                </w:p>
              </w:tc>
              <w:tc>
                <w:tcPr>
                  <w:tcW w:w="493" w:type="pct"/>
                  <w:vMerge w:val="continue"/>
                  <w:tcBorders>
                    <w:left w:val="single" w:color="auto" w:sz="4" w:space="0"/>
                    <w:bottom w:val="single" w:color="auto" w:sz="4" w:space="0"/>
                    <w:right w:val="single" w:color="auto" w:sz="4" w:space="0"/>
                  </w:tcBorders>
                  <w:shd w:val="clear" w:color="auto" w:fill="auto"/>
                  <w:vAlign w:val="center"/>
                </w:tcPr>
                <w:p w14:paraId="46AECEA1">
                  <w:pPr>
                    <w:spacing w:line="360" w:lineRule="exact"/>
                    <w:jc w:val="center"/>
                    <w:rPr>
                      <w:rFonts w:cs="宋体"/>
                      <w:color w:val="000000" w:themeColor="text1"/>
                      <w:lang w:bidi="ar"/>
                      <w14:textFill>
                        <w14:solidFill>
                          <w14:schemeClr w14:val="tx1"/>
                        </w14:solidFill>
                      </w14:textFill>
                    </w:rPr>
                  </w:pP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B9926CD">
                  <w:pPr>
                    <w:spacing w:line="360" w:lineRule="exact"/>
                    <w:jc w:val="lef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本电站运营期站内负荷自用电压为0.4kV，采用中性点直接接地的三相四线制系统，站用电采用单母线接线，双电源供电。站外施工变压器在工程建设结束后将保留，做为电站站用电提供工作电源。此外由接地变压器兼做备用变压器为站用电提供备用电源，备用变压器电源引自电站内35kV母线。主备电源分别引入站用电双电源自动切换柜。</w:t>
                  </w:r>
                </w:p>
              </w:tc>
            </w:tr>
            <w:tr w14:paraId="0FE4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42" w:hRule="atLeast"/>
              </w:trPr>
              <w:tc>
                <w:tcPr>
                  <w:tcW w:w="339" w:type="pct"/>
                  <w:vMerge w:val="restart"/>
                  <w:tcBorders>
                    <w:top w:val="single" w:color="auto" w:sz="4" w:space="0"/>
                    <w:left w:val="single" w:color="auto" w:sz="4" w:space="0"/>
                    <w:right w:val="single" w:color="auto" w:sz="4" w:space="0"/>
                  </w:tcBorders>
                  <w:shd w:val="clear" w:color="auto" w:fill="auto"/>
                  <w:vAlign w:val="center"/>
                </w:tcPr>
                <w:p w14:paraId="2412F570">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环保工程</w:t>
                  </w:r>
                </w:p>
              </w:tc>
              <w:tc>
                <w:tcPr>
                  <w:tcW w:w="493" w:type="pct"/>
                  <w:vMerge w:val="restart"/>
                  <w:tcBorders>
                    <w:top w:val="single" w:color="auto" w:sz="4" w:space="0"/>
                    <w:left w:val="single" w:color="auto" w:sz="4" w:space="0"/>
                    <w:right w:val="single" w:color="auto" w:sz="4" w:space="0"/>
                  </w:tcBorders>
                  <w:shd w:val="clear" w:color="auto" w:fill="auto"/>
                  <w:vAlign w:val="center"/>
                </w:tcPr>
                <w:p w14:paraId="63AA711B">
                  <w:pPr>
                    <w:spacing w:line="360" w:lineRule="exact"/>
                    <w:jc w:val="center"/>
                    <w:rPr>
                      <w:color w:val="000000" w:themeColor="text1"/>
                      <w:szCs w:val="21"/>
                      <w:highlight w:val="green"/>
                      <w14:textFill>
                        <w14:solidFill>
                          <w14:schemeClr w14:val="tx1"/>
                        </w14:solidFill>
                      </w14:textFill>
                    </w:rPr>
                  </w:pPr>
                  <w:r>
                    <w:rPr>
                      <w:rFonts w:hint="eastAsia" w:cs="宋体"/>
                      <w:color w:val="000000" w:themeColor="text1"/>
                      <w:szCs w:val="21"/>
                      <w:lang w:bidi="ar"/>
                      <w14:textFill>
                        <w14:solidFill>
                          <w14:schemeClr w14:val="tx1"/>
                        </w14:solidFill>
                      </w14:textFill>
                    </w:rPr>
                    <w:t>废水</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4443BF4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w:t>
                  </w:r>
                </w:p>
              </w:tc>
              <w:tc>
                <w:tcPr>
                  <w:tcW w:w="371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0E10A0">
                  <w:pPr>
                    <w:spacing w:line="360" w:lineRule="exact"/>
                    <w:jc w:val="left"/>
                    <w:rPr>
                      <w:rFonts w:cs="宋体"/>
                      <w:color w:val="000000" w:themeColor="text1"/>
                      <w:lang w:bidi="ar"/>
                      <w14:textFill>
                        <w14:solidFill>
                          <w14:schemeClr w14:val="tx1"/>
                        </w14:solidFill>
                      </w14:textFill>
                    </w:rPr>
                  </w:pPr>
                  <w:r>
                    <w:rPr>
                      <w:rFonts w:cs="宋体"/>
                      <w:color w:val="000000" w:themeColor="text1"/>
                      <w:lang w:bidi="ar"/>
                      <w14:textFill>
                        <w14:solidFill>
                          <w14:schemeClr w14:val="tx1"/>
                        </w14:solidFill>
                      </w14:textFill>
                    </w:rPr>
                    <w:t>施工生活废水：施工期间在施工生产生活区设计临时防渗旱厕，</w:t>
                  </w:r>
                  <w:r>
                    <w:rPr>
                      <w:rFonts w:hint="eastAsia" w:cs="宋体"/>
                      <w:color w:val="000000" w:themeColor="text1"/>
                      <w:lang w:bidi="ar"/>
                      <w14:textFill>
                        <w14:solidFill>
                          <w14:schemeClr w14:val="tx1"/>
                        </w14:solidFill>
                      </w14:textFill>
                    </w:rPr>
                    <w:t>施工人员生活污水全部排入临时防渗旱厕，定期清掏，不外排</w:t>
                  </w:r>
                  <w:r>
                    <w:rPr>
                      <w:rFonts w:cs="宋体"/>
                      <w:color w:val="000000" w:themeColor="text1"/>
                      <w:lang w:bidi="ar"/>
                      <w14:textFill>
                        <w14:solidFill>
                          <w14:schemeClr w14:val="tx1"/>
                        </w14:solidFill>
                      </w14:textFill>
                    </w:rPr>
                    <w:t>。施工车辆冲洗废水：经过沉淀处理后重复回用于冲洗工序</w:t>
                  </w:r>
                  <w:r>
                    <w:rPr>
                      <w:rFonts w:hint="eastAsia" w:cs="宋体"/>
                      <w:color w:val="000000" w:themeColor="text1"/>
                      <w:lang w:bidi="ar"/>
                      <w14:textFill>
                        <w14:solidFill>
                          <w14:schemeClr w14:val="tx1"/>
                        </w14:solidFill>
                      </w14:textFill>
                    </w:rPr>
                    <w:t>。</w:t>
                  </w:r>
                </w:p>
              </w:tc>
            </w:tr>
            <w:tr w14:paraId="5785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39" w:type="pct"/>
                  <w:vMerge w:val="continue"/>
                  <w:tcBorders>
                    <w:left w:val="single" w:color="auto" w:sz="4" w:space="0"/>
                    <w:right w:val="single" w:color="auto" w:sz="4" w:space="0"/>
                  </w:tcBorders>
                  <w:shd w:val="clear" w:color="auto" w:fill="auto"/>
                  <w:vAlign w:val="center"/>
                </w:tcPr>
                <w:p w14:paraId="3AF6CA98">
                  <w:pPr>
                    <w:spacing w:line="360" w:lineRule="exact"/>
                    <w:jc w:val="center"/>
                    <w:rPr>
                      <w:color w:val="000000" w:themeColor="text1"/>
                      <w:szCs w:val="21"/>
                      <w14:textFill>
                        <w14:solidFill>
                          <w14:schemeClr w14:val="tx1"/>
                        </w14:solidFill>
                      </w14:textFill>
                    </w:rPr>
                  </w:pPr>
                </w:p>
              </w:tc>
              <w:tc>
                <w:tcPr>
                  <w:tcW w:w="493" w:type="pct"/>
                  <w:vMerge w:val="continue"/>
                  <w:tcBorders>
                    <w:left w:val="single" w:color="auto" w:sz="4" w:space="0"/>
                    <w:right w:val="single" w:color="auto" w:sz="4" w:space="0"/>
                  </w:tcBorders>
                  <w:shd w:val="clear" w:color="auto" w:fill="auto"/>
                  <w:vAlign w:val="center"/>
                </w:tcPr>
                <w:p w14:paraId="51A30FFB">
                  <w:pPr>
                    <w:spacing w:line="360" w:lineRule="exact"/>
                    <w:jc w:val="center"/>
                    <w:rPr>
                      <w:color w:val="000000" w:themeColor="text1"/>
                      <w:szCs w:val="21"/>
                      <w:highlight w:val="green"/>
                      <w14:textFill>
                        <w14:solidFill>
                          <w14:schemeClr w14:val="tx1"/>
                        </w14:solidFill>
                      </w14:textFill>
                    </w:rPr>
                  </w:pPr>
                </w:p>
              </w:tc>
              <w:tc>
                <w:tcPr>
                  <w:tcW w:w="451" w:type="pct"/>
                  <w:vMerge w:val="restart"/>
                  <w:tcBorders>
                    <w:top w:val="single" w:color="auto" w:sz="4" w:space="0"/>
                    <w:left w:val="single" w:color="auto" w:sz="4" w:space="0"/>
                    <w:right w:val="single" w:color="auto" w:sz="4" w:space="0"/>
                  </w:tcBorders>
                  <w:shd w:val="clear" w:color="auto" w:fill="auto"/>
                  <w:vAlign w:val="center"/>
                </w:tcPr>
                <w:p w14:paraId="7A051F3D">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运营期</w:t>
                  </w:r>
                </w:p>
              </w:tc>
              <w:tc>
                <w:tcPr>
                  <w:tcW w:w="1092" w:type="pct"/>
                  <w:tcBorders>
                    <w:top w:val="single" w:color="auto" w:sz="4" w:space="0"/>
                    <w:left w:val="single" w:color="auto" w:sz="4" w:space="0"/>
                    <w:bottom w:val="single" w:color="auto" w:sz="4" w:space="0"/>
                    <w:right w:val="single" w:color="auto" w:sz="4" w:space="0"/>
                  </w:tcBorders>
                  <w:shd w:val="clear" w:color="auto" w:fill="auto"/>
                  <w:vAlign w:val="center"/>
                </w:tcPr>
                <w:p w14:paraId="6FA3C6A6">
                  <w:pPr>
                    <w:spacing w:line="360" w:lineRule="exact"/>
                    <w:jc w:val="center"/>
                    <w:rPr>
                      <w:color w:val="000000" w:themeColor="text1"/>
                      <w14:textFill>
                        <w14:solidFill>
                          <w14:schemeClr w14:val="tx1"/>
                        </w14:solidFill>
                      </w14:textFill>
                    </w:rPr>
                  </w:pPr>
                  <w:r>
                    <w:rPr>
                      <w:rFonts w:hint="eastAsia" w:cs="宋体"/>
                      <w:color w:val="000000" w:themeColor="text1"/>
                      <w:lang w:bidi="ar"/>
                      <w14:textFill>
                        <w14:solidFill>
                          <w14:schemeClr w14:val="tx1"/>
                        </w14:solidFill>
                      </w14:textFill>
                    </w:rPr>
                    <w:t>光伏板清洗废水</w:t>
                  </w:r>
                </w:p>
              </w:tc>
              <w:tc>
                <w:tcPr>
                  <w:tcW w:w="2623" w:type="pct"/>
                  <w:tcBorders>
                    <w:top w:val="single" w:color="auto" w:sz="4" w:space="0"/>
                    <w:left w:val="single" w:color="auto" w:sz="4" w:space="0"/>
                    <w:bottom w:val="single" w:color="auto" w:sz="4" w:space="0"/>
                    <w:right w:val="single" w:color="auto" w:sz="4" w:space="0"/>
                  </w:tcBorders>
                  <w:shd w:val="clear" w:color="auto" w:fill="auto"/>
                  <w:vAlign w:val="center"/>
                </w:tcPr>
                <w:p w14:paraId="6D3AB8AB">
                  <w:pPr>
                    <w:spacing w:line="360" w:lineRule="exact"/>
                    <w:jc w:val="left"/>
                    <w:rPr>
                      <w:color w:val="000000" w:themeColor="text1"/>
                      <w14:textFill>
                        <w14:solidFill>
                          <w14:schemeClr w14:val="tx1"/>
                        </w14:solidFill>
                      </w14:textFill>
                    </w:rPr>
                  </w:pPr>
                  <w:r>
                    <w:rPr>
                      <w:rFonts w:hint="eastAsia" w:cs="宋体"/>
                      <w:color w:val="000000" w:themeColor="text1"/>
                      <w:lang w:bidi="ar"/>
                      <w14:textFill>
                        <w14:solidFill>
                          <w14:schemeClr w14:val="tx1"/>
                        </w14:solidFill>
                      </w14:textFill>
                    </w:rPr>
                    <w:t>直接排至光伏板下地面浇灌。</w:t>
                  </w:r>
                </w:p>
              </w:tc>
            </w:tr>
            <w:tr w14:paraId="3B09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39" w:type="pct"/>
                  <w:vMerge w:val="continue"/>
                  <w:tcBorders>
                    <w:left w:val="single" w:color="auto" w:sz="4" w:space="0"/>
                    <w:right w:val="single" w:color="auto" w:sz="4" w:space="0"/>
                  </w:tcBorders>
                  <w:shd w:val="clear" w:color="auto" w:fill="auto"/>
                  <w:vAlign w:val="center"/>
                </w:tcPr>
                <w:p w14:paraId="3DF2D9EB">
                  <w:pPr>
                    <w:spacing w:line="360" w:lineRule="exact"/>
                    <w:jc w:val="center"/>
                    <w:rPr>
                      <w:rFonts w:cs="宋体"/>
                      <w:color w:val="000000" w:themeColor="text1"/>
                      <w:szCs w:val="21"/>
                      <w:lang w:bidi="ar"/>
                      <w14:textFill>
                        <w14:solidFill>
                          <w14:schemeClr w14:val="tx1"/>
                        </w14:solidFill>
                      </w14:textFill>
                    </w:rPr>
                  </w:pPr>
                </w:p>
              </w:tc>
              <w:tc>
                <w:tcPr>
                  <w:tcW w:w="493" w:type="pct"/>
                  <w:vMerge w:val="continue"/>
                  <w:tcBorders>
                    <w:left w:val="single" w:color="auto" w:sz="4" w:space="0"/>
                    <w:bottom w:val="single" w:color="auto" w:sz="4" w:space="0"/>
                    <w:right w:val="single" w:color="auto" w:sz="4" w:space="0"/>
                  </w:tcBorders>
                  <w:shd w:val="clear" w:color="auto" w:fill="auto"/>
                  <w:vAlign w:val="center"/>
                </w:tcPr>
                <w:p w14:paraId="49274CEE">
                  <w:pPr>
                    <w:spacing w:line="360" w:lineRule="exact"/>
                    <w:jc w:val="center"/>
                    <w:rPr>
                      <w:rFonts w:cs="宋体"/>
                      <w:color w:val="000000" w:themeColor="text1"/>
                      <w:szCs w:val="21"/>
                      <w:lang w:bidi="ar"/>
                      <w14:textFill>
                        <w14:solidFill>
                          <w14:schemeClr w14:val="tx1"/>
                        </w14:solidFill>
                      </w14:textFill>
                    </w:rPr>
                  </w:pPr>
                </w:p>
              </w:tc>
              <w:tc>
                <w:tcPr>
                  <w:tcW w:w="451" w:type="pct"/>
                  <w:vMerge w:val="continue"/>
                  <w:tcBorders>
                    <w:left w:val="single" w:color="auto" w:sz="4" w:space="0"/>
                    <w:bottom w:val="single" w:color="auto" w:sz="4" w:space="0"/>
                    <w:right w:val="single" w:color="auto" w:sz="4" w:space="0"/>
                  </w:tcBorders>
                  <w:shd w:val="clear" w:color="auto" w:fill="auto"/>
                  <w:vAlign w:val="center"/>
                </w:tcPr>
                <w:p w14:paraId="3797018B">
                  <w:pPr>
                    <w:spacing w:line="360" w:lineRule="exact"/>
                    <w:jc w:val="center"/>
                    <w:rPr>
                      <w:rFonts w:cs="宋体"/>
                      <w:color w:val="000000" w:themeColor="text1"/>
                      <w:lang w:bidi="ar"/>
                      <w14:textFill>
                        <w14:solidFill>
                          <w14:schemeClr w14:val="tx1"/>
                        </w14:solidFill>
                      </w14:textFill>
                    </w:rPr>
                  </w:pPr>
                </w:p>
              </w:tc>
              <w:tc>
                <w:tcPr>
                  <w:tcW w:w="1092" w:type="pct"/>
                  <w:tcBorders>
                    <w:top w:val="single" w:color="auto" w:sz="4" w:space="0"/>
                    <w:left w:val="single" w:color="auto" w:sz="4" w:space="0"/>
                    <w:bottom w:val="single" w:color="auto" w:sz="4" w:space="0"/>
                    <w:right w:val="single" w:color="auto" w:sz="4" w:space="0"/>
                  </w:tcBorders>
                  <w:shd w:val="clear" w:color="auto" w:fill="auto"/>
                  <w:vAlign w:val="center"/>
                </w:tcPr>
                <w:p w14:paraId="0984A771">
                  <w:pPr>
                    <w:spacing w:line="360" w:lineRule="exact"/>
                    <w:jc w:val="center"/>
                    <w:rPr>
                      <w:rFonts w:cs="宋体"/>
                      <w:color w:val="000000" w:themeColor="text1"/>
                      <w:lang w:bidi="ar"/>
                      <w14:textFill>
                        <w14:solidFill>
                          <w14:schemeClr w14:val="tx1"/>
                        </w14:solidFill>
                      </w14:textFill>
                    </w:rPr>
                  </w:pPr>
                  <w:r>
                    <w:rPr>
                      <w:rFonts w:hint="eastAsia" w:cs="宋体"/>
                      <w:color w:val="000000" w:themeColor="text1"/>
                      <w:lang w:bidi="ar"/>
                      <w14:textFill>
                        <w14:solidFill>
                          <w14:schemeClr w14:val="tx1"/>
                        </w14:solidFill>
                      </w14:textFill>
                    </w:rPr>
                    <w:t>生活污水</w:t>
                  </w:r>
                </w:p>
              </w:tc>
              <w:tc>
                <w:tcPr>
                  <w:tcW w:w="2623" w:type="pct"/>
                  <w:tcBorders>
                    <w:top w:val="single" w:color="auto" w:sz="4" w:space="0"/>
                    <w:left w:val="single" w:color="auto" w:sz="4" w:space="0"/>
                    <w:bottom w:val="single" w:color="auto" w:sz="4" w:space="0"/>
                    <w:right w:val="single" w:color="auto" w:sz="4" w:space="0"/>
                  </w:tcBorders>
                  <w:shd w:val="clear" w:color="auto" w:fill="auto"/>
                  <w:vAlign w:val="center"/>
                </w:tcPr>
                <w:p w14:paraId="705104FB">
                  <w:pPr>
                    <w:spacing w:line="360" w:lineRule="exact"/>
                    <w:jc w:val="left"/>
                    <w:rPr>
                      <w:rFonts w:cs="宋体"/>
                      <w:color w:val="000000" w:themeColor="text1"/>
                      <w:lang w:bidi="ar"/>
                      <w14:textFill>
                        <w14:solidFill>
                          <w14:schemeClr w14:val="tx1"/>
                        </w14:solidFill>
                      </w14:textFill>
                    </w:rPr>
                  </w:pPr>
                  <w:r>
                    <w:rPr>
                      <w:rFonts w:hint="eastAsia" w:cs="宋体"/>
                      <w:color w:val="000000" w:themeColor="text1"/>
                      <w:lang w:bidi="ar"/>
                      <w14:textFill>
                        <w14:solidFill>
                          <w14:schemeClr w14:val="tx1"/>
                        </w14:solidFill>
                      </w14:textFill>
                    </w:rPr>
                    <w:t>经化粪池初步处理后进入生活污水一体化处理设施，处理后合格水用于站区道路抑尘。</w:t>
                  </w:r>
                </w:p>
              </w:tc>
            </w:tr>
            <w:tr w14:paraId="68EF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05" w:hRule="atLeast"/>
              </w:trPr>
              <w:tc>
                <w:tcPr>
                  <w:tcW w:w="339" w:type="pct"/>
                  <w:vMerge w:val="continue"/>
                  <w:tcBorders>
                    <w:left w:val="single" w:color="auto" w:sz="4" w:space="0"/>
                    <w:right w:val="single" w:color="auto" w:sz="4" w:space="0"/>
                  </w:tcBorders>
                  <w:shd w:val="clear" w:color="auto" w:fill="auto"/>
                  <w:vAlign w:val="center"/>
                </w:tcPr>
                <w:p w14:paraId="4A224893">
                  <w:pPr>
                    <w:spacing w:line="360" w:lineRule="exact"/>
                    <w:jc w:val="center"/>
                    <w:rPr>
                      <w:color w:val="000000" w:themeColor="text1"/>
                      <w:sz w:val="20"/>
                      <w:szCs w:val="20"/>
                      <w14:textFill>
                        <w14:solidFill>
                          <w14:schemeClr w14:val="tx1"/>
                        </w14:solidFill>
                      </w14:textFill>
                    </w:rPr>
                  </w:pPr>
                </w:p>
              </w:tc>
              <w:tc>
                <w:tcPr>
                  <w:tcW w:w="493" w:type="pct"/>
                  <w:vMerge w:val="restart"/>
                  <w:tcBorders>
                    <w:top w:val="single" w:color="auto" w:sz="4" w:space="0"/>
                    <w:left w:val="single" w:color="auto" w:sz="4" w:space="0"/>
                    <w:right w:val="single" w:color="auto" w:sz="4" w:space="0"/>
                  </w:tcBorders>
                  <w:shd w:val="clear" w:color="auto" w:fill="auto"/>
                  <w:vAlign w:val="center"/>
                </w:tcPr>
                <w:p w14:paraId="7E6F0830">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废气</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6C477C4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w:t>
                  </w:r>
                </w:p>
              </w:tc>
              <w:tc>
                <w:tcPr>
                  <w:tcW w:w="371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14851FD">
                  <w:pPr>
                    <w:spacing w:line="360" w:lineRule="exact"/>
                    <w:jc w:val="lef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施工场地和汽车行驶的路面采取洒水降尘措施。施工期间剥离表土、开挖产生的待运土石方及工地内的散体材料采取集中堆存、苫盖等防护措施，防止施工中产生的尘土飞扬及废弃物、杂物飘散。</w:t>
                  </w:r>
                </w:p>
              </w:tc>
            </w:tr>
            <w:tr w14:paraId="3E76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39" w:type="pct"/>
                  <w:vMerge w:val="continue"/>
                  <w:tcBorders>
                    <w:left w:val="single" w:color="auto" w:sz="4" w:space="0"/>
                    <w:right w:val="single" w:color="auto" w:sz="4" w:space="0"/>
                  </w:tcBorders>
                  <w:shd w:val="clear" w:color="auto" w:fill="auto"/>
                  <w:vAlign w:val="center"/>
                </w:tcPr>
                <w:p w14:paraId="2BEA9963">
                  <w:pPr>
                    <w:spacing w:line="360" w:lineRule="exact"/>
                    <w:rPr>
                      <w:color w:val="000000" w:themeColor="text1"/>
                      <w:sz w:val="20"/>
                      <w:szCs w:val="20"/>
                      <w14:textFill>
                        <w14:solidFill>
                          <w14:schemeClr w14:val="tx1"/>
                        </w14:solidFill>
                      </w14:textFill>
                    </w:rPr>
                  </w:pPr>
                </w:p>
              </w:tc>
              <w:tc>
                <w:tcPr>
                  <w:tcW w:w="493" w:type="pct"/>
                  <w:vMerge w:val="continue"/>
                  <w:tcBorders>
                    <w:left w:val="single" w:color="auto" w:sz="4" w:space="0"/>
                    <w:bottom w:val="single" w:color="auto" w:sz="4" w:space="0"/>
                    <w:right w:val="single" w:color="auto" w:sz="4" w:space="0"/>
                  </w:tcBorders>
                  <w:shd w:val="clear" w:color="auto" w:fill="auto"/>
                  <w:vAlign w:val="center"/>
                </w:tcPr>
                <w:p w14:paraId="6138758D">
                  <w:pPr>
                    <w:spacing w:line="360" w:lineRule="exact"/>
                    <w:jc w:val="center"/>
                    <w:rPr>
                      <w:rFonts w:cs="宋体"/>
                      <w:color w:val="000000" w:themeColor="text1"/>
                      <w:szCs w:val="21"/>
                      <w:lang w:bidi="ar"/>
                      <w14:textFill>
                        <w14:solidFill>
                          <w14:schemeClr w14:val="tx1"/>
                        </w14:solidFill>
                      </w14:textFill>
                    </w:rPr>
                  </w:pP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7BCAE69E">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运营期</w:t>
                  </w:r>
                </w:p>
              </w:tc>
              <w:tc>
                <w:tcPr>
                  <w:tcW w:w="371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90FDC7">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本项目无废气产生及排放。</w:t>
                  </w:r>
                </w:p>
              </w:tc>
            </w:tr>
            <w:tr w14:paraId="1910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39" w:type="pct"/>
                  <w:vMerge w:val="restart"/>
                  <w:tcBorders>
                    <w:left w:val="single" w:color="auto" w:sz="4" w:space="0"/>
                    <w:right w:val="single" w:color="auto" w:sz="4" w:space="0"/>
                  </w:tcBorders>
                  <w:shd w:val="clear" w:color="auto" w:fill="auto"/>
                  <w:vAlign w:val="center"/>
                </w:tcPr>
                <w:p w14:paraId="34C3033F">
                  <w:pPr>
                    <w:spacing w:line="360" w:lineRule="exact"/>
                    <w:rPr>
                      <w:color w:val="000000" w:themeColor="text1"/>
                      <w:sz w:val="20"/>
                      <w:szCs w:val="20"/>
                      <w14:textFill>
                        <w14:solidFill>
                          <w14:schemeClr w14:val="tx1"/>
                        </w14:solidFill>
                      </w14:textFill>
                    </w:rPr>
                  </w:pPr>
                  <w:r>
                    <w:rPr>
                      <w:rFonts w:hint="eastAsia" w:cs="宋体"/>
                      <w:color w:val="000000" w:themeColor="text1"/>
                      <w:szCs w:val="21"/>
                      <w:lang w:bidi="ar"/>
                      <w14:textFill>
                        <w14:solidFill>
                          <w14:schemeClr w14:val="tx1"/>
                        </w14:solidFill>
                      </w14:textFill>
                    </w:rPr>
                    <w:t>环保工程</w:t>
                  </w:r>
                </w:p>
              </w:tc>
              <w:tc>
                <w:tcPr>
                  <w:tcW w:w="493" w:type="pct"/>
                  <w:vMerge w:val="restart"/>
                  <w:tcBorders>
                    <w:top w:val="single" w:color="auto" w:sz="4" w:space="0"/>
                    <w:left w:val="single" w:color="auto" w:sz="4" w:space="0"/>
                    <w:right w:val="single" w:color="auto" w:sz="4" w:space="0"/>
                  </w:tcBorders>
                  <w:shd w:val="clear" w:color="auto" w:fill="auto"/>
                  <w:vAlign w:val="center"/>
                </w:tcPr>
                <w:p w14:paraId="5C2A8600">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固体废弃物</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1766EA7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w:t>
                  </w:r>
                </w:p>
              </w:tc>
              <w:tc>
                <w:tcPr>
                  <w:tcW w:w="371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C6B653">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施工期的固体废物主要是施工弃土石和施工人员生活垃圾。施工中产生的弃渣用于回填及场地平整，剩余的少量建筑垃圾和弃渣，及时用汽车运走。生活垃圾经收集后运至垃圾收集点处置。</w:t>
                  </w:r>
                </w:p>
              </w:tc>
            </w:tr>
            <w:tr w14:paraId="56C9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39" w:type="pct"/>
                  <w:vMerge w:val="continue"/>
                  <w:tcBorders>
                    <w:left w:val="single" w:color="auto" w:sz="4" w:space="0"/>
                    <w:right w:val="single" w:color="auto" w:sz="4" w:space="0"/>
                  </w:tcBorders>
                  <w:shd w:val="clear" w:color="auto" w:fill="auto"/>
                  <w:vAlign w:val="center"/>
                </w:tcPr>
                <w:p w14:paraId="713FA25A">
                  <w:pPr>
                    <w:spacing w:line="360" w:lineRule="exact"/>
                    <w:rPr>
                      <w:color w:val="000000" w:themeColor="text1"/>
                      <w14:textFill>
                        <w14:solidFill>
                          <w14:schemeClr w14:val="tx1"/>
                        </w14:solidFill>
                      </w14:textFill>
                    </w:rPr>
                  </w:pPr>
                </w:p>
              </w:tc>
              <w:tc>
                <w:tcPr>
                  <w:tcW w:w="493" w:type="pct"/>
                  <w:vMerge w:val="continue"/>
                  <w:tcBorders>
                    <w:left w:val="single" w:color="auto" w:sz="4" w:space="0"/>
                    <w:bottom w:val="single" w:color="auto" w:sz="4" w:space="0"/>
                    <w:right w:val="single" w:color="auto" w:sz="4" w:space="0"/>
                  </w:tcBorders>
                  <w:shd w:val="clear" w:color="auto" w:fill="auto"/>
                  <w:vAlign w:val="center"/>
                </w:tcPr>
                <w:p w14:paraId="1D1ED538">
                  <w:pPr>
                    <w:spacing w:line="360" w:lineRule="exact"/>
                    <w:jc w:val="center"/>
                    <w:rPr>
                      <w:color w:val="000000" w:themeColor="text1"/>
                      <w14:textFill>
                        <w14:solidFill>
                          <w14:schemeClr w14:val="tx1"/>
                        </w14:solidFill>
                      </w14:textFill>
                    </w:rPr>
                  </w:pPr>
                </w:p>
              </w:tc>
              <w:tc>
                <w:tcPr>
                  <w:tcW w:w="451" w:type="pct"/>
                  <w:vMerge w:val="restart"/>
                  <w:tcBorders>
                    <w:top w:val="single" w:color="auto" w:sz="4" w:space="0"/>
                    <w:left w:val="single" w:color="auto" w:sz="4" w:space="0"/>
                    <w:right w:val="single" w:color="auto" w:sz="4" w:space="0"/>
                  </w:tcBorders>
                  <w:shd w:val="clear" w:color="auto" w:fill="auto"/>
                  <w:vAlign w:val="center"/>
                </w:tcPr>
                <w:p w14:paraId="49BCB88A">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运营期</w:t>
                  </w:r>
                </w:p>
              </w:tc>
              <w:tc>
                <w:tcPr>
                  <w:tcW w:w="371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784F1E">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升压站内</w:t>
                  </w:r>
                  <w:r>
                    <w:rPr>
                      <w:rFonts w:hint="eastAsia" w:cs="宋体"/>
                      <w:color w:val="000000" w:themeColor="text1"/>
                      <w:szCs w:val="21"/>
                      <w:lang w:val="en-US" w:eastAsia="zh-CN" w:bidi="ar"/>
                      <w14:textFill>
                        <w14:solidFill>
                          <w14:schemeClr w14:val="tx1"/>
                        </w14:solidFill>
                      </w14:textFill>
                    </w:rPr>
                    <w:t>不设置危废间，项目</w:t>
                  </w:r>
                  <w:r>
                    <w:rPr>
                      <w:rFonts w:hint="eastAsia" w:cs="宋体"/>
                      <w:color w:val="000000" w:themeColor="text1"/>
                      <w:szCs w:val="21"/>
                      <w:lang w:bidi="ar"/>
                      <w14:textFill>
                        <w14:solidFill>
                          <w14:schemeClr w14:val="tx1"/>
                        </w14:solidFill>
                      </w14:textFill>
                    </w:rPr>
                    <w:t>产生的废旧蓄电池</w:t>
                  </w:r>
                  <w:r>
                    <w:rPr>
                      <w:rFonts w:hint="eastAsia" w:cs="宋体"/>
                      <w:color w:val="000000" w:themeColor="text1"/>
                      <w:szCs w:val="21"/>
                      <w:lang w:val="en-US" w:eastAsia="zh-CN" w:bidi="ar"/>
                      <w14:textFill>
                        <w14:solidFill>
                          <w14:schemeClr w14:val="tx1"/>
                        </w14:solidFill>
                      </w14:textFill>
                    </w:rPr>
                    <w:t>产生后及时</w:t>
                  </w:r>
                  <w:r>
                    <w:rPr>
                      <w:rFonts w:hint="eastAsia" w:cs="宋体"/>
                      <w:color w:val="000000" w:themeColor="text1"/>
                      <w:szCs w:val="21"/>
                      <w:lang w:bidi="ar"/>
                      <w14:textFill>
                        <w14:solidFill>
                          <w14:schemeClr w14:val="tx1"/>
                        </w14:solidFill>
                      </w14:textFill>
                    </w:rPr>
                    <w:t>交由厂家</w:t>
                  </w:r>
                  <w:r>
                    <w:rPr>
                      <w:rFonts w:hint="eastAsia" w:cs="宋体"/>
                      <w:color w:val="000000" w:themeColor="text1"/>
                      <w:szCs w:val="21"/>
                      <w:lang w:val="en-US" w:eastAsia="zh-CN" w:bidi="ar"/>
                      <w14:textFill>
                        <w14:solidFill>
                          <w14:schemeClr w14:val="tx1"/>
                        </w14:solidFill>
                      </w14:textFill>
                    </w:rPr>
                    <w:t>更换并</w:t>
                  </w:r>
                  <w:r>
                    <w:rPr>
                      <w:rFonts w:hint="eastAsia" w:cs="宋体"/>
                      <w:color w:val="000000" w:themeColor="text1"/>
                      <w:szCs w:val="21"/>
                      <w:lang w:bidi="ar"/>
                      <w14:textFill>
                        <w14:solidFill>
                          <w14:schemeClr w14:val="tx1"/>
                        </w14:solidFill>
                      </w14:textFill>
                    </w:rPr>
                    <w:t>回收；升压站内变压器设置1座30m</w:t>
                  </w:r>
                  <w:r>
                    <w:rPr>
                      <w:rFonts w:hint="eastAsia" w:cs="宋体"/>
                      <w:color w:val="000000" w:themeColor="text1"/>
                      <w:szCs w:val="21"/>
                      <w:vertAlign w:val="superscript"/>
                      <w:lang w:bidi="ar"/>
                      <w14:textFill>
                        <w14:solidFill>
                          <w14:schemeClr w14:val="tx1"/>
                        </w14:solidFill>
                      </w14:textFill>
                    </w:rPr>
                    <w:t>3</w:t>
                  </w:r>
                  <w:r>
                    <w:rPr>
                      <w:rFonts w:hint="eastAsia" w:cs="宋体"/>
                      <w:color w:val="000000" w:themeColor="text1"/>
                      <w:szCs w:val="21"/>
                      <w:lang w:bidi="ar"/>
                      <w14:textFill>
                        <w14:solidFill>
                          <w14:schemeClr w14:val="tx1"/>
                        </w14:solidFill>
                      </w14:textFill>
                    </w:rPr>
                    <w:t>事故油池，事故油</w:t>
                  </w:r>
                  <w:r>
                    <w:rPr>
                      <w:rFonts w:hint="eastAsia" w:cs="宋体"/>
                      <w:color w:val="000000" w:themeColor="text1"/>
                      <w:szCs w:val="21"/>
                      <w:lang w:val="en-US" w:eastAsia="zh-CN" w:bidi="ar"/>
                      <w14:textFill>
                        <w14:solidFill>
                          <w14:schemeClr w14:val="tx1"/>
                        </w14:solidFill>
                      </w14:textFill>
                    </w:rPr>
                    <w:t>及时</w:t>
                  </w:r>
                  <w:r>
                    <w:rPr>
                      <w:rFonts w:hint="eastAsia" w:cs="宋体"/>
                      <w:color w:val="000000" w:themeColor="text1"/>
                      <w:szCs w:val="21"/>
                      <w:lang w:bidi="ar"/>
                      <w14:textFill>
                        <w14:solidFill>
                          <w14:schemeClr w14:val="tx1"/>
                        </w14:solidFill>
                      </w14:textFill>
                    </w:rPr>
                    <w:t>交由具有相关资质的单位处置回收；</w:t>
                  </w:r>
                </w:p>
              </w:tc>
            </w:tr>
            <w:tr w14:paraId="383D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39" w:type="pct"/>
                  <w:vMerge w:val="continue"/>
                  <w:tcBorders>
                    <w:left w:val="single" w:color="auto" w:sz="4" w:space="0"/>
                    <w:right w:val="single" w:color="auto" w:sz="4" w:space="0"/>
                  </w:tcBorders>
                  <w:shd w:val="clear" w:color="auto" w:fill="auto"/>
                  <w:vAlign w:val="center"/>
                </w:tcPr>
                <w:p w14:paraId="5CC8CEC4">
                  <w:pPr>
                    <w:spacing w:line="360" w:lineRule="exact"/>
                    <w:rPr>
                      <w:color w:val="000000" w:themeColor="text1"/>
                      <w:sz w:val="20"/>
                      <w:szCs w:val="20"/>
                      <w14:textFill>
                        <w14:solidFill>
                          <w14:schemeClr w14:val="tx1"/>
                        </w14:solidFill>
                      </w14:textFill>
                    </w:rPr>
                  </w:pPr>
                </w:p>
              </w:tc>
              <w:tc>
                <w:tcPr>
                  <w:tcW w:w="49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59849B">
                  <w:pPr>
                    <w:spacing w:line="360" w:lineRule="exact"/>
                    <w:rPr>
                      <w:color w:val="000000" w:themeColor="text1"/>
                      <w:sz w:val="20"/>
                      <w:szCs w:val="20"/>
                      <w14:textFill>
                        <w14:solidFill>
                          <w14:schemeClr w14:val="tx1"/>
                        </w14:solidFill>
                      </w14:textFill>
                    </w:rPr>
                  </w:pPr>
                </w:p>
              </w:tc>
              <w:tc>
                <w:tcPr>
                  <w:tcW w:w="451" w:type="pct"/>
                  <w:vMerge w:val="continue"/>
                  <w:tcBorders>
                    <w:left w:val="single" w:color="auto" w:sz="4" w:space="0"/>
                    <w:right w:val="single" w:color="auto" w:sz="4" w:space="0"/>
                  </w:tcBorders>
                  <w:shd w:val="clear" w:color="auto" w:fill="auto"/>
                  <w:vAlign w:val="center"/>
                </w:tcPr>
                <w:p w14:paraId="5D8A1E23">
                  <w:pPr>
                    <w:spacing w:line="360" w:lineRule="exact"/>
                    <w:rPr>
                      <w:color w:val="000000" w:themeColor="text1"/>
                      <w:szCs w:val="21"/>
                      <w14:textFill>
                        <w14:solidFill>
                          <w14:schemeClr w14:val="tx1"/>
                        </w14:solidFill>
                      </w14:textFill>
                    </w:rPr>
                  </w:pPr>
                </w:p>
              </w:tc>
              <w:tc>
                <w:tcPr>
                  <w:tcW w:w="371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FA1376">
                  <w:pPr>
                    <w:spacing w:line="360" w:lineRule="exact"/>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废磷酸铁锂电池定期更换由厂家回收；光伏组件破损产生的废弃物应设置专用收集箱，定期由厂家回收或运至具有相关资质处置单位进行处理；生产人员日常生活垃圾统一收集至站内的垃圾箱，定期</w:t>
                  </w:r>
                  <w:r>
                    <w:rPr>
                      <w:rFonts w:hint="eastAsia" w:cs="宋体"/>
                      <w:color w:val="000000" w:themeColor="text1"/>
                      <w:szCs w:val="21"/>
                      <w:lang w:val="en-US" w:eastAsia="zh-CN" w:bidi="ar"/>
                      <w14:textFill>
                        <w14:solidFill>
                          <w14:schemeClr w14:val="tx1"/>
                        </w14:solidFill>
                      </w14:textFill>
                    </w:rPr>
                    <w:t>由</w:t>
                  </w:r>
                  <w:r>
                    <w:rPr>
                      <w:rFonts w:hint="eastAsia" w:cs="宋体"/>
                      <w:color w:val="000000" w:themeColor="text1"/>
                      <w:szCs w:val="21"/>
                      <w:lang w:bidi="ar"/>
                      <w14:textFill>
                        <w14:solidFill>
                          <w14:schemeClr w14:val="tx1"/>
                        </w14:solidFill>
                      </w14:textFill>
                    </w:rPr>
                    <w:t>当地</w:t>
                  </w:r>
                  <w:r>
                    <w:rPr>
                      <w:rFonts w:hint="eastAsia" w:cs="宋体"/>
                      <w:color w:val="000000" w:themeColor="text1"/>
                      <w:szCs w:val="21"/>
                      <w:lang w:val="en-US" w:eastAsia="zh-CN" w:bidi="ar"/>
                      <w14:textFill>
                        <w14:solidFill>
                          <w14:schemeClr w14:val="tx1"/>
                        </w14:solidFill>
                      </w14:textFill>
                    </w:rPr>
                    <w:t>环卫部门</w:t>
                  </w:r>
                  <w:r>
                    <w:rPr>
                      <w:rFonts w:hint="eastAsia" w:cs="宋体"/>
                      <w:color w:val="000000" w:themeColor="text1"/>
                      <w:szCs w:val="21"/>
                      <w:lang w:bidi="ar"/>
                      <w14:textFill>
                        <w14:solidFill>
                          <w14:schemeClr w14:val="tx1"/>
                        </w14:solidFill>
                      </w14:textFill>
                    </w:rPr>
                    <w:t>处置。</w:t>
                  </w:r>
                </w:p>
              </w:tc>
            </w:tr>
            <w:tr w14:paraId="0989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39" w:type="pct"/>
                  <w:vMerge w:val="continue"/>
                  <w:tcBorders>
                    <w:left w:val="single" w:color="auto" w:sz="4" w:space="0"/>
                    <w:right w:val="single" w:color="auto" w:sz="4" w:space="0"/>
                  </w:tcBorders>
                  <w:shd w:val="clear" w:color="auto" w:fill="auto"/>
                  <w:vAlign w:val="center"/>
                </w:tcPr>
                <w:p w14:paraId="52DC297C">
                  <w:pPr>
                    <w:spacing w:line="360" w:lineRule="exact"/>
                    <w:rPr>
                      <w:color w:val="000000" w:themeColor="text1"/>
                      <w:sz w:val="20"/>
                      <w:szCs w:val="20"/>
                      <w14:textFill>
                        <w14:solidFill>
                          <w14:schemeClr w14:val="tx1"/>
                        </w14:solidFill>
                      </w14:textFill>
                    </w:rPr>
                  </w:pPr>
                </w:p>
              </w:tc>
              <w:tc>
                <w:tcPr>
                  <w:tcW w:w="493" w:type="pct"/>
                  <w:vMerge w:val="restart"/>
                  <w:tcBorders>
                    <w:top w:val="single" w:color="auto" w:sz="4" w:space="0"/>
                    <w:left w:val="single" w:color="auto" w:sz="4" w:space="0"/>
                    <w:right w:val="single" w:color="auto" w:sz="4" w:space="0"/>
                  </w:tcBorders>
                  <w:shd w:val="clear" w:color="auto" w:fill="auto"/>
                  <w:vAlign w:val="center"/>
                </w:tcPr>
                <w:p w14:paraId="0E3FB8F6">
                  <w:pPr>
                    <w:spacing w:line="360" w:lineRule="exact"/>
                    <w:jc w:val="center"/>
                    <w:rPr>
                      <w:rFonts w:cs="宋体"/>
                      <w:color w:val="000000" w:themeColor="text1"/>
                      <w:lang w:bidi="ar"/>
                      <w14:textFill>
                        <w14:solidFill>
                          <w14:schemeClr w14:val="tx1"/>
                        </w14:solidFill>
                      </w14:textFill>
                    </w:rPr>
                  </w:pPr>
                  <w:r>
                    <w:rPr>
                      <w:rFonts w:hint="eastAsia" w:cs="宋体"/>
                      <w:color w:val="000000" w:themeColor="text1"/>
                      <w:lang w:bidi="ar"/>
                      <w14:textFill>
                        <w14:solidFill>
                          <w14:schemeClr w14:val="tx1"/>
                        </w14:solidFill>
                      </w14:textFill>
                    </w:rPr>
                    <w:t>噪声</w:t>
                  </w: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1C4ECDC">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施工期采取合理规划施工时间及施工时序，夜间项目不施工，施工场区边界设置围挡隔声，噪声经过隔声和距离衰减后不会对周围声环境产生影响</w:t>
                  </w:r>
                </w:p>
              </w:tc>
            </w:tr>
            <w:tr w14:paraId="063D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39" w:type="pct"/>
                  <w:vMerge w:val="continue"/>
                  <w:tcBorders>
                    <w:left w:val="single" w:color="auto" w:sz="4" w:space="0"/>
                    <w:right w:val="single" w:color="auto" w:sz="4" w:space="0"/>
                  </w:tcBorders>
                  <w:shd w:val="clear" w:color="auto" w:fill="auto"/>
                  <w:vAlign w:val="center"/>
                </w:tcPr>
                <w:p w14:paraId="659CB525">
                  <w:pPr>
                    <w:spacing w:line="360" w:lineRule="exact"/>
                    <w:rPr>
                      <w:color w:val="000000" w:themeColor="text1"/>
                      <w:sz w:val="20"/>
                      <w:szCs w:val="20"/>
                      <w14:textFill>
                        <w14:solidFill>
                          <w14:schemeClr w14:val="tx1"/>
                        </w14:solidFill>
                      </w14:textFill>
                    </w:rPr>
                  </w:pPr>
                </w:p>
              </w:tc>
              <w:tc>
                <w:tcPr>
                  <w:tcW w:w="493" w:type="pct"/>
                  <w:vMerge w:val="continue"/>
                  <w:tcBorders>
                    <w:left w:val="single" w:color="auto" w:sz="4" w:space="0"/>
                    <w:bottom w:val="single" w:color="auto" w:sz="4" w:space="0"/>
                    <w:right w:val="single" w:color="auto" w:sz="4" w:space="0"/>
                  </w:tcBorders>
                  <w:shd w:val="clear" w:color="auto" w:fill="auto"/>
                  <w:vAlign w:val="center"/>
                </w:tcPr>
                <w:p w14:paraId="0C78059C">
                  <w:pPr>
                    <w:spacing w:line="360" w:lineRule="exact"/>
                    <w:jc w:val="center"/>
                    <w:rPr>
                      <w:rFonts w:cs="宋体"/>
                      <w:color w:val="000000" w:themeColor="text1"/>
                      <w:lang w:bidi="ar"/>
                      <w14:textFill>
                        <w14:solidFill>
                          <w14:schemeClr w14:val="tx1"/>
                        </w14:solidFill>
                      </w14:textFill>
                    </w:rPr>
                  </w:pP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DA839D6">
                  <w:pPr>
                    <w:spacing w:line="360" w:lineRule="exact"/>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光伏电站在运行期间没有明显噪声</w:t>
                  </w:r>
                  <w:r>
                    <w:rPr>
                      <w:rFonts w:hint="eastAsia" w:cs="宋体"/>
                      <w:color w:val="000000" w:themeColor="text1"/>
                      <w:szCs w:val="21"/>
                      <w:lang w:bidi="ar"/>
                      <w14:textFill>
                        <w14:solidFill>
                          <w14:schemeClr w14:val="tx1"/>
                        </w14:solidFill>
                      </w14:textFill>
                    </w:rPr>
                    <w:t>，</w:t>
                  </w:r>
                  <w:r>
                    <w:rPr>
                      <w:rFonts w:cs="宋体"/>
                      <w:color w:val="000000" w:themeColor="text1"/>
                      <w:szCs w:val="21"/>
                      <w:lang w:bidi="ar"/>
                      <w14:textFill>
                        <w14:solidFill>
                          <w14:schemeClr w14:val="tx1"/>
                        </w14:solidFill>
                      </w14:textFill>
                    </w:rPr>
                    <w:t>选择低噪音设备，</w:t>
                  </w:r>
                  <w:r>
                    <w:rPr>
                      <w:rFonts w:hint="eastAsia" w:cs="宋体"/>
                      <w:color w:val="000000" w:themeColor="text1"/>
                      <w:szCs w:val="21"/>
                      <w:lang w:bidi="ar"/>
                      <w14:textFill>
                        <w14:solidFill>
                          <w14:schemeClr w14:val="tx1"/>
                        </w14:solidFill>
                      </w14:textFill>
                    </w:rPr>
                    <w:t>升压站内</w:t>
                  </w:r>
                  <w:r>
                    <w:rPr>
                      <w:rFonts w:cs="宋体"/>
                      <w:color w:val="000000" w:themeColor="text1"/>
                      <w:szCs w:val="21"/>
                      <w:lang w:bidi="ar"/>
                      <w14:textFill>
                        <w14:solidFill>
                          <w14:schemeClr w14:val="tx1"/>
                        </w14:solidFill>
                      </w14:textFill>
                    </w:rPr>
                    <w:t>部分电气设备布置于室内</w:t>
                  </w:r>
                  <w:r>
                    <w:rPr>
                      <w:rFonts w:hint="eastAsia" w:cs="宋体"/>
                      <w:color w:val="000000" w:themeColor="text1"/>
                      <w:szCs w:val="21"/>
                      <w:lang w:bidi="ar"/>
                      <w14:textFill>
                        <w14:solidFill>
                          <w14:schemeClr w14:val="tx1"/>
                        </w14:solidFill>
                      </w14:textFill>
                    </w:rPr>
                    <w:t>，</w:t>
                  </w:r>
                  <w:r>
                    <w:rPr>
                      <w:rFonts w:cs="宋体"/>
                      <w:color w:val="000000" w:themeColor="text1"/>
                      <w:szCs w:val="21"/>
                      <w:lang w:bidi="ar"/>
                      <w14:textFill>
                        <w14:solidFill>
                          <w14:schemeClr w14:val="tx1"/>
                        </w14:solidFill>
                      </w14:textFill>
                    </w:rPr>
                    <w:t>经过距离衰减和</w:t>
                  </w:r>
                  <w:r>
                    <w:rPr>
                      <w:rFonts w:hint="eastAsia" w:cs="宋体"/>
                      <w:color w:val="000000" w:themeColor="text1"/>
                      <w:szCs w:val="21"/>
                      <w:lang w:bidi="ar"/>
                      <w14:textFill>
                        <w14:solidFill>
                          <w14:schemeClr w14:val="tx1"/>
                        </w14:solidFill>
                      </w14:textFill>
                    </w:rPr>
                    <w:t>厂房</w:t>
                  </w:r>
                  <w:r>
                    <w:rPr>
                      <w:rFonts w:cs="宋体"/>
                      <w:color w:val="000000" w:themeColor="text1"/>
                      <w:szCs w:val="21"/>
                      <w:lang w:bidi="ar"/>
                      <w14:textFill>
                        <w14:solidFill>
                          <w14:schemeClr w14:val="tx1"/>
                        </w14:solidFill>
                      </w14:textFill>
                    </w:rPr>
                    <w:t>隔声后不会对周围的声环境产生</w:t>
                  </w:r>
                  <w:r>
                    <w:rPr>
                      <w:rFonts w:hint="eastAsia" w:cs="宋体"/>
                      <w:color w:val="000000" w:themeColor="text1"/>
                      <w:szCs w:val="21"/>
                      <w:lang w:bidi="ar"/>
                      <w14:textFill>
                        <w14:solidFill>
                          <w14:schemeClr w14:val="tx1"/>
                        </w14:solidFill>
                      </w14:textFill>
                    </w:rPr>
                    <w:t>较大</w:t>
                  </w:r>
                  <w:r>
                    <w:rPr>
                      <w:rFonts w:cs="宋体"/>
                      <w:color w:val="000000" w:themeColor="text1"/>
                      <w:szCs w:val="21"/>
                      <w:lang w:bidi="ar"/>
                      <w14:textFill>
                        <w14:solidFill>
                          <w14:schemeClr w14:val="tx1"/>
                        </w14:solidFill>
                      </w14:textFill>
                    </w:rPr>
                    <w:t>影响</w:t>
                  </w:r>
                  <w:r>
                    <w:rPr>
                      <w:rFonts w:hint="eastAsia" w:cs="宋体"/>
                      <w:color w:val="000000" w:themeColor="text1"/>
                      <w:szCs w:val="21"/>
                      <w:lang w:bidi="ar"/>
                      <w14:textFill>
                        <w14:solidFill>
                          <w14:schemeClr w14:val="tx1"/>
                        </w14:solidFill>
                      </w14:textFill>
                    </w:rPr>
                    <w:t>。</w:t>
                  </w:r>
                </w:p>
              </w:tc>
            </w:tr>
            <w:tr w14:paraId="2428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39" w:type="pct"/>
                  <w:vMerge w:val="continue"/>
                  <w:tcBorders>
                    <w:left w:val="single" w:color="auto" w:sz="4" w:space="0"/>
                    <w:right w:val="single" w:color="auto" w:sz="4" w:space="0"/>
                  </w:tcBorders>
                  <w:shd w:val="clear" w:color="auto" w:fill="auto"/>
                  <w:vAlign w:val="center"/>
                </w:tcPr>
                <w:p w14:paraId="7A555F77">
                  <w:pPr>
                    <w:spacing w:line="360" w:lineRule="exact"/>
                    <w:rPr>
                      <w:color w:val="000000" w:themeColor="text1"/>
                      <w:sz w:val="20"/>
                      <w:szCs w:val="20"/>
                      <w14:textFill>
                        <w14:solidFill>
                          <w14:schemeClr w14:val="tx1"/>
                        </w14:solidFill>
                      </w14:textFill>
                    </w:rPr>
                  </w:pPr>
                </w:p>
              </w:tc>
              <w:tc>
                <w:tcPr>
                  <w:tcW w:w="493" w:type="pct"/>
                  <w:vMerge w:val="restart"/>
                  <w:tcBorders>
                    <w:top w:val="single" w:color="auto" w:sz="4" w:space="0"/>
                    <w:left w:val="single" w:color="auto" w:sz="4" w:space="0"/>
                    <w:right w:val="single" w:color="auto" w:sz="4" w:space="0"/>
                  </w:tcBorders>
                  <w:shd w:val="clear" w:color="auto" w:fill="auto"/>
                  <w:vAlign w:val="center"/>
                </w:tcPr>
                <w:p w14:paraId="142FFE1E">
                  <w:pPr>
                    <w:spacing w:line="360" w:lineRule="exact"/>
                    <w:jc w:val="center"/>
                    <w:rPr>
                      <w:rFonts w:cs="宋体"/>
                      <w:color w:val="000000" w:themeColor="text1"/>
                      <w:lang w:bidi="ar"/>
                      <w14:textFill>
                        <w14:solidFill>
                          <w14:schemeClr w14:val="tx1"/>
                        </w14:solidFill>
                      </w14:textFill>
                    </w:rPr>
                  </w:pPr>
                  <w:r>
                    <w:rPr>
                      <w:rFonts w:hint="eastAsia" w:cs="宋体"/>
                      <w:color w:val="000000" w:themeColor="text1"/>
                      <w:lang w:bidi="ar"/>
                      <w14:textFill>
                        <w14:solidFill>
                          <w14:schemeClr w14:val="tx1"/>
                        </w14:solidFill>
                      </w14:textFill>
                    </w:rPr>
                    <w:t>风险防范</w:t>
                  </w: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702EBB1">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升压主变压器设置1座事故油池；产生时委托有资质单位进行处置。</w:t>
                  </w:r>
                </w:p>
              </w:tc>
            </w:tr>
            <w:tr w14:paraId="359C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39" w:type="pct"/>
                  <w:vMerge w:val="continue"/>
                  <w:tcBorders>
                    <w:left w:val="single" w:color="auto" w:sz="4" w:space="0"/>
                    <w:right w:val="single" w:color="auto" w:sz="4" w:space="0"/>
                  </w:tcBorders>
                  <w:shd w:val="clear" w:color="auto" w:fill="auto"/>
                  <w:vAlign w:val="center"/>
                </w:tcPr>
                <w:p w14:paraId="705D08E5">
                  <w:pPr>
                    <w:spacing w:line="360" w:lineRule="exact"/>
                    <w:rPr>
                      <w:color w:val="000000" w:themeColor="text1"/>
                      <w14:textFill>
                        <w14:solidFill>
                          <w14:schemeClr w14:val="tx1"/>
                        </w14:solidFill>
                      </w14:textFill>
                    </w:rPr>
                  </w:pPr>
                </w:p>
              </w:tc>
              <w:tc>
                <w:tcPr>
                  <w:tcW w:w="493" w:type="pct"/>
                  <w:vMerge w:val="continue"/>
                  <w:tcBorders>
                    <w:left w:val="single" w:color="auto" w:sz="4" w:space="0"/>
                    <w:right w:val="single" w:color="auto" w:sz="4" w:space="0"/>
                  </w:tcBorders>
                  <w:shd w:val="clear" w:color="auto" w:fill="auto"/>
                  <w:vAlign w:val="center"/>
                </w:tcPr>
                <w:p w14:paraId="75838911">
                  <w:pPr>
                    <w:spacing w:line="360" w:lineRule="exact"/>
                    <w:jc w:val="center"/>
                    <w:rPr>
                      <w:color w:val="000000" w:themeColor="text1"/>
                      <w14:textFill>
                        <w14:solidFill>
                          <w14:schemeClr w14:val="tx1"/>
                        </w14:solidFill>
                      </w14:textFill>
                    </w:rPr>
                  </w:pP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12F37BC">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光伏厂区内箱式变压器外围设置储油池，产生时委托有资质单位进行处置。</w:t>
                  </w:r>
                </w:p>
              </w:tc>
            </w:tr>
            <w:tr w14:paraId="4583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39" w:type="pct"/>
                  <w:vMerge w:val="continue"/>
                  <w:tcBorders>
                    <w:left w:val="single" w:color="auto" w:sz="4" w:space="0"/>
                    <w:right w:val="single" w:color="auto" w:sz="4" w:space="0"/>
                  </w:tcBorders>
                  <w:shd w:val="clear" w:color="auto" w:fill="auto"/>
                  <w:vAlign w:val="center"/>
                </w:tcPr>
                <w:p w14:paraId="3B68ED16">
                  <w:pPr>
                    <w:spacing w:line="360" w:lineRule="exact"/>
                    <w:rPr>
                      <w:color w:val="000000" w:themeColor="text1"/>
                      <w:sz w:val="20"/>
                      <w:szCs w:val="20"/>
                      <w14:textFill>
                        <w14:solidFill>
                          <w14:schemeClr w14:val="tx1"/>
                        </w14:solidFill>
                      </w14:textFill>
                    </w:rPr>
                  </w:pPr>
                </w:p>
              </w:tc>
              <w:tc>
                <w:tcPr>
                  <w:tcW w:w="493" w:type="pct"/>
                  <w:tcBorders>
                    <w:top w:val="single" w:color="auto" w:sz="4" w:space="0"/>
                    <w:left w:val="single" w:color="auto" w:sz="4" w:space="0"/>
                    <w:bottom w:val="single" w:color="auto" w:sz="4" w:space="0"/>
                    <w:right w:val="single" w:color="auto" w:sz="4" w:space="0"/>
                  </w:tcBorders>
                  <w:shd w:val="clear" w:color="auto" w:fill="auto"/>
                  <w:vAlign w:val="center"/>
                </w:tcPr>
                <w:p w14:paraId="34EB560E">
                  <w:pPr>
                    <w:spacing w:line="360" w:lineRule="exact"/>
                    <w:jc w:val="center"/>
                    <w:rPr>
                      <w:color w:val="000000" w:themeColor="text1"/>
                      <w:szCs w:val="21"/>
                      <w14:textFill>
                        <w14:solidFill>
                          <w14:schemeClr w14:val="tx1"/>
                        </w14:solidFill>
                      </w14:textFill>
                    </w:rPr>
                  </w:pPr>
                  <w:r>
                    <w:rPr>
                      <w:rFonts w:hint="eastAsia" w:cs="宋体"/>
                      <w:color w:val="000000" w:themeColor="text1"/>
                      <w:lang w:bidi="ar"/>
                      <w14:textFill>
                        <w14:solidFill>
                          <w14:schemeClr w14:val="tx1"/>
                        </w14:solidFill>
                      </w14:textFill>
                    </w:rPr>
                    <w:t>防渗措施</w:t>
                  </w:r>
                </w:p>
              </w:tc>
              <w:tc>
                <w:tcPr>
                  <w:tcW w:w="416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E3CEA48">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重点防渗：储油池及事故油池满足等效粘土防渗层Mb≥6.0m，渗透系数K≤1×10</w:t>
                  </w:r>
                  <w:r>
                    <w:rPr>
                      <w:rFonts w:hint="eastAsia" w:cs="宋体"/>
                      <w:color w:val="000000" w:themeColor="text1"/>
                      <w:szCs w:val="21"/>
                      <w:vertAlign w:val="superscript"/>
                      <w:lang w:bidi="ar"/>
                      <w14:textFill>
                        <w14:solidFill>
                          <w14:schemeClr w14:val="tx1"/>
                        </w14:solidFill>
                      </w14:textFill>
                    </w:rPr>
                    <w:t>-7</w:t>
                  </w:r>
                  <w:r>
                    <w:rPr>
                      <w:rFonts w:hint="eastAsia" w:cs="宋体"/>
                      <w:color w:val="000000" w:themeColor="text1"/>
                      <w:szCs w:val="21"/>
                      <w:lang w:bidi="ar"/>
                      <w14:textFill>
                        <w14:solidFill>
                          <w14:schemeClr w14:val="tx1"/>
                        </w14:solidFill>
                      </w14:textFill>
                    </w:rPr>
                    <w:t>cm/s；</w:t>
                  </w:r>
                </w:p>
                <w:p w14:paraId="74BA9F79">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简单防渗：厂区其他地面已采取水泥地面硬化的防渗措施。</w:t>
                  </w:r>
                </w:p>
              </w:tc>
            </w:tr>
            <w:tr w14:paraId="2F498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2" w:hRule="atLeast"/>
              </w:trPr>
              <w:tc>
                <w:tcPr>
                  <w:tcW w:w="339" w:type="pct"/>
                  <w:vMerge w:val="continue"/>
                  <w:tcBorders>
                    <w:left w:val="single" w:color="auto" w:sz="4" w:space="0"/>
                    <w:right w:val="single" w:color="auto" w:sz="4" w:space="0"/>
                  </w:tcBorders>
                  <w:shd w:val="clear" w:color="auto" w:fill="auto"/>
                  <w:vAlign w:val="center"/>
                </w:tcPr>
                <w:p w14:paraId="173CFAD6">
                  <w:pPr>
                    <w:spacing w:line="360" w:lineRule="exact"/>
                    <w:rPr>
                      <w:color w:val="000000" w:themeColor="text1"/>
                      <w:sz w:val="20"/>
                      <w:szCs w:val="20"/>
                      <w14:textFill>
                        <w14:solidFill>
                          <w14:schemeClr w14:val="tx1"/>
                        </w14:solidFill>
                      </w14:textFill>
                    </w:rPr>
                  </w:pPr>
                </w:p>
              </w:tc>
              <w:tc>
                <w:tcPr>
                  <w:tcW w:w="493" w:type="pct"/>
                  <w:vMerge w:val="restart"/>
                  <w:tcBorders>
                    <w:top w:val="single" w:color="auto" w:sz="4" w:space="0"/>
                    <w:left w:val="single" w:color="auto" w:sz="4" w:space="0"/>
                    <w:right w:val="single" w:color="auto" w:sz="4" w:space="0"/>
                  </w:tcBorders>
                  <w:shd w:val="clear" w:color="auto" w:fill="auto"/>
                  <w:vAlign w:val="center"/>
                </w:tcPr>
                <w:p w14:paraId="79A50705">
                  <w:pPr>
                    <w:spacing w:line="360" w:lineRule="exact"/>
                    <w:jc w:val="center"/>
                    <w:rPr>
                      <w:rFonts w:cs="宋体"/>
                      <w:color w:val="000000" w:themeColor="text1"/>
                      <w:lang w:bidi="ar"/>
                      <w14:textFill>
                        <w14:solidFill>
                          <w14:schemeClr w14:val="tx1"/>
                        </w14:solidFill>
                      </w14:textFill>
                    </w:rPr>
                  </w:pPr>
                  <w:r>
                    <w:rPr>
                      <w:rFonts w:hint="eastAsia" w:cs="宋体"/>
                      <w:color w:val="000000" w:themeColor="text1"/>
                      <w:lang w:bidi="ar"/>
                      <w14:textFill>
                        <w14:solidFill>
                          <w14:schemeClr w14:val="tx1"/>
                        </w14:solidFill>
                      </w14:textFill>
                    </w:rPr>
                    <w:t>生态影响、水土流失防治措施</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2FA7A36D">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施工期</w:t>
                  </w:r>
                </w:p>
              </w:tc>
              <w:tc>
                <w:tcPr>
                  <w:tcW w:w="371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F46C4F">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工程施工过程中，各单项工程施工开挖前均进行表土清理和保护措施；施工道路尽量利用原有道路，减少新建道路对地表的扰动；新建道路采取边坡防护措施，施工结束后临时道路进行植被恢复；基础开挖施工过程中进行临时挡护，并采取排水措施，施工结束后对基础周边进行土地平整及植被恢复；光伏发电场地施工结束后对场地进行平整，并采取人工干预方式恢复植被。因此工程的建设对区域内地表植被的破坏影响较小。区域动植物物种均为周边区域常见种，因此项目的建设不会造成生物物种的减少，对野生动物和人工饲养动物的栖息、活动影响较小。</w:t>
                  </w:r>
                </w:p>
              </w:tc>
            </w:tr>
            <w:tr w14:paraId="78B7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 w:hRule="atLeast"/>
              </w:trPr>
              <w:tc>
                <w:tcPr>
                  <w:tcW w:w="339" w:type="pct"/>
                  <w:vMerge w:val="continue"/>
                  <w:tcBorders>
                    <w:left w:val="single" w:color="auto" w:sz="4" w:space="0"/>
                    <w:bottom w:val="single" w:color="auto" w:sz="4" w:space="0"/>
                    <w:right w:val="single" w:color="auto" w:sz="4" w:space="0"/>
                  </w:tcBorders>
                  <w:shd w:val="clear" w:color="auto" w:fill="auto"/>
                  <w:vAlign w:val="center"/>
                </w:tcPr>
                <w:p w14:paraId="4BDC2137">
                  <w:pPr>
                    <w:spacing w:line="360" w:lineRule="exact"/>
                    <w:rPr>
                      <w:color w:val="000000" w:themeColor="text1"/>
                      <w14:textFill>
                        <w14:solidFill>
                          <w14:schemeClr w14:val="tx1"/>
                        </w14:solidFill>
                      </w14:textFill>
                    </w:rPr>
                  </w:pPr>
                </w:p>
              </w:tc>
              <w:tc>
                <w:tcPr>
                  <w:tcW w:w="493" w:type="pct"/>
                  <w:vMerge w:val="continue"/>
                  <w:tcBorders>
                    <w:left w:val="single" w:color="auto" w:sz="4" w:space="0"/>
                    <w:bottom w:val="single" w:color="auto" w:sz="4" w:space="0"/>
                    <w:right w:val="single" w:color="auto" w:sz="4" w:space="0"/>
                  </w:tcBorders>
                  <w:shd w:val="clear" w:color="auto" w:fill="auto"/>
                  <w:vAlign w:val="center"/>
                </w:tcPr>
                <w:p w14:paraId="4A2A00F5">
                  <w:pPr>
                    <w:spacing w:line="360" w:lineRule="exact"/>
                    <w:rPr>
                      <w:color w:val="000000" w:themeColor="text1"/>
                      <w14:textFill>
                        <w14:solidFill>
                          <w14:schemeClr w14:val="tx1"/>
                        </w14:solidFill>
                      </w14:textFill>
                    </w:rPr>
                  </w:pP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027FF674">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运营期</w:t>
                  </w:r>
                </w:p>
              </w:tc>
              <w:tc>
                <w:tcPr>
                  <w:tcW w:w="371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BC2439">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在电站场区内播撒耐旱草籽，加大绿化面积；对建筑物周围进行绿化，灌、乔、草结合种植。</w:t>
                  </w:r>
                </w:p>
              </w:tc>
            </w:tr>
          </w:tbl>
          <w:p w14:paraId="5C965CEE">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本项目光伏发电工程主要设备及工程特性见下表 2-3。</w:t>
            </w:r>
          </w:p>
          <w:p w14:paraId="552286D7">
            <w:pPr>
              <w:snapToGrid w:val="0"/>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表2-3    光伏发电工程主要设备及工程特性一览表</w:t>
            </w:r>
          </w:p>
          <w:tbl>
            <w:tblPr>
              <w:tblStyle w:val="6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3"/>
              <w:gridCol w:w="10"/>
              <w:gridCol w:w="3319"/>
              <w:gridCol w:w="12"/>
              <w:gridCol w:w="1568"/>
              <w:gridCol w:w="2308"/>
            </w:tblGrid>
            <w:tr w14:paraId="0C418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tcBorders>
                    <w:right w:val="single" w:color="auto" w:sz="4" w:space="0"/>
                  </w:tcBorders>
                  <w:vAlign w:val="center"/>
                </w:tcPr>
                <w:p w14:paraId="4F7803B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光伏场区</w:t>
                  </w:r>
                </w:p>
              </w:tc>
            </w:tr>
            <w:tr w14:paraId="2AF4D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4240A44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编号</w:t>
                  </w:r>
                </w:p>
              </w:tc>
              <w:tc>
                <w:tcPr>
                  <w:tcW w:w="2009" w:type="pct"/>
                  <w:gridSpan w:val="2"/>
                  <w:tcBorders>
                    <w:left w:val="single" w:color="auto" w:sz="4" w:space="0"/>
                  </w:tcBorders>
                  <w:vAlign w:val="center"/>
                </w:tcPr>
                <w:p w14:paraId="12A03E4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945" w:type="pct"/>
                  <w:vAlign w:val="center"/>
                </w:tcPr>
                <w:p w14:paraId="1D6BC66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1392" w:type="pct"/>
                  <w:tcBorders>
                    <w:right w:val="single" w:color="auto" w:sz="4" w:space="0"/>
                  </w:tcBorders>
                  <w:vAlign w:val="center"/>
                </w:tcPr>
                <w:p w14:paraId="246BC26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r>
            <w:tr w14:paraId="2CF23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tcBorders>
                    <w:right w:val="single" w:color="auto" w:sz="4" w:space="0"/>
                  </w:tcBorders>
                  <w:vAlign w:val="center"/>
                </w:tcPr>
                <w:p w14:paraId="5C24573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1、光伏组件</w:t>
                  </w:r>
                </w:p>
              </w:tc>
            </w:tr>
            <w:tr w14:paraId="773DF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7869A6B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2009" w:type="pct"/>
                  <w:gridSpan w:val="2"/>
                  <w:tcBorders>
                    <w:left w:val="single" w:color="auto" w:sz="4" w:space="0"/>
                  </w:tcBorders>
                  <w:vAlign w:val="center"/>
                </w:tcPr>
                <w:p w14:paraId="21A8F0E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峰值功率</w:t>
                  </w:r>
                </w:p>
              </w:tc>
              <w:tc>
                <w:tcPr>
                  <w:tcW w:w="945" w:type="pct"/>
                  <w:vAlign w:val="center"/>
                </w:tcPr>
                <w:p w14:paraId="0761EFA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Wp</w:t>
                  </w:r>
                </w:p>
              </w:tc>
              <w:tc>
                <w:tcPr>
                  <w:tcW w:w="1392" w:type="pct"/>
                  <w:tcBorders>
                    <w:right w:val="single" w:color="auto" w:sz="4" w:space="0"/>
                  </w:tcBorders>
                  <w:vAlign w:val="center"/>
                </w:tcPr>
                <w:p w14:paraId="6BBC89A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620</w:t>
                  </w:r>
                </w:p>
              </w:tc>
            </w:tr>
            <w:tr w14:paraId="52DE5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4D6958F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2009" w:type="pct"/>
                  <w:gridSpan w:val="2"/>
                  <w:tcBorders>
                    <w:left w:val="single" w:color="auto" w:sz="4" w:space="0"/>
                  </w:tcBorders>
                  <w:vAlign w:val="center"/>
                </w:tcPr>
                <w:p w14:paraId="42692CB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开路电压 Voc</w:t>
                  </w:r>
                </w:p>
              </w:tc>
              <w:tc>
                <w:tcPr>
                  <w:tcW w:w="945" w:type="pct"/>
                  <w:vAlign w:val="center"/>
                </w:tcPr>
                <w:p w14:paraId="365386A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V</w:t>
                  </w:r>
                </w:p>
              </w:tc>
              <w:tc>
                <w:tcPr>
                  <w:tcW w:w="1392" w:type="pct"/>
                  <w:vAlign w:val="center"/>
                </w:tcPr>
                <w:p w14:paraId="7F2C58F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52.07</w:t>
                  </w:r>
                </w:p>
              </w:tc>
            </w:tr>
            <w:tr w14:paraId="2A1CD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02F233D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2009" w:type="pct"/>
                  <w:gridSpan w:val="2"/>
                  <w:tcBorders>
                    <w:left w:val="single" w:color="auto" w:sz="4" w:space="0"/>
                  </w:tcBorders>
                  <w:vAlign w:val="center"/>
                </w:tcPr>
                <w:p w14:paraId="5B82255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短路电流 Isc</w:t>
                  </w:r>
                </w:p>
              </w:tc>
              <w:tc>
                <w:tcPr>
                  <w:tcW w:w="945" w:type="pct"/>
                  <w:vAlign w:val="center"/>
                </w:tcPr>
                <w:p w14:paraId="50B5412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p>
              </w:tc>
              <w:tc>
                <w:tcPr>
                  <w:tcW w:w="1392" w:type="pct"/>
                  <w:vAlign w:val="center"/>
                </w:tcPr>
                <w:p w14:paraId="6A8589D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15.11</w:t>
                  </w:r>
                </w:p>
              </w:tc>
            </w:tr>
            <w:tr w14:paraId="52FA4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254508B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2009" w:type="pct"/>
                  <w:gridSpan w:val="2"/>
                  <w:tcBorders>
                    <w:left w:val="single" w:color="auto" w:sz="4" w:space="0"/>
                  </w:tcBorders>
                  <w:vAlign w:val="center"/>
                </w:tcPr>
                <w:p w14:paraId="367E974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工作电压 Vmppt</w:t>
                  </w:r>
                </w:p>
              </w:tc>
              <w:tc>
                <w:tcPr>
                  <w:tcW w:w="945" w:type="pct"/>
                  <w:vAlign w:val="center"/>
                </w:tcPr>
                <w:p w14:paraId="50FBB8D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V</w:t>
                  </w:r>
                </w:p>
              </w:tc>
              <w:tc>
                <w:tcPr>
                  <w:tcW w:w="1392" w:type="pct"/>
                  <w:vAlign w:val="center"/>
                </w:tcPr>
                <w:p w14:paraId="52767BD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43.51</w:t>
                  </w:r>
                </w:p>
              </w:tc>
            </w:tr>
            <w:tr w14:paraId="02CD0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5C613A5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2009" w:type="pct"/>
                  <w:gridSpan w:val="2"/>
                  <w:tcBorders>
                    <w:left w:val="single" w:color="auto" w:sz="4" w:space="0"/>
                  </w:tcBorders>
                  <w:vAlign w:val="center"/>
                </w:tcPr>
                <w:p w14:paraId="5C1F8AD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工作电流 Imppt</w:t>
                  </w:r>
                </w:p>
              </w:tc>
              <w:tc>
                <w:tcPr>
                  <w:tcW w:w="945" w:type="pct"/>
                  <w:vAlign w:val="center"/>
                </w:tcPr>
                <w:p w14:paraId="60C7757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p>
              </w:tc>
              <w:tc>
                <w:tcPr>
                  <w:tcW w:w="1392" w:type="pct"/>
                  <w:vAlign w:val="center"/>
                </w:tcPr>
                <w:p w14:paraId="7BED87D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14.25</w:t>
                  </w:r>
                </w:p>
              </w:tc>
            </w:tr>
            <w:tr w14:paraId="0F829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08508F5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2009" w:type="pct"/>
                  <w:gridSpan w:val="2"/>
                  <w:tcBorders>
                    <w:left w:val="single" w:color="auto" w:sz="4" w:space="0"/>
                  </w:tcBorders>
                  <w:vAlign w:val="center"/>
                </w:tcPr>
                <w:p w14:paraId="7F8FD24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峰值功率温度系数</w:t>
                  </w:r>
                </w:p>
              </w:tc>
              <w:tc>
                <w:tcPr>
                  <w:tcW w:w="945" w:type="pct"/>
                  <w:vAlign w:val="center"/>
                </w:tcPr>
                <w:p w14:paraId="450FE45F">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%/K</w:t>
                  </w:r>
                </w:p>
              </w:tc>
              <w:tc>
                <w:tcPr>
                  <w:tcW w:w="1392" w:type="pct"/>
                  <w:vAlign w:val="center"/>
                </w:tcPr>
                <w:p w14:paraId="4BF30C8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-0.30</w:t>
                  </w:r>
                </w:p>
              </w:tc>
            </w:tr>
            <w:tr w14:paraId="55B53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2F50BAE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2009" w:type="pct"/>
                  <w:gridSpan w:val="2"/>
                  <w:tcBorders>
                    <w:left w:val="single" w:color="auto" w:sz="4" w:space="0"/>
                  </w:tcBorders>
                  <w:vAlign w:val="center"/>
                </w:tcPr>
                <w:p w14:paraId="45F2A5C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开路电压温度系数</w:t>
                  </w:r>
                </w:p>
              </w:tc>
              <w:tc>
                <w:tcPr>
                  <w:tcW w:w="945" w:type="pct"/>
                  <w:vAlign w:val="center"/>
                </w:tcPr>
                <w:p w14:paraId="6833CF8B">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%/K</w:t>
                  </w:r>
                </w:p>
              </w:tc>
              <w:tc>
                <w:tcPr>
                  <w:tcW w:w="1392" w:type="pct"/>
                  <w:vAlign w:val="center"/>
                </w:tcPr>
                <w:p w14:paraId="4F0F4BC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-0.26</w:t>
                  </w:r>
                </w:p>
              </w:tc>
            </w:tr>
            <w:tr w14:paraId="74CF3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153F80B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2009" w:type="pct"/>
                  <w:gridSpan w:val="2"/>
                  <w:tcBorders>
                    <w:left w:val="single" w:color="auto" w:sz="4" w:space="0"/>
                  </w:tcBorders>
                  <w:vAlign w:val="center"/>
                </w:tcPr>
                <w:p w14:paraId="2ED7ADF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10年功率衰降</w:t>
                  </w:r>
                </w:p>
              </w:tc>
              <w:tc>
                <w:tcPr>
                  <w:tcW w:w="945" w:type="pct"/>
                  <w:vAlign w:val="center"/>
                </w:tcPr>
                <w:p w14:paraId="0E2A8CD5">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439007C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14:paraId="37FF1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24AD715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2009" w:type="pct"/>
                  <w:gridSpan w:val="2"/>
                  <w:tcBorders>
                    <w:left w:val="single" w:color="auto" w:sz="4" w:space="0"/>
                  </w:tcBorders>
                  <w:vAlign w:val="center"/>
                </w:tcPr>
                <w:p w14:paraId="2863978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20年功率衰降</w:t>
                  </w:r>
                </w:p>
              </w:tc>
              <w:tc>
                <w:tcPr>
                  <w:tcW w:w="945" w:type="pct"/>
                  <w:vAlign w:val="center"/>
                </w:tcPr>
                <w:p w14:paraId="26FE8718">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530FAC9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r>
            <w:tr w14:paraId="0E769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3A0F638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2009" w:type="pct"/>
                  <w:gridSpan w:val="2"/>
                  <w:tcBorders>
                    <w:left w:val="single" w:color="auto" w:sz="4" w:space="0"/>
                  </w:tcBorders>
                  <w:vAlign w:val="center"/>
                </w:tcPr>
                <w:p w14:paraId="0A27B08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外形尺寸</w:t>
                  </w:r>
                </w:p>
              </w:tc>
              <w:tc>
                <w:tcPr>
                  <w:tcW w:w="945" w:type="pct"/>
                  <w:vAlign w:val="center"/>
                </w:tcPr>
                <w:p w14:paraId="2F6C6D6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mm</w:t>
                  </w:r>
                </w:p>
              </w:tc>
              <w:tc>
                <w:tcPr>
                  <w:tcW w:w="1392" w:type="pct"/>
                  <w:vAlign w:val="center"/>
                </w:tcPr>
                <w:p w14:paraId="4CD5529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2465×1134×35</w:t>
                  </w:r>
                </w:p>
              </w:tc>
            </w:tr>
            <w:tr w14:paraId="62546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094D5D2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1.11</w:t>
                  </w:r>
                </w:p>
              </w:tc>
              <w:tc>
                <w:tcPr>
                  <w:tcW w:w="2009" w:type="pct"/>
                  <w:gridSpan w:val="2"/>
                  <w:tcBorders>
                    <w:left w:val="single" w:color="auto" w:sz="4" w:space="0"/>
                  </w:tcBorders>
                  <w:vAlign w:val="center"/>
                </w:tcPr>
                <w:p w14:paraId="001B1A9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重量</w:t>
                  </w:r>
                </w:p>
              </w:tc>
              <w:tc>
                <w:tcPr>
                  <w:tcW w:w="945" w:type="pct"/>
                  <w:vAlign w:val="center"/>
                </w:tcPr>
                <w:p w14:paraId="01F1C50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kg</w:t>
                  </w:r>
                </w:p>
              </w:tc>
              <w:tc>
                <w:tcPr>
                  <w:tcW w:w="1392" w:type="pct"/>
                  <w:vAlign w:val="center"/>
                </w:tcPr>
                <w:p w14:paraId="25840E3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w:t>
                  </w:r>
                </w:p>
              </w:tc>
            </w:tr>
            <w:tr w14:paraId="2E0BE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3F05CFD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1.12</w:t>
                  </w:r>
                </w:p>
              </w:tc>
              <w:tc>
                <w:tcPr>
                  <w:tcW w:w="2009" w:type="pct"/>
                  <w:gridSpan w:val="2"/>
                  <w:tcBorders>
                    <w:left w:val="single" w:color="auto" w:sz="4" w:space="0"/>
                  </w:tcBorders>
                  <w:vAlign w:val="center"/>
                </w:tcPr>
                <w:p w14:paraId="0B8876F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数量</w:t>
                  </w:r>
                </w:p>
              </w:tc>
              <w:tc>
                <w:tcPr>
                  <w:tcW w:w="945" w:type="pct"/>
                  <w:vAlign w:val="center"/>
                </w:tcPr>
                <w:p w14:paraId="28D5392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块</w:t>
                  </w:r>
                </w:p>
              </w:tc>
              <w:tc>
                <w:tcPr>
                  <w:tcW w:w="1392" w:type="pct"/>
                  <w:vAlign w:val="center"/>
                </w:tcPr>
                <w:p w14:paraId="12475DE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282360</w:t>
                  </w:r>
                </w:p>
              </w:tc>
            </w:tr>
            <w:tr w14:paraId="292E7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661C3F6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r>
                    <w:rPr>
                      <w:rFonts w:hint="eastAsia"/>
                      <w:color w:val="000000" w:themeColor="text1"/>
                      <w:szCs w:val="21"/>
                      <w14:textFill>
                        <w14:solidFill>
                          <w14:schemeClr w14:val="tx1"/>
                        </w14:solidFill>
                      </w14:textFill>
                    </w:rPr>
                    <w:t>3</w:t>
                  </w:r>
                </w:p>
              </w:tc>
              <w:tc>
                <w:tcPr>
                  <w:tcW w:w="2009" w:type="pct"/>
                  <w:gridSpan w:val="2"/>
                  <w:tcBorders>
                    <w:left w:val="single" w:color="auto" w:sz="4" w:space="0"/>
                  </w:tcBorders>
                  <w:vAlign w:val="center"/>
                </w:tcPr>
                <w:p w14:paraId="1132392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向日跟踪方式</w:t>
                  </w:r>
                </w:p>
              </w:tc>
              <w:tc>
                <w:tcPr>
                  <w:tcW w:w="945" w:type="pct"/>
                  <w:vAlign w:val="center"/>
                </w:tcPr>
                <w:p w14:paraId="106B174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1465C3E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固定式</w:t>
                  </w:r>
                </w:p>
              </w:tc>
            </w:tr>
            <w:tr w14:paraId="4B62AB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right w:val="single" w:color="auto" w:sz="4" w:space="0"/>
                  </w:tcBorders>
                  <w:vAlign w:val="center"/>
                </w:tcPr>
                <w:p w14:paraId="3FB5573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r>
                    <w:rPr>
                      <w:rFonts w:hint="eastAsia"/>
                      <w:color w:val="000000" w:themeColor="text1"/>
                      <w:szCs w:val="21"/>
                      <w14:textFill>
                        <w14:solidFill>
                          <w14:schemeClr w14:val="tx1"/>
                        </w14:solidFill>
                      </w14:textFill>
                    </w:rPr>
                    <w:t>4</w:t>
                  </w:r>
                </w:p>
              </w:tc>
              <w:tc>
                <w:tcPr>
                  <w:tcW w:w="2009" w:type="pct"/>
                  <w:gridSpan w:val="2"/>
                  <w:tcBorders>
                    <w:left w:val="single" w:color="auto" w:sz="4" w:space="0"/>
                  </w:tcBorders>
                  <w:vAlign w:val="center"/>
                </w:tcPr>
                <w:p w14:paraId="5DC56CE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固定倾角角度</w:t>
                  </w:r>
                </w:p>
              </w:tc>
              <w:tc>
                <w:tcPr>
                  <w:tcW w:w="945" w:type="pct"/>
                  <w:vAlign w:val="center"/>
                </w:tcPr>
                <w:p w14:paraId="5A3F3D2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92" w:type="pct"/>
                  <w:vAlign w:val="center"/>
                </w:tcPr>
                <w:p w14:paraId="46D415D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r>
                    <w:rPr>
                      <w:color w:val="000000" w:themeColor="text1"/>
                      <w:szCs w:val="21"/>
                      <w14:textFill>
                        <w14:solidFill>
                          <w14:schemeClr w14:val="tx1"/>
                        </w14:solidFill>
                      </w14:textFill>
                    </w:rPr>
                    <w:t>°</w:t>
                  </w:r>
                </w:p>
              </w:tc>
            </w:tr>
            <w:tr w14:paraId="3677A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tcBorders>
                    <w:right w:val="single" w:color="auto" w:sz="4" w:space="0"/>
                  </w:tcBorders>
                  <w:vAlign w:val="center"/>
                </w:tcPr>
                <w:p w14:paraId="0C0CB9B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2、逆变器</w:t>
                  </w:r>
                </w:p>
              </w:tc>
            </w:tr>
            <w:tr w14:paraId="41E4F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vAlign w:val="center"/>
                </w:tcPr>
                <w:p w14:paraId="03BD056C">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2.1</w:t>
                  </w:r>
                </w:p>
              </w:tc>
              <w:tc>
                <w:tcPr>
                  <w:tcW w:w="2009" w:type="pct"/>
                  <w:gridSpan w:val="2"/>
                  <w:vAlign w:val="center"/>
                </w:tcPr>
                <w:p w14:paraId="16E89C9A">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输出功率</w:t>
                  </w:r>
                </w:p>
              </w:tc>
              <w:tc>
                <w:tcPr>
                  <w:tcW w:w="945" w:type="pct"/>
                  <w:vAlign w:val="center"/>
                </w:tcPr>
                <w:p w14:paraId="52ADD3EA">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kW</w:t>
                  </w:r>
                </w:p>
              </w:tc>
              <w:tc>
                <w:tcPr>
                  <w:tcW w:w="1392" w:type="pct"/>
                  <w:tcBorders>
                    <w:right w:val="single" w:color="auto" w:sz="4" w:space="0"/>
                  </w:tcBorders>
                  <w:vAlign w:val="center"/>
                </w:tcPr>
                <w:p w14:paraId="3A2C5E4D">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320</w:t>
                  </w:r>
                </w:p>
              </w:tc>
            </w:tr>
            <w:tr w14:paraId="19062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vAlign w:val="center"/>
                </w:tcPr>
                <w:p w14:paraId="2D744AE6">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2.2</w:t>
                  </w:r>
                </w:p>
              </w:tc>
              <w:tc>
                <w:tcPr>
                  <w:tcW w:w="2009" w:type="pct"/>
                  <w:gridSpan w:val="2"/>
                  <w:vAlign w:val="center"/>
                </w:tcPr>
                <w:p w14:paraId="11F07D40">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最大直流功率</w:t>
                  </w:r>
                </w:p>
              </w:tc>
              <w:tc>
                <w:tcPr>
                  <w:tcW w:w="945" w:type="pct"/>
                  <w:vAlign w:val="center"/>
                </w:tcPr>
                <w:p w14:paraId="78593CC0">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kW</w:t>
                  </w:r>
                </w:p>
              </w:tc>
              <w:tc>
                <w:tcPr>
                  <w:tcW w:w="1392" w:type="pct"/>
                  <w:vAlign w:val="center"/>
                </w:tcPr>
                <w:p w14:paraId="57E8CC8D">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352</w:t>
                  </w:r>
                </w:p>
              </w:tc>
            </w:tr>
            <w:tr w14:paraId="6FAFD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vAlign w:val="center"/>
                </w:tcPr>
                <w:p w14:paraId="007DED9B">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2.3</w:t>
                  </w:r>
                </w:p>
              </w:tc>
              <w:tc>
                <w:tcPr>
                  <w:tcW w:w="2009" w:type="pct"/>
                  <w:gridSpan w:val="2"/>
                  <w:vAlign w:val="center"/>
                </w:tcPr>
                <w:p w14:paraId="6DD0078F">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最大交流电流</w:t>
                  </w:r>
                </w:p>
              </w:tc>
              <w:tc>
                <w:tcPr>
                  <w:tcW w:w="945" w:type="pct"/>
                  <w:vAlign w:val="center"/>
                </w:tcPr>
                <w:p w14:paraId="2C6DD035">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A</w:t>
                  </w:r>
                </w:p>
              </w:tc>
              <w:tc>
                <w:tcPr>
                  <w:tcW w:w="1392" w:type="pct"/>
                  <w:vAlign w:val="center"/>
                </w:tcPr>
                <w:p w14:paraId="74589FED">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254</w:t>
                  </w:r>
                </w:p>
              </w:tc>
            </w:tr>
            <w:tr w14:paraId="6A8E1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vAlign w:val="center"/>
                </w:tcPr>
                <w:p w14:paraId="322645EE">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2.4</w:t>
                  </w:r>
                </w:p>
              </w:tc>
              <w:tc>
                <w:tcPr>
                  <w:tcW w:w="2009" w:type="pct"/>
                  <w:gridSpan w:val="2"/>
                  <w:vAlign w:val="center"/>
                </w:tcPr>
                <w:p w14:paraId="51093D0F">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最高转换效率</w:t>
                  </w:r>
                </w:p>
              </w:tc>
              <w:tc>
                <w:tcPr>
                  <w:tcW w:w="945" w:type="pct"/>
                  <w:vAlign w:val="center"/>
                </w:tcPr>
                <w:p w14:paraId="11F47191">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2B19D7BA">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99.03</w:t>
                  </w:r>
                </w:p>
              </w:tc>
            </w:tr>
            <w:tr w14:paraId="3EE97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vAlign w:val="center"/>
                </w:tcPr>
                <w:p w14:paraId="2820C030">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2.5</w:t>
                  </w:r>
                </w:p>
              </w:tc>
              <w:tc>
                <w:tcPr>
                  <w:tcW w:w="2009" w:type="pct"/>
                  <w:gridSpan w:val="2"/>
                  <w:vAlign w:val="center"/>
                </w:tcPr>
                <w:p w14:paraId="024B1950">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中国效率</w:t>
                  </w:r>
                </w:p>
              </w:tc>
              <w:tc>
                <w:tcPr>
                  <w:tcW w:w="945" w:type="pct"/>
                  <w:vAlign w:val="center"/>
                </w:tcPr>
                <w:p w14:paraId="00009D75">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2DE1329D">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98.58</w:t>
                  </w:r>
                </w:p>
              </w:tc>
            </w:tr>
            <w:tr w14:paraId="2AE77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vAlign w:val="center"/>
                </w:tcPr>
                <w:p w14:paraId="0E0698EF">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2.6</w:t>
                  </w:r>
                </w:p>
              </w:tc>
              <w:tc>
                <w:tcPr>
                  <w:tcW w:w="2009" w:type="pct"/>
                  <w:gridSpan w:val="2"/>
                  <w:vAlign w:val="center"/>
                </w:tcPr>
                <w:p w14:paraId="60DD7009">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最大功率跟踪（MPPT）范围</w:t>
                  </w:r>
                </w:p>
              </w:tc>
              <w:tc>
                <w:tcPr>
                  <w:tcW w:w="945" w:type="pct"/>
                  <w:vAlign w:val="center"/>
                </w:tcPr>
                <w:p w14:paraId="1FDC0637">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VDC</w:t>
                  </w:r>
                </w:p>
              </w:tc>
              <w:tc>
                <w:tcPr>
                  <w:tcW w:w="1392" w:type="pct"/>
                  <w:vAlign w:val="center"/>
                </w:tcPr>
                <w:p w14:paraId="23106DCD">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500~1500</w:t>
                  </w:r>
                </w:p>
              </w:tc>
            </w:tr>
            <w:tr w14:paraId="2B662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vAlign w:val="center"/>
                </w:tcPr>
                <w:p w14:paraId="048CFF8D">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2.7</w:t>
                  </w:r>
                </w:p>
              </w:tc>
              <w:tc>
                <w:tcPr>
                  <w:tcW w:w="2009" w:type="pct"/>
                  <w:gridSpan w:val="2"/>
                  <w:vAlign w:val="center"/>
                </w:tcPr>
                <w:p w14:paraId="46988574">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最大直流输入电流</w:t>
                  </w:r>
                </w:p>
              </w:tc>
              <w:tc>
                <w:tcPr>
                  <w:tcW w:w="945" w:type="pct"/>
                  <w:vAlign w:val="center"/>
                </w:tcPr>
                <w:p w14:paraId="1A046C24">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A</w:t>
                  </w:r>
                </w:p>
              </w:tc>
              <w:tc>
                <w:tcPr>
                  <w:tcW w:w="1392" w:type="pct"/>
                  <w:vAlign w:val="center"/>
                </w:tcPr>
                <w:p w14:paraId="5D8E105A">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r>
            <w:tr w14:paraId="5F033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vAlign w:val="center"/>
                </w:tcPr>
                <w:p w14:paraId="3CE64349">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2.8</w:t>
                  </w:r>
                </w:p>
              </w:tc>
              <w:tc>
                <w:tcPr>
                  <w:tcW w:w="2009" w:type="pct"/>
                  <w:gridSpan w:val="2"/>
                  <w:vAlign w:val="center"/>
                </w:tcPr>
                <w:p w14:paraId="0911468E">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额定交流输出电压</w:t>
                  </w:r>
                </w:p>
              </w:tc>
              <w:tc>
                <w:tcPr>
                  <w:tcW w:w="945" w:type="pct"/>
                  <w:vAlign w:val="center"/>
                </w:tcPr>
                <w:p w14:paraId="44708A7C">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V</w:t>
                  </w:r>
                </w:p>
              </w:tc>
              <w:tc>
                <w:tcPr>
                  <w:tcW w:w="1392" w:type="pct"/>
                  <w:vAlign w:val="center"/>
                </w:tcPr>
                <w:p w14:paraId="716CA4D7">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800V,3W+PE</w:t>
                  </w:r>
                </w:p>
              </w:tc>
            </w:tr>
            <w:tr w14:paraId="2B7F4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vAlign w:val="center"/>
                </w:tcPr>
                <w:p w14:paraId="4998874F">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2.9</w:t>
                  </w:r>
                </w:p>
              </w:tc>
              <w:tc>
                <w:tcPr>
                  <w:tcW w:w="2009" w:type="pct"/>
                  <w:gridSpan w:val="2"/>
                  <w:vAlign w:val="center"/>
                </w:tcPr>
                <w:p w14:paraId="1AEF01F8">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输出频率范围</w:t>
                  </w:r>
                </w:p>
              </w:tc>
              <w:tc>
                <w:tcPr>
                  <w:tcW w:w="945" w:type="pct"/>
                  <w:vAlign w:val="center"/>
                </w:tcPr>
                <w:p w14:paraId="17C5655A">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Hz</w:t>
                  </w:r>
                </w:p>
              </w:tc>
              <w:tc>
                <w:tcPr>
                  <w:tcW w:w="1392" w:type="pct"/>
                  <w:vAlign w:val="center"/>
                </w:tcPr>
                <w:p w14:paraId="21DE0BAB">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r>
            <w:tr w14:paraId="0A753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vAlign w:val="center"/>
                </w:tcPr>
                <w:p w14:paraId="5D0FF939">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2.10</w:t>
                  </w:r>
                </w:p>
              </w:tc>
              <w:tc>
                <w:tcPr>
                  <w:tcW w:w="2009" w:type="pct"/>
                  <w:gridSpan w:val="2"/>
                  <w:vAlign w:val="center"/>
                </w:tcPr>
                <w:p w14:paraId="71275563">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功率因数</w:t>
                  </w:r>
                </w:p>
              </w:tc>
              <w:tc>
                <w:tcPr>
                  <w:tcW w:w="945" w:type="pct"/>
                  <w:vAlign w:val="center"/>
                </w:tcPr>
                <w:p w14:paraId="22CF160F">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392" w:type="pct"/>
                  <w:vAlign w:val="center"/>
                </w:tcPr>
                <w:p w14:paraId="04193DD8">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0.8超前...0.8滞后</w:t>
                  </w:r>
                </w:p>
              </w:tc>
            </w:tr>
            <w:tr w14:paraId="02F13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vAlign w:val="center"/>
                </w:tcPr>
                <w:p w14:paraId="25FB3470">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2.11</w:t>
                  </w:r>
                </w:p>
              </w:tc>
              <w:tc>
                <w:tcPr>
                  <w:tcW w:w="2009" w:type="pct"/>
                  <w:gridSpan w:val="2"/>
                  <w:vAlign w:val="center"/>
                </w:tcPr>
                <w:p w14:paraId="571D5C5F">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宽/高/厚</w:t>
                  </w:r>
                </w:p>
              </w:tc>
              <w:tc>
                <w:tcPr>
                  <w:tcW w:w="945" w:type="pct"/>
                  <w:vAlign w:val="center"/>
                </w:tcPr>
                <w:p w14:paraId="7F248C49">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mm</w:t>
                  </w:r>
                </w:p>
              </w:tc>
              <w:tc>
                <w:tcPr>
                  <w:tcW w:w="1392" w:type="pct"/>
                  <w:vAlign w:val="center"/>
                </w:tcPr>
                <w:p w14:paraId="6313D58F">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1035×735×350mm</w:t>
                  </w:r>
                </w:p>
              </w:tc>
            </w:tr>
            <w:tr w14:paraId="06C0F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vAlign w:val="center"/>
                </w:tcPr>
                <w:p w14:paraId="5D2F3BDC">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2.12</w:t>
                  </w:r>
                </w:p>
              </w:tc>
              <w:tc>
                <w:tcPr>
                  <w:tcW w:w="2009" w:type="pct"/>
                  <w:gridSpan w:val="2"/>
                  <w:vAlign w:val="center"/>
                </w:tcPr>
                <w:p w14:paraId="7D8E345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重量</w:t>
                  </w:r>
                </w:p>
              </w:tc>
              <w:tc>
                <w:tcPr>
                  <w:tcW w:w="945" w:type="pct"/>
                  <w:vAlign w:val="center"/>
                </w:tcPr>
                <w:p w14:paraId="7F6D2954">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kg</w:t>
                  </w:r>
                </w:p>
              </w:tc>
              <w:tc>
                <w:tcPr>
                  <w:tcW w:w="1392" w:type="pct"/>
                  <w:vAlign w:val="center"/>
                </w:tcPr>
                <w:p w14:paraId="2FC0EAE5">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140 kg</w:t>
                  </w:r>
                </w:p>
              </w:tc>
            </w:tr>
            <w:tr w14:paraId="52B98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vAlign w:val="center"/>
                </w:tcPr>
                <w:p w14:paraId="31BDED49">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2.13</w:t>
                  </w:r>
                </w:p>
              </w:tc>
              <w:tc>
                <w:tcPr>
                  <w:tcW w:w="2009" w:type="pct"/>
                  <w:gridSpan w:val="2"/>
                  <w:vAlign w:val="center"/>
                </w:tcPr>
                <w:p w14:paraId="5101241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工作环境温度范围</w:t>
                  </w:r>
                </w:p>
              </w:tc>
              <w:tc>
                <w:tcPr>
                  <w:tcW w:w="945" w:type="pct"/>
                  <w:vAlign w:val="center"/>
                </w:tcPr>
                <w:p w14:paraId="475CDBB9">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2E98052C">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-30～60</w:t>
                  </w:r>
                </w:p>
              </w:tc>
            </w:tr>
            <w:tr w14:paraId="79290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53" w:type="pct"/>
                  <w:gridSpan w:val="2"/>
                  <w:tcBorders>
                    <w:bottom w:val="single" w:color="auto" w:sz="4" w:space="0"/>
                  </w:tcBorders>
                  <w:vAlign w:val="center"/>
                </w:tcPr>
                <w:p w14:paraId="07957D60">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2.14</w:t>
                  </w:r>
                </w:p>
              </w:tc>
              <w:tc>
                <w:tcPr>
                  <w:tcW w:w="2009" w:type="pct"/>
                  <w:gridSpan w:val="2"/>
                  <w:tcBorders>
                    <w:bottom w:val="single" w:color="auto" w:sz="4" w:space="0"/>
                  </w:tcBorders>
                  <w:vAlign w:val="center"/>
                </w:tcPr>
                <w:p w14:paraId="60579EF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数量</w:t>
                  </w:r>
                </w:p>
              </w:tc>
              <w:tc>
                <w:tcPr>
                  <w:tcW w:w="945" w:type="pct"/>
                  <w:tcBorders>
                    <w:bottom w:val="single" w:color="auto" w:sz="4" w:space="0"/>
                  </w:tcBorders>
                  <w:vAlign w:val="center"/>
                </w:tcPr>
                <w:p w14:paraId="38BBD5D2">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台</w:t>
                  </w:r>
                </w:p>
              </w:tc>
              <w:tc>
                <w:tcPr>
                  <w:tcW w:w="1392" w:type="pct"/>
                  <w:tcBorders>
                    <w:bottom w:val="single" w:color="auto" w:sz="4" w:space="0"/>
                  </w:tcBorders>
                  <w:vAlign w:val="center"/>
                </w:tcPr>
                <w:p w14:paraId="0416E15F">
                  <w:pPr>
                    <w:spacing w:line="360" w:lineRule="exact"/>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470</w:t>
                  </w:r>
                </w:p>
              </w:tc>
            </w:tr>
            <w:tr w14:paraId="39680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tcBorders>
                    <w:top w:val="single" w:color="auto" w:sz="4" w:space="0"/>
                    <w:bottom w:val="single" w:color="auto" w:sz="4" w:space="0"/>
                    <w:right w:val="single" w:color="auto" w:sz="4" w:space="0"/>
                  </w:tcBorders>
                  <w:vAlign w:val="center"/>
                </w:tcPr>
                <w:p w14:paraId="1FAA827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3、出线回路数、电压等级</w:t>
                  </w:r>
                </w:p>
              </w:tc>
            </w:tr>
            <w:tr w14:paraId="172EA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tcBorders>
                    <w:top w:val="single" w:color="auto" w:sz="4" w:space="0"/>
                  </w:tcBorders>
                  <w:vAlign w:val="center"/>
                </w:tcPr>
                <w:p w14:paraId="212E6A2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w:t>
                  </w:r>
                </w:p>
              </w:tc>
              <w:tc>
                <w:tcPr>
                  <w:tcW w:w="2007" w:type="pct"/>
                  <w:gridSpan w:val="2"/>
                  <w:tcBorders>
                    <w:top w:val="single" w:color="auto" w:sz="4" w:space="0"/>
                  </w:tcBorders>
                  <w:vAlign w:val="center"/>
                </w:tcPr>
                <w:p w14:paraId="30E16E2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出线回路数</w:t>
                  </w:r>
                </w:p>
              </w:tc>
              <w:tc>
                <w:tcPr>
                  <w:tcW w:w="952" w:type="pct"/>
                  <w:gridSpan w:val="2"/>
                  <w:tcBorders>
                    <w:top w:val="single" w:color="auto" w:sz="4" w:space="0"/>
                  </w:tcBorders>
                  <w:vAlign w:val="center"/>
                </w:tcPr>
                <w:p w14:paraId="223FCC0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回</w:t>
                  </w:r>
                </w:p>
              </w:tc>
              <w:tc>
                <w:tcPr>
                  <w:tcW w:w="1392" w:type="pct"/>
                  <w:tcBorders>
                    <w:top w:val="single" w:color="auto" w:sz="4" w:space="0"/>
                  </w:tcBorders>
                  <w:vAlign w:val="center"/>
                </w:tcPr>
                <w:p w14:paraId="03A063A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r>
            <w:tr w14:paraId="2C242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3B005AA">
                  <w:pPr>
                    <w:spacing w:line="36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2</w:t>
                  </w:r>
                </w:p>
              </w:tc>
              <w:tc>
                <w:tcPr>
                  <w:tcW w:w="2007" w:type="pct"/>
                  <w:gridSpan w:val="2"/>
                  <w:vAlign w:val="center"/>
                </w:tcPr>
                <w:p w14:paraId="53F30E7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电压等级</w:t>
                  </w:r>
                </w:p>
              </w:tc>
              <w:tc>
                <w:tcPr>
                  <w:tcW w:w="952" w:type="pct"/>
                  <w:gridSpan w:val="2"/>
                  <w:vAlign w:val="center"/>
                </w:tcPr>
                <w:p w14:paraId="3624B2E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kV</w:t>
                  </w:r>
                </w:p>
              </w:tc>
              <w:tc>
                <w:tcPr>
                  <w:tcW w:w="1392" w:type="pct"/>
                  <w:vAlign w:val="center"/>
                </w:tcPr>
                <w:p w14:paraId="1406947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r>
            <w:tr w14:paraId="680B2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vAlign w:val="center"/>
                </w:tcPr>
                <w:p w14:paraId="30A70EE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4、升压箱变</w:t>
                  </w:r>
                </w:p>
              </w:tc>
            </w:tr>
            <w:tr w14:paraId="07211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2B18314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w:t>
                  </w:r>
                </w:p>
              </w:tc>
              <w:tc>
                <w:tcPr>
                  <w:tcW w:w="2007" w:type="pct"/>
                  <w:gridSpan w:val="2"/>
                  <w:vAlign w:val="center"/>
                </w:tcPr>
                <w:p w14:paraId="549AB68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952" w:type="pct"/>
                  <w:gridSpan w:val="2"/>
                  <w:vAlign w:val="center"/>
                </w:tcPr>
                <w:p w14:paraId="448AD54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3B44846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S18-2000、3150/35</w:t>
                  </w:r>
                </w:p>
              </w:tc>
            </w:tr>
            <w:tr w14:paraId="55799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538F5AD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w:t>
                  </w:r>
                </w:p>
              </w:tc>
              <w:tc>
                <w:tcPr>
                  <w:tcW w:w="2007" w:type="pct"/>
                  <w:gridSpan w:val="2"/>
                  <w:vAlign w:val="center"/>
                </w:tcPr>
                <w:p w14:paraId="3C346FB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额定容量</w:t>
                  </w:r>
                </w:p>
              </w:tc>
              <w:tc>
                <w:tcPr>
                  <w:tcW w:w="952" w:type="pct"/>
                  <w:gridSpan w:val="2"/>
                  <w:vAlign w:val="center"/>
                </w:tcPr>
                <w:p w14:paraId="5C8719D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MVA</w:t>
                  </w:r>
                </w:p>
              </w:tc>
              <w:tc>
                <w:tcPr>
                  <w:tcW w:w="1392" w:type="pct"/>
                  <w:vAlign w:val="center"/>
                </w:tcPr>
                <w:p w14:paraId="3BBAFF2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2/3.15</w:t>
                  </w:r>
                </w:p>
              </w:tc>
            </w:tr>
            <w:tr w14:paraId="67333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17ECA5D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w:t>
                  </w:r>
                </w:p>
              </w:tc>
              <w:tc>
                <w:tcPr>
                  <w:tcW w:w="2007" w:type="pct"/>
                  <w:gridSpan w:val="2"/>
                  <w:vAlign w:val="center"/>
                </w:tcPr>
                <w:p w14:paraId="68FD099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电压比</w:t>
                  </w:r>
                </w:p>
              </w:tc>
              <w:tc>
                <w:tcPr>
                  <w:tcW w:w="952" w:type="pct"/>
                  <w:gridSpan w:val="2"/>
                  <w:vAlign w:val="center"/>
                </w:tcPr>
                <w:p w14:paraId="3B6938F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3A5069F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37±2×2.5%/0.8kV</w:t>
                  </w:r>
                </w:p>
              </w:tc>
            </w:tr>
            <w:tr w14:paraId="2171E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1B9672A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w:t>
                  </w:r>
                </w:p>
              </w:tc>
              <w:tc>
                <w:tcPr>
                  <w:tcW w:w="2007" w:type="pct"/>
                  <w:gridSpan w:val="2"/>
                  <w:vAlign w:val="center"/>
                </w:tcPr>
                <w:p w14:paraId="1815BD8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接线组别</w:t>
                  </w:r>
                </w:p>
              </w:tc>
              <w:tc>
                <w:tcPr>
                  <w:tcW w:w="952" w:type="pct"/>
                  <w:gridSpan w:val="2"/>
                  <w:vAlign w:val="center"/>
                </w:tcPr>
                <w:p w14:paraId="40D7A17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3D40ACE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Yd11</w:t>
                  </w:r>
                </w:p>
              </w:tc>
            </w:tr>
            <w:tr w14:paraId="5BA94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0D7B8B5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w:t>
                  </w:r>
                </w:p>
              </w:tc>
              <w:tc>
                <w:tcPr>
                  <w:tcW w:w="2007" w:type="pct"/>
                  <w:gridSpan w:val="2"/>
                  <w:vAlign w:val="center"/>
                </w:tcPr>
                <w:p w14:paraId="3373FFC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阻抗电压</w:t>
                  </w:r>
                </w:p>
              </w:tc>
              <w:tc>
                <w:tcPr>
                  <w:tcW w:w="952" w:type="pct"/>
                  <w:gridSpan w:val="2"/>
                  <w:vAlign w:val="center"/>
                </w:tcPr>
                <w:p w14:paraId="08FBB85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27CEF51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r>
            <w:tr w14:paraId="4106C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1185DFA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w:t>
                  </w:r>
                </w:p>
              </w:tc>
              <w:tc>
                <w:tcPr>
                  <w:tcW w:w="2007" w:type="pct"/>
                  <w:gridSpan w:val="2"/>
                  <w:vAlign w:val="center"/>
                </w:tcPr>
                <w:p w14:paraId="3191EA5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35kV侧断路器</w:t>
                  </w:r>
                </w:p>
              </w:tc>
              <w:tc>
                <w:tcPr>
                  <w:tcW w:w="952" w:type="pct"/>
                  <w:gridSpan w:val="2"/>
                  <w:vAlign w:val="center"/>
                </w:tcPr>
                <w:p w14:paraId="421BC93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0B79DDC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真空断路器，31.5kA/4s</w:t>
                  </w:r>
                </w:p>
              </w:tc>
            </w:tr>
            <w:tr w14:paraId="46348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vAlign w:val="center"/>
                </w:tcPr>
                <w:p w14:paraId="5F56A5D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二、升压站</w:t>
                  </w:r>
                </w:p>
              </w:tc>
            </w:tr>
            <w:tr w14:paraId="4136B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6EB5E7F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编号</w:t>
                  </w:r>
                </w:p>
              </w:tc>
              <w:tc>
                <w:tcPr>
                  <w:tcW w:w="2007" w:type="pct"/>
                  <w:gridSpan w:val="2"/>
                  <w:vAlign w:val="center"/>
                </w:tcPr>
                <w:p w14:paraId="799610F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952" w:type="pct"/>
                  <w:gridSpan w:val="2"/>
                  <w:vAlign w:val="center"/>
                </w:tcPr>
                <w:p w14:paraId="26649F5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1392" w:type="pct"/>
                  <w:vAlign w:val="center"/>
                </w:tcPr>
                <w:p w14:paraId="0F18EE7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r>
            <w:tr w14:paraId="7393B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vAlign w:val="center"/>
                </w:tcPr>
                <w:p w14:paraId="5A13F35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1、主变压器</w:t>
                  </w:r>
                </w:p>
              </w:tc>
            </w:tr>
            <w:tr w14:paraId="26EE2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3595721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2007" w:type="pct"/>
                  <w:gridSpan w:val="2"/>
                  <w:vAlign w:val="center"/>
                </w:tcPr>
                <w:p w14:paraId="23B89D5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952" w:type="pct"/>
                  <w:gridSpan w:val="2"/>
                  <w:vAlign w:val="center"/>
                </w:tcPr>
                <w:p w14:paraId="3FE3B7A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1392" w:type="pct"/>
                  <w:vAlign w:val="center"/>
                </w:tcPr>
                <w:p w14:paraId="228A9E6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SZ18-150000/220</w:t>
                  </w:r>
                </w:p>
              </w:tc>
            </w:tr>
            <w:tr w14:paraId="76E2D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B58654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2007" w:type="pct"/>
                  <w:gridSpan w:val="2"/>
                  <w:vAlign w:val="center"/>
                </w:tcPr>
                <w:p w14:paraId="04C9FCF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额定容量</w:t>
                  </w:r>
                </w:p>
              </w:tc>
              <w:tc>
                <w:tcPr>
                  <w:tcW w:w="952" w:type="pct"/>
                  <w:gridSpan w:val="2"/>
                  <w:vAlign w:val="center"/>
                </w:tcPr>
                <w:p w14:paraId="78DD85A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MVA</w:t>
                  </w:r>
                </w:p>
              </w:tc>
              <w:tc>
                <w:tcPr>
                  <w:tcW w:w="1392" w:type="pct"/>
                  <w:vAlign w:val="center"/>
                </w:tcPr>
                <w:p w14:paraId="69D6DD8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w:t>
                  </w:r>
                </w:p>
              </w:tc>
            </w:tr>
            <w:tr w14:paraId="08433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4F203B1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2007" w:type="pct"/>
                  <w:gridSpan w:val="2"/>
                  <w:vAlign w:val="center"/>
                </w:tcPr>
                <w:p w14:paraId="2F406ED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电压比</w:t>
                  </w:r>
                </w:p>
              </w:tc>
              <w:tc>
                <w:tcPr>
                  <w:tcW w:w="952" w:type="pct"/>
                  <w:gridSpan w:val="2"/>
                  <w:vAlign w:val="center"/>
                </w:tcPr>
                <w:p w14:paraId="5294C5F0">
                  <w:pPr>
                    <w:spacing w:line="360" w:lineRule="exact"/>
                    <w:jc w:val="center"/>
                    <w:rPr>
                      <w:color w:val="000000" w:themeColor="text1"/>
                      <w:szCs w:val="21"/>
                      <w14:textFill>
                        <w14:solidFill>
                          <w14:schemeClr w14:val="tx1"/>
                        </w14:solidFill>
                      </w14:textFill>
                    </w:rPr>
                  </w:pPr>
                </w:p>
              </w:tc>
              <w:tc>
                <w:tcPr>
                  <w:tcW w:w="1392" w:type="pct"/>
                  <w:vAlign w:val="center"/>
                </w:tcPr>
                <w:p w14:paraId="1395368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230±8×1.25%/37kV</w:t>
                  </w:r>
                </w:p>
              </w:tc>
            </w:tr>
            <w:tr w14:paraId="191A3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48AB64B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2007" w:type="pct"/>
                  <w:gridSpan w:val="2"/>
                  <w:vAlign w:val="center"/>
                </w:tcPr>
                <w:p w14:paraId="4E3A08A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接线组别</w:t>
                  </w:r>
                </w:p>
              </w:tc>
              <w:tc>
                <w:tcPr>
                  <w:tcW w:w="952" w:type="pct"/>
                  <w:gridSpan w:val="2"/>
                  <w:vAlign w:val="center"/>
                </w:tcPr>
                <w:p w14:paraId="0C9016B3">
                  <w:pPr>
                    <w:spacing w:line="360" w:lineRule="exact"/>
                    <w:jc w:val="center"/>
                    <w:rPr>
                      <w:color w:val="000000" w:themeColor="text1"/>
                      <w:szCs w:val="21"/>
                      <w14:textFill>
                        <w14:solidFill>
                          <w14:schemeClr w14:val="tx1"/>
                        </w14:solidFill>
                      </w14:textFill>
                    </w:rPr>
                  </w:pPr>
                </w:p>
              </w:tc>
              <w:tc>
                <w:tcPr>
                  <w:tcW w:w="1392" w:type="pct"/>
                  <w:vAlign w:val="center"/>
                </w:tcPr>
                <w:p w14:paraId="2BB2A2B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Yd11</w:t>
                  </w:r>
                </w:p>
              </w:tc>
            </w:tr>
            <w:tr w14:paraId="1B533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200D83A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2007" w:type="pct"/>
                  <w:gridSpan w:val="2"/>
                  <w:vAlign w:val="center"/>
                </w:tcPr>
                <w:p w14:paraId="4DAB45A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阻抗电压</w:t>
                  </w:r>
                </w:p>
              </w:tc>
              <w:tc>
                <w:tcPr>
                  <w:tcW w:w="952" w:type="pct"/>
                  <w:gridSpan w:val="2"/>
                  <w:vAlign w:val="center"/>
                </w:tcPr>
                <w:p w14:paraId="1A91AFE6">
                  <w:pPr>
                    <w:spacing w:line="360" w:lineRule="exact"/>
                    <w:jc w:val="center"/>
                    <w:rPr>
                      <w:color w:val="000000" w:themeColor="text1"/>
                      <w:szCs w:val="21"/>
                      <w14:textFill>
                        <w14:solidFill>
                          <w14:schemeClr w14:val="tx1"/>
                        </w14:solidFill>
                      </w14:textFill>
                    </w:rPr>
                  </w:pPr>
                </w:p>
              </w:tc>
              <w:tc>
                <w:tcPr>
                  <w:tcW w:w="1392" w:type="pct"/>
                  <w:vAlign w:val="center"/>
                </w:tcPr>
                <w:p w14:paraId="1E1D29E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r>
            <w:tr w14:paraId="2B421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vAlign w:val="center"/>
                </w:tcPr>
                <w:p w14:paraId="13870C1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2、220kV配电装置</w:t>
                  </w:r>
                </w:p>
              </w:tc>
            </w:tr>
            <w:tr w14:paraId="14B65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0219DF8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w:t>
                  </w:r>
                </w:p>
              </w:tc>
              <w:tc>
                <w:tcPr>
                  <w:tcW w:w="2007" w:type="pct"/>
                  <w:gridSpan w:val="2"/>
                  <w:vAlign w:val="center"/>
                </w:tcPr>
                <w:p w14:paraId="6E17EC5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952" w:type="pct"/>
                  <w:gridSpan w:val="2"/>
                  <w:vAlign w:val="center"/>
                </w:tcPr>
                <w:p w14:paraId="32E4DE5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0B24041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ZF1-252</w:t>
                  </w:r>
                </w:p>
              </w:tc>
            </w:tr>
            <w:tr w14:paraId="66C51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5A38D4B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w:t>
                  </w:r>
                </w:p>
              </w:tc>
              <w:tc>
                <w:tcPr>
                  <w:tcW w:w="2007" w:type="pct"/>
                  <w:gridSpan w:val="2"/>
                  <w:vAlign w:val="center"/>
                </w:tcPr>
                <w:p w14:paraId="7BD625E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额定电压</w:t>
                  </w:r>
                </w:p>
              </w:tc>
              <w:tc>
                <w:tcPr>
                  <w:tcW w:w="952" w:type="pct"/>
                  <w:gridSpan w:val="2"/>
                  <w:vAlign w:val="center"/>
                </w:tcPr>
                <w:p w14:paraId="1E38AF7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kV</w:t>
                  </w:r>
                </w:p>
              </w:tc>
              <w:tc>
                <w:tcPr>
                  <w:tcW w:w="1392" w:type="pct"/>
                  <w:vAlign w:val="center"/>
                </w:tcPr>
                <w:p w14:paraId="066D035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252</w:t>
                  </w:r>
                </w:p>
              </w:tc>
            </w:tr>
            <w:tr w14:paraId="1886C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1CEFB90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w:t>
                  </w:r>
                </w:p>
              </w:tc>
              <w:tc>
                <w:tcPr>
                  <w:tcW w:w="2007" w:type="pct"/>
                  <w:gridSpan w:val="2"/>
                  <w:vAlign w:val="center"/>
                </w:tcPr>
                <w:p w14:paraId="43BC765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额定电流</w:t>
                  </w:r>
                </w:p>
              </w:tc>
              <w:tc>
                <w:tcPr>
                  <w:tcW w:w="952" w:type="pct"/>
                  <w:gridSpan w:val="2"/>
                  <w:vAlign w:val="center"/>
                </w:tcPr>
                <w:p w14:paraId="7409CAE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w:t>
                  </w:r>
                </w:p>
              </w:tc>
              <w:tc>
                <w:tcPr>
                  <w:tcW w:w="1392" w:type="pct"/>
                  <w:vAlign w:val="center"/>
                </w:tcPr>
                <w:p w14:paraId="14A31AC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4000</w:t>
                  </w:r>
                </w:p>
              </w:tc>
            </w:tr>
            <w:tr w14:paraId="6A131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0CF0DBE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w:t>
                  </w:r>
                </w:p>
              </w:tc>
              <w:tc>
                <w:tcPr>
                  <w:tcW w:w="2007" w:type="pct"/>
                  <w:gridSpan w:val="2"/>
                  <w:vAlign w:val="center"/>
                </w:tcPr>
                <w:p w14:paraId="010B45F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断路器额定开断电流</w:t>
                  </w:r>
                </w:p>
              </w:tc>
              <w:tc>
                <w:tcPr>
                  <w:tcW w:w="952" w:type="pct"/>
                  <w:gridSpan w:val="2"/>
                  <w:vAlign w:val="center"/>
                </w:tcPr>
                <w:p w14:paraId="1BB5B99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kA</w:t>
                  </w:r>
                </w:p>
              </w:tc>
              <w:tc>
                <w:tcPr>
                  <w:tcW w:w="1392" w:type="pct"/>
                  <w:vAlign w:val="center"/>
                </w:tcPr>
                <w:p w14:paraId="50E2589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r>
            <w:tr w14:paraId="202D4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2DC4BFB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2007" w:type="pct"/>
                  <w:gridSpan w:val="2"/>
                  <w:vAlign w:val="center"/>
                </w:tcPr>
                <w:p w14:paraId="77694C6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动稳定电流</w:t>
                  </w:r>
                </w:p>
              </w:tc>
              <w:tc>
                <w:tcPr>
                  <w:tcW w:w="952" w:type="pct"/>
                  <w:gridSpan w:val="2"/>
                  <w:vAlign w:val="center"/>
                </w:tcPr>
                <w:p w14:paraId="2F03767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kA</w:t>
                  </w:r>
                </w:p>
              </w:tc>
              <w:tc>
                <w:tcPr>
                  <w:tcW w:w="1392" w:type="pct"/>
                  <w:vAlign w:val="center"/>
                </w:tcPr>
                <w:p w14:paraId="51C7D59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125</w:t>
                  </w:r>
                </w:p>
              </w:tc>
            </w:tr>
            <w:tr w14:paraId="433CC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EFDDDB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w:t>
                  </w:r>
                </w:p>
              </w:tc>
              <w:tc>
                <w:tcPr>
                  <w:tcW w:w="2007" w:type="pct"/>
                  <w:gridSpan w:val="2"/>
                  <w:vAlign w:val="center"/>
                </w:tcPr>
                <w:p w14:paraId="6FC64B7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电压互感器</w:t>
                  </w:r>
                </w:p>
              </w:tc>
              <w:tc>
                <w:tcPr>
                  <w:tcW w:w="952" w:type="pct"/>
                  <w:gridSpan w:val="2"/>
                  <w:vAlign w:val="center"/>
                </w:tcPr>
                <w:p w14:paraId="17707FA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14BF32C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220/√3/0.1/√3/0.1</w:t>
                  </w:r>
                </w:p>
                <w:p w14:paraId="402D3CE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0.2(3P)/3P 10VA/10VA</w:t>
                  </w:r>
                </w:p>
              </w:tc>
            </w:tr>
            <w:tr w14:paraId="6C102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F60CED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w:t>
                  </w:r>
                </w:p>
              </w:tc>
              <w:tc>
                <w:tcPr>
                  <w:tcW w:w="2007" w:type="pct"/>
                  <w:gridSpan w:val="2"/>
                  <w:vAlign w:val="center"/>
                </w:tcPr>
                <w:p w14:paraId="3793683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避雷器</w:t>
                  </w:r>
                </w:p>
              </w:tc>
              <w:tc>
                <w:tcPr>
                  <w:tcW w:w="952" w:type="pct"/>
                  <w:gridSpan w:val="2"/>
                  <w:vAlign w:val="center"/>
                </w:tcPr>
                <w:p w14:paraId="0BAD3E4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4724392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Y(10)W(5)-204/532</w:t>
                  </w:r>
                </w:p>
              </w:tc>
            </w:tr>
            <w:tr w14:paraId="25F55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vAlign w:val="center"/>
                </w:tcPr>
                <w:p w14:paraId="41614BE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3、35kV配电装置</w:t>
                  </w:r>
                </w:p>
              </w:tc>
            </w:tr>
            <w:tr w14:paraId="2F988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405480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w:t>
                  </w:r>
                </w:p>
              </w:tc>
              <w:tc>
                <w:tcPr>
                  <w:tcW w:w="2007" w:type="pct"/>
                  <w:gridSpan w:val="2"/>
                  <w:vAlign w:val="center"/>
                </w:tcPr>
                <w:p w14:paraId="7AC5F32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型号</w:t>
                  </w:r>
                </w:p>
              </w:tc>
              <w:tc>
                <w:tcPr>
                  <w:tcW w:w="952" w:type="pct"/>
                  <w:gridSpan w:val="2"/>
                  <w:vAlign w:val="center"/>
                </w:tcPr>
                <w:p w14:paraId="58E737A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11F52F0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KYN61-40.5</w:t>
                  </w:r>
                </w:p>
              </w:tc>
            </w:tr>
            <w:tr w14:paraId="6CBE8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0D6AA0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w:t>
                  </w:r>
                </w:p>
              </w:tc>
              <w:tc>
                <w:tcPr>
                  <w:tcW w:w="2007" w:type="pct"/>
                  <w:gridSpan w:val="2"/>
                  <w:vAlign w:val="center"/>
                </w:tcPr>
                <w:p w14:paraId="53A1CB2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额定电压</w:t>
                  </w:r>
                </w:p>
              </w:tc>
              <w:tc>
                <w:tcPr>
                  <w:tcW w:w="952" w:type="pct"/>
                  <w:gridSpan w:val="2"/>
                  <w:vAlign w:val="center"/>
                </w:tcPr>
                <w:p w14:paraId="7389DAC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kV</w:t>
                  </w:r>
                </w:p>
              </w:tc>
              <w:tc>
                <w:tcPr>
                  <w:tcW w:w="1392" w:type="pct"/>
                  <w:vAlign w:val="center"/>
                </w:tcPr>
                <w:p w14:paraId="79DFB20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40.5</w:t>
                  </w:r>
                </w:p>
              </w:tc>
            </w:tr>
            <w:tr w14:paraId="2E556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1896C60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w:t>
                  </w:r>
                </w:p>
              </w:tc>
              <w:tc>
                <w:tcPr>
                  <w:tcW w:w="2007" w:type="pct"/>
                  <w:gridSpan w:val="2"/>
                  <w:vAlign w:val="center"/>
                </w:tcPr>
                <w:p w14:paraId="78FB38B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额定电流</w:t>
                  </w:r>
                </w:p>
              </w:tc>
              <w:tc>
                <w:tcPr>
                  <w:tcW w:w="952" w:type="pct"/>
                  <w:gridSpan w:val="2"/>
                  <w:vAlign w:val="center"/>
                </w:tcPr>
                <w:p w14:paraId="2506A09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w:t>
                  </w:r>
                </w:p>
              </w:tc>
              <w:tc>
                <w:tcPr>
                  <w:tcW w:w="1392" w:type="pct"/>
                  <w:vAlign w:val="center"/>
                </w:tcPr>
                <w:p w14:paraId="7632447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2500/1250</w:t>
                  </w:r>
                </w:p>
              </w:tc>
            </w:tr>
            <w:tr w14:paraId="7EF1B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32D5EF5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w:t>
                  </w:r>
                </w:p>
              </w:tc>
              <w:tc>
                <w:tcPr>
                  <w:tcW w:w="2007" w:type="pct"/>
                  <w:gridSpan w:val="2"/>
                  <w:vAlign w:val="center"/>
                </w:tcPr>
                <w:p w14:paraId="1FE46CF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断路器额定开断电流</w:t>
                  </w:r>
                </w:p>
              </w:tc>
              <w:tc>
                <w:tcPr>
                  <w:tcW w:w="952" w:type="pct"/>
                  <w:gridSpan w:val="2"/>
                  <w:vAlign w:val="center"/>
                </w:tcPr>
                <w:p w14:paraId="3D0F83B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kA</w:t>
                  </w:r>
                </w:p>
              </w:tc>
              <w:tc>
                <w:tcPr>
                  <w:tcW w:w="1392" w:type="pct"/>
                  <w:vAlign w:val="center"/>
                </w:tcPr>
                <w:p w14:paraId="4F995FD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31.5</w:t>
                  </w:r>
                </w:p>
              </w:tc>
            </w:tr>
            <w:tr w14:paraId="14085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52B44E6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2007" w:type="pct"/>
                  <w:gridSpan w:val="2"/>
                  <w:vAlign w:val="center"/>
                </w:tcPr>
                <w:p w14:paraId="4A3BAFD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动稳定电流</w:t>
                  </w:r>
                </w:p>
              </w:tc>
              <w:tc>
                <w:tcPr>
                  <w:tcW w:w="952" w:type="pct"/>
                  <w:gridSpan w:val="2"/>
                  <w:vAlign w:val="center"/>
                </w:tcPr>
                <w:p w14:paraId="3B058FE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kA</w:t>
                  </w:r>
                </w:p>
              </w:tc>
              <w:tc>
                <w:tcPr>
                  <w:tcW w:w="1392" w:type="pct"/>
                  <w:vAlign w:val="center"/>
                </w:tcPr>
                <w:p w14:paraId="40138A6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r>
            <w:tr w14:paraId="6928F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C0CA15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c>
                <w:tcPr>
                  <w:tcW w:w="2007" w:type="pct"/>
                  <w:gridSpan w:val="2"/>
                  <w:vAlign w:val="center"/>
                </w:tcPr>
                <w:p w14:paraId="1AF97A1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避雷器</w:t>
                  </w:r>
                </w:p>
              </w:tc>
              <w:tc>
                <w:tcPr>
                  <w:tcW w:w="952" w:type="pct"/>
                  <w:gridSpan w:val="2"/>
                  <w:vAlign w:val="center"/>
                </w:tcPr>
                <w:p w14:paraId="773EB2E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92" w:type="pct"/>
                  <w:vAlign w:val="center"/>
                </w:tcPr>
                <w:p w14:paraId="48132B6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HY10W-51/134</w:t>
                  </w:r>
                </w:p>
              </w:tc>
            </w:tr>
            <w:tr w14:paraId="10963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5000" w:type="pct"/>
                  <w:gridSpan w:val="6"/>
                  <w:tcBorders>
                    <w:right w:val="single" w:color="auto" w:sz="4" w:space="0"/>
                  </w:tcBorders>
                  <w:vAlign w:val="center"/>
                </w:tcPr>
                <w:p w14:paraId="7D127F0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三</w:t>
                  </w:r>
                  <w:r>
                    <w:rPr>
                      <w:color w:val="000000" w:themeColor="text1"/>
                      <w:szCs w:val="21"/>
                      <w14:textFill>
                        <w14:solidFill>
                          <w14:schemeClr w14:val="tx1"/>
                        </w14:solidFill>
                      </w14:textFill>
                    </w:rPr>
                    <w:t>、土建施工</w:t>
                  </w:r>
                </w:p>
              </w:tc>
            </w:tr>
            <w:tr w14:paraId="72F56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3F0E560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编号</w:t>
                  </w:r>
                </w:p>
              </w:tc>
              <w:tc>
                <w:tcPr>
                  <w:tcW w:w="2007" w:type="pct"/>
                  <w:gridSpan w:val="2"/>
                  <w:vAlign w:val="center"/>
                </w:tcPr>
                <w:p w14:paraId="6204E24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w:t>
                  </w:r>
                </w:p>
              </w:tc>
              <w:tc>
                <w:tcPr>
                  <w:tcW w:w="952" w:type="pct"/>
                  <w:gridSpan w:val="2"/>
                  <w:vAlign w:val="center"/>
                </w:tcPr>
                <w:p w14:paraId="45F4CE9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1392" w:type="pct"/>
                  <w:vAlign w:val="center"/>
                </w:tcPr>
                <w:p w14:paraId="6BB1B2D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r>
            <w:tr w14:paraId="65D41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50A9B9B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007" w:type="pct"/>
                  <w:gridSpan w:val="2"/>
                  <w:vAlign w:val="center"/>
                </w:tcPr>
                <w:p w14:paraId="1317CD1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光伏组件支架钢材量</w:t>
                  </w:r>
                </w:p>
              </w:tc>
              <w:tc>
                <w:tcPr>
                  <w:tcW w:w="952" w:type="pct"/>
                  <w:gridSpan w:val="2"/>
                  <w:vAlign w:val="center"/>
                </w:tcPr>
                <w:p w14:paraId="6D65B3B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w:t>
                  </w:r>
                </w:p>
              </w:tc>
              <w:tc>
                <w:tcPr>
                  <w:tcW w:w="1392" w:type="pct"/>
                  <w:vAlign w:val="center"/>
                </w:tcPr>
                <w:p w14:paraId="3299510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6655</w:t>
                  </w:r>
                </w:p>
              </w:tc>
            </w:tr>
            <w:tr w14:paraId="666E0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767F87C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007" w:type="pct"/>
                  <w:gridSpan w:val="2"/>
                  <w:vAlign w:val="center"/>
                </w:tcPr>
                <w:p w14:paraId="2A7CCA39">
                  <w:pPr>
                    <w:widowControl/>
                    <w:spacing w:line="360" w:lineRule="exact"/>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支架基础（微孔混凝土灌注桩，桩径150mm，桩长1.8m）</w:t>
                  </w:r>
                </w:p>
              </w:tc>
              <w:tc>
                <w:tcPr>
                  <w:tcW w:w="952" w:type="pct"/>
                  <w:gridSpan w:val="2"/>
                  <w:vAlign w:val="center"/>
                </w:tcPr>
                <w:p w14:paraId="44F6C8D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w:t>
                  </w:r>
                </w:p>
              </w:tc>
              <w:tc>
                <w:tcPr>
                  <w:tcW w:w="1392" w:type="pct"/>
                  <w:vAlign w:val="center"/>
                </w:tcPr>
                <w:p w14:paraId="32973AC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141712</w:t>
                  </w:r>
                </w:p>
              </w:tc>
            </w:tr>
            <w:tr w14:paraId="22E23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vAlign w:val="center"/>
                </w:tcPr>
                <w:p w14:paraId="5CB996C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007" w:type="pct"/>
                  <w:gridSpan w:val="2"/>
                  <w:vAlign w:val="center"/>
                </w:tcPr>
                <w:p w14:paraId="4C35226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箱变基础</w:t>
                  </w:r>
                </w:p>
              </w:tc>
              <w:tc>
                <w:tcPr>
                  <w:tcW w:w="952" w:type="pct"/>
                  <w:gridSpan w:val="2"/>
                  <w:vAlign w:val="center"/>
                </w:tcPr>
                <w:p w14:paraId="00C3B04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座</w:t>
                  </w:r>
                </w:p>
              </w:tc>
              <w:tc>
                <w:tcPr>
                  <w:tcW w:w="1392" w:type="pct"/>
                  <w:vAlign w:val="center"/>
                </w:tcPr>
                <w:p w14:paraId="25D228F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r>
            <w:tr w14:paraId="63CDA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 w:hRule="atLeast"/>
                <w:jc w:val="center"/>
              </w:trPr>
              <w:tc>
                <w:tcPr>
                  <w:tcW w:w="647" w:type="pct"/>
                  <w:tcBorders>
                    <w:bottom w:val="single" w:color="auto" w:sz="4" w:space="0"/>
                  </w:tcBorders>
                  <w:vAlign w:val="center"/>
                </w:tcPr>
                <w:p w14:paraId="64BF9CB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007" w:type="pct"/>
                  <w:gridSpan w:val="2"/>
                  <w:tcBorders>
                    <w:bottom w:val="single" w:color="auto" w:sz="4" w:space="0"/>
                  </w:tcBorders>
                  <w:vAlign w:val="center"/>
                </w:tcPr>
                <w:p w14:paraId="4B7E6A4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施工总工期</w:t>
                  </w:r>
                </w:p>
              </w:tc>
              <w:tc>
                <w:tcPr>
                  <w:tcW w:w="952" w:type="pct"/>
                  <w:gridSpan w:val="2"/>
                  <w:tcBorders>
                    <w:bottom w:val="single" w:color="auto" w:sz="4" w:space="0"/>
                  </w:tcBorders>
                  <w:vAlign w:val="center"/>
                </w:tcPr>
                <w:p w14:paraId="63282F8D">
                  <w:pPr>
                    <w:spacing w:line="360" w:lineRule="exact"/>
                    <w:jc w:val="center"/>
                    <w:rPr>
                      <w:color w:val="000000" w:themeColor="text1"/>
                      <w:szCs w:val="21"/>
                      <w14:textFill>
                        <w14:solidFill>
                          <w14:schemeClr w14:val="tx1"/>
                        </w14:solidFill>
                      </w14:textFill>
                    </w:rPr>
                  </w:pPr>
                  <w:r>
                    <w:rPr>
                      <w:rFonts w:hint="eastAsia"/>
                      <w:color w:val="000000" w:themeColor="text1"/>
                      <w:sz w:val="20"/>
                      <w:szCs w:val="20"/>
                      <w14:textFill>
                        <w14:solidFill>
                          <w14:schemeClr w14:val="tx1"/>
                        </w14:solidFill>
                      </w14:textFill>
                    </w:rPr>
                    <w:t>月</w:t>
                  </w:r>
                </w:p>
              </w:tc>
              <w:tc>
                <w:tcPr>
                  <w:tcW w:w="1392" w:type="pct"/>
                  <w:tcBorders>
                    <w:bottom w:val="single" w:color="auto" w:sz="4" w:space="0"/>
                  </w:tcBorders>
                  <w:vAlign w:val="center"/>
                </w:tcPr>
                <w:p w14:paraId="5CB94BF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6个月</w:t>
                  </w:r>
                </w:p>
              </w:tc>
            </w:tr>
          </w:tbl>
          <w:p w14:paraId="5B240969">
            <w:pPr>
              <w:numPr>
                <w:ilvl w:val="0"/>
                <w:numId w:val="11"/>
              </w:numPr>
              <w:snapToGrid w:val="0"/>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升压站</w:t>
            </w:r>
          </w:p>
          <w:p w14:paraId="6EE5C3F1">
            <w:pPr>
              <w:widowControl/>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升压站及运行管理中心及配套附属设施总占地面积为1.3229公顷，建设1座220kV升压站。</w:t>
            </w:r>
          </w:p>
          <w:p w14:paraId="1D2C83A5">
            <w:pPr>
              <w:widowControl/>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升压站主入口向西，升压站站内的主要建（构）筑物有：综合楼、35kV预制舱、二次预制舱、主变压器基础及油池、架构及避雷针、联合泵房及消防蓄水池、污水处理装置等建（构）筑物。</w:t>
            </w:r>
          </w:p>
          <w:p w14:paraId="18386AA4">
            <w:pPr>
              <w:widowControl/>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主要建构筑物如下表所示：</w:t>
            </w:r>
          </w:p>
          <w:p w14:paraId="37B2E59D">
            <w:pPr>
              <w:widowControl/>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表2-</w:t>
            </w: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升压站主要建构筑物一览表</w:t>
            </w:r>
          </w:p>
          <w:tbl>
            <w:tblPr>
              <w:tblStyle w:val="6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797"/>
              <w:gridCol w:w="2107"/>
              <w:gridCol w:w="786"/>
              <w:gridCol w:w="2054"/>
              <w:gridCol w:w="821"/>
            </w:tblGrid>
            <w:tr w14:paraId="25CF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37" w:type="pct"/>
                  <w:vAlign w:val="center"/>
                </w:tcPr>
                <w:p w14:paraId="5B27065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1083" w:type="pct"/>
                  <w:vAlign w:val="center"/>
                </w:tcPr>
                <w:p w14:paraId="509468B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名称</w:t>
                  </w:r>
                </w:p>
              </w:tc>
              <w:tc>
                <w:tcPr>
                  <w:tcW w:w="1270" w:type="pct"/>
                  <w:vAlign w:val="center"/>
                </w:tcPr>
                <w:p w14:paraId="3141654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建筑/占地面积（m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tc>
              <w:tc>
                <w:tcPr>
                  <w:tcW w:w="474" w:type="pct"/>
                  <w:vAlign w:val="center"/>
                </w:tcPr>
                <w:p w14:paraId="790C7E2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层数</w:t>
                  </w:r>
                </w:p>
              </w:tc>
              <w:tc>
                <w:tcPr>
                  <w:tcW w:w="1238" w:type="pct"/>
                  <w:vAlign w:val="center"/>
                </w:tcPr>
                <w:p w14:paraId="24C177D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结构形式</w:t>
                  </w:r>
                </w:p>
              </w:tc>
              <w:tc>
                <w:tcPr>
                  <w:tcW w:w="495" w:type="pct"/>
                  <w:vAlign w:val="center"/>
                </w:tcPr>
                <w:p w14:paraId="45A445D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层高</w:t>
                  </w:r>
                </w:p>
              </w:tc>
            </w:tr>
            <w:tr w14:paraId="1E36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1D128C3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083" w:type="pct"/>
                  <w:vAlign w:val="center"/>
                </w:tcPr>
                <w:p w14:paraId="66C3E2C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综合楼</w:t>
                  </w:r>
                </w:p>
              </w:tc>
              <w:tc>
                <w:tcPr>
                  <w:tcW w:w="1270" w:type="pct"/>
                  <w:vAlign w:val="center"/>
                </w:tcPr>
                <w:p w14:paraId="0F4B7DE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1205.5</w:t>
                  </w:r>
                </w:p>
              </w:tc>
              <w:tc>
                <w:tcPr>
                  <w:tcW w:w="474" w:type="pct"/>
                  <w:vAlign w:val="center"/>
                </w:tcPr>
                <w:p w14:paraId="289169A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238" w:type="pct"/>
                  <w:vAlign w:val="center"/>
                </w:tcPr>
                <w:p w14:paraId="133D148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框架结构</w:t>
                  </w:r>
                </w:p>
              </w:tc>
              <w:tc>
                <w:tcPr>
                  <w:tcW w:w="495" w:type="pct"/>
                  <w:vAlign w:val="center"/>
                </w:tcPr>
                <w:p w14:paraId="5CD4C86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r>
            <w:tr w14:paraId="7EED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4BD450F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083" w:type="pct"/>
                  <w:vAlign w:val="center"/>
                </w:tcPr>
                <w:p w14:paraId="3C2232B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35kV预制舱</w:t>
                  </w:r>
                </w:p>
              </w:tc>
              <w:tc>
                <w:tcPr>
                  <w:tcW w:w="1270" w:type="pct"/>
                  <w:vAlign w:val="center"/>
                </w:tcPr>
                <w:p w14:paraId="32999F7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w:t>
                  </w:r>
                </w:p>
              </w:tc>
              <w:tc>
                <w:tcPr>
                  <w:tcW w:w="474" w:type="pct"/>
                  <w:vAlign w:val="center"/>
                </w:tcPr>
                <w:p w14:paraId="6975147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38" w:type="pct"/>
                  <w:vAlign w:val="center"/>
                </w:tcPr>
                <w:p w14:paraId="33DEDF1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预制舱</w:t>
                  </w:r>
                </w:p>
              </w:tc>
              <w:tc>
                <w:tcPr>
                  <w:tcW w:w="495" w:type="pct"/>
                  <w:vAlign w:val="center"/>
                </w:tcPr>
                <w:p w14:paraId="48A6923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736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2104497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083" w:type="pct"/>
                  <w:vAlign w:val="center"/>
                </w:tcPr>
                <w:p w14:paraId="0DA44E7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二次预制舱</w:t>
                  </w:r>
                </w:p>
              </w:tc>
              <w:tc>
                <w:tcPr>
                  <w:tcW w:w="1270" w:type="pct"/>
                  <w:vAlign w:val="center"/>
                </w:tcPr>
                <w:p w14:paraId="403F9DB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173</w:t>
                  </w:r>
                </w:p>
              </w:tc>
              <w:tc>
                <w:tcPr>
                  <w:tcW w:w="474" w:type="pct"/>
                  <w:vAlign w:val="center"/>
                </w:tcPr>
                <w:p w14:paraId="0E5CE03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38" w:type="pct"/>
                  <w:vAlign w:val="center"/>
                </w:tcPr>
                <w:p w14:paraId="5A614E4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预制舱</w:t>
                  </w:r>
                </w:p>
              </w:tc>
              <w:tc>
                <w:tcPr>
                  <w:tcW w:w="495" w:type="pct"/>
                  <w:vAlign w:val="center"/>
                </w:tcPr>
                <w:p w14:paraId="42A58EB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22E4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1E11D10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083" w:type="pct"/>
                  <w:vAlign w:val="center"/>
                </w:tcPr>
                <w:p w14:paraId="657EC87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联合泵房</w:t>
                  </w:r>
                </w:p>
              </w:tc>
              <w:tc>
                <w:tcPr>
                  <w:tcW w:w="1270" w:type="pct"/>
                  <w:vAlign w:val="center"/>
                </w:tcPr>
                <w:p w14:paraId="4F43709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51.3</w:t>
                  </w:r>
                </w:p>
              </w:tc>
              <w:tc>
                <w:tcPr>
                  <w:tcW w:w="474" w:type="pct"/>
                  <w:vAlign w:val="center"/>
                </w:tcPr>
                <w:p w14:paraId="4E9C8EC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38" w:type="pct"/>
                  <w:vAlign w:val="center"/>
                </w:tcPr>
                <w:p w14:paraId="7E72C6D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地下箱型，地上砌体</w:t>
                  </w:r>
                </w:p>
              </w:tc>
              <w:tc>
                <w:tcPr>
                  <w:tcW w:w="495" w:type="pct"/>
                  <w:vAlign w:val="center"/>
                </w:tcPr>
                <w:p w14:paraId="1968C97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4.2/3.9</w:t>
                  </w:r>
                </w:p>
              </w:tc>
            </w:tr>
            <w:tr w14:paraId="45E9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05F65E3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083" w:type="pct"/>
                  <w:vAlign w:val="center"/>
                </w:tcPr>
                <w:p w14:paraId="202EFA3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事故油池</w:t>
                  </w:r>
                </w:p>
              </w:tc>
              <w:tc>
                <w:tcPr>
                  <w:tcW w:w="1270" w:type="pct"/>
                  <w:vAlign w:val="center"/>
                </w:tcPr>
                <w:p w14:paraId="50B5C99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474" w:type="pct"/>
                  <w:vAlign w:val="center"/>
                </w:tcPr>
                <w:p w14:paraId="34325B9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38" w:type="pct"/>
                  <w:vAlign w:val="center"/>
                </w:tcPr>
                <w:p w14:paraId="79504AD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钢筋混凝土</w:t>
                  </w:r>
                </w:p>
              </w:tc>
              <w:tc>
                <w:tcPr>
                  <w:tcW w:w="495" w:type="pct"/>
                  <w:vAlign w:val="center"/>
                </w:tcPr>
                <w:p w14:paraId="1134BD9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7CD5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69A837F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083" w:type="pct"/>
                  <w:vAlign w:val="center"/>
                </w:tcPr>
                <w:p w14:paraId="226A47B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一体式污水站</w:t>
                  </w:r>
                </w:p>
              </w:tc>
              <w:tc>
                <w:tcPr>
                  <w:tcW w:w="1270" w:type="pct"/>
                  <w:vAlign w:val="center"/>
                </w:tcPr>
                <w:p w14:paraId="446584D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474" w:type="pct"/>
                  <w:vAlign w:val="center"/>
                </w:tcPr>
                <w:p w14:paraId="6925E4F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238" w:type="pct"/>
                  <w:vAlign w:val="center"/>
                </w:tcPr>
                <w:p w14:paraId="2E756FA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处理能力1m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/h</w:t>
                  </w:r>
                </w:p>
              </w:tc>
              <w:tc>
                <w:tcPr>
                  <w:tcW w:w="495" w:type="pct"/>
                  <w:vAlign w:val="center"/>
                </w:tcPr>
                <w:p w14:paraId="3AAB19B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09CC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Align w:val="center"/>
                </w:tcPr>
                <w:p w14:paraId="752A802C">
                  <w:pPr>
                    <w:spacing w:line="36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1083" w:type="pct"/>
                  <w:vAlign w:val="center"/>
                </w:tcPr>
                <w:p w14:paraId="7862E19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消防蓄水池</w:t>
                  </w:r>
                </w:p>
              </w:tc>
              <w:tc>
                <w:tcPr>
                  <w:tcW w:w="1270" w:type="pct"/>
                  <w:vAlign w:val="center"/>
                </w:tcPr>
                <w:p w14:paraId="592B6E7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w:t>
                  </w:r>
                </w:p>
              </w:tc>
              <w:tc>
                <w:tcPr>
                  <w:tcW w:w="474" w:type="pct"/>
                  <w:vAlign w:val="center"/>
                </w:tcPr>
                <w:p w14:paraId="20BC639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w:t>
                  </w:r>
                </w:p>
              </w:tc>
              <w:tc>
                <w:tcPr>
                  <w:tcW w:w="1238" w:type="pct"/>
                  <w:vAlign w:val="center"/>
                </w:tcPr>
                <w:p w14:paraId="0471AED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钢筋混凝土</w:t>
                  </w:r>
                </w:p>
              </w:tc>
              <w:tc>
                <w:tcPr>
                  <w:tcW w:w="495" w:type="pct"/>
                  <w:vAlign w:val="center"/>
                </w:tcPr>
                <w:p w14:paraId="200BA4A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14:paraId="3AA42C03">
            <w:pPr>
              <w:numPr>
                <w:ilvl w:val="0"/>
                <w:numId w:val="11"/>
              </w:numPr>
              <w:snapToGrid w:val="0"/>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光伏场区及平面布置</w:t>
            </w:r>
          </w:p>
          <w:p w14:paraId="6FF24877">
            <w:pPr>
              <w:widowControl/>
              <w:spacing w:line="440" w:lineRule="exact"/>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本项目光伏场区分为四个区域，额定容量150MW，装机容量175.0632MWp。共设48个光伏发电单元（包括47个3.15MWp发电单元，1个2.0MWp发电单元）。本项目安装320kW组串式逆变器470台。升压箱变48座。</w:t>
            </w:r>
          </w:p>
          <w:p w14:paraId="53D64E1B">
            <w:pPr>
              <w:widowControl/>
              <w:spacing w:line="440" w:lineRule="exact"/>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（1）光伏区总平面布置</w:t>
            </w:r>
          </w:p>
          <w:p w14:paraId="5E3FE9DE">
            <w:pPr>
              <w:widowControl/>
              <w:spacing w:line="440" w:lineRule="exact"/>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该光伏电站48个单元，每个单元配一组箱变。箱变尽量位于阵列中心，以减少电缆长度，降低直流损耗，同时箱变紧邻检修道路，方便安装检修。</w:t>
            </w:r>
          </w:p>
          <w:p w14:paraId="74A438E1">
            <w:pPr>
              <w:widowControl/>
              <w:spacing w:line="440" w:lineRule="exact"/>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光伏区竖向布置采用随坡就势的布置方式，不改变自然地面现状，不进行大面积场平，局部坑沟就地填平即。进入光伏区的道路充分利用现有道路，采用分散就近引接的方式，尽量减少新建道路工程量。每个阵列均有道路连接，满足运行、检修和施工要求。光伏电站内的施工检修道路主要考虑沿箱变修建，满足运行要求。站内道路宽度为4.0m，道路采用碎石路面，路基在原地面基础上整平夯实。道路的纵向坡度结合地形设计，横向坡度为1.5%，满足设备运输及运行管理的需要。</w:t>
            </w:r>
          </w:p>
          <w:p w14:paraId="223D6C23">
            <w:pPr>
              <w:widowControl/>
              <w:spacing w:line="440" w:lineRule="exact"/>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光伏组件选型</w:t>
            </w:r>
          </w:p>
          <w:p w14:paraId="441F3C56">
            <w:pPr>
              <w:widowControl/>
              <w:spacing w:line="440" w:lineRule="exact"/>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本工程光伏场区共47个15MWp发电单元，1个2.0MWp发电单元。采用单片峰值功率620Wp双面单晶高效光伏组件。本期工程合计装机容量为150MVA，需使用620Wp双面光伏组件为</w:t>
            </w:r>
            <w:r>
              <w:rPr>
                <w:color w:val="000000" w:themeColor="text1"/>
                <w:sz w:val="24"/>
                <w14:textFill>
                  <w14:solidFill>
                    <w14:schemeClr w14:val="tx1"/>
                  </w14:solidFill>
                </w14:textFill>
              </w:rPr>
              <w:t>282360</w:t>
            </w:r>
            <w:r>
              <w:rPr>
                <w:rFonts w:hint="eastAsia"/>
                <w:color w:val="000000" w:themeColor="text1"/>
                <w:sz w:val="24"/>
                <w14:textFill>
                  <w14:solidFill>
                    <w14:schemeClr w14:val="tx1"/>
                  </w14:solidFill>
                </w14:textFill>
              </w:rPr>
              <w:t>块。每个发电单元以24件光伏板组件串联为一个组串，每26个组串单元接入1台320kW逆变器，每10/11台320kW组串式逆变器接入1台3150kVA双绕组变压器，每8台320kW组串式逆变器接入1台2000双绕组变压器，将电压从800V升至35kV。</w:t>
            </w:r>
          </w:p>
          <w:p w14:paraId="29525311">
            <w:pPr>
              <w:widowControl/>
              <w:spacing w:line="440" w:lineRule="exact"/>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光伏阵列运行方式</w:t>
            </w:r>
          </w:p>
          <w:p w14:paraId="20F213F3">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采用固定倾角式的运行方式</w:t>
            </w:r>
            <w:r>
              <w:rPr>
                <w:rFonts w:hint="eastAsia"/>
                <w:color w:val="000000" w:themeColor="text1"/>
                <w:sz w:val="24"/>
                <w14:textFill>
                  <w14:solidFill>
                    <w14:schemeClr w14:val="tx1"/>
                  </w14:solidFill>
                </w14:textFill>
              </w:rPr>
              <w:t>，固定倾角为30°，面向正南向</w:t>
            </w:r>
            <w:r>
              <w:rPr>
                <w:color w:val="000000" w:themeColor="text1"/>
                <w:sz w:val="24"/>
                <w14:textFill>
                  <w14:solidFill>
                    <w14:schemeClr w14:val="tx1"/>
                  </w14:solidFill>
                </w14:textFill>
              </w:rPr>
              <w:t>。</w:t>
            </w:r>
          </w:p>
          <w:p w14:paraId="73AA5B18">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支架系统设计</w:t>
            </w:r>
          </w:p>
          <w:p w14:paraId="06D0841F">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光伏阵列支撑采用固定冷弯薄壁型钢支架方式，倾角30度，采用纵向四排布置，采用纵向檩条，横向支架布置方案，一个结构单元内有6榀支架，支架由立柱、横梁及斜撑（或拉梁）组成。</w:t>
            </w:r>
          </w:p>
          <w:p w14:paraId="700159F4">
            <w:pPr>
              <w:adjustRightInd w:val="0"/>
              <w:snapToGrid w:val="0"/>
              <w:spacing w:line="440" w:lineRule="exact"/>
              <w:ind w:firstLine="480" w:firstLineChars="200"/>
              <w:rPr>
                <w:color w:val="000000" w:themeColor="text1"/>
                <w:highlight w:val="green"/>
                <w14:textFill>
                  <w14:solidFill>
                    <w14:schemeClr w14:val="tx1"/>
                  </w14:solidFill>
                </w14:textFill>
              </w:rPr>
            </w:pPr>
            <w:r>
              <w:rPr>
                <w:rFonts w:hint="eastAsia"/>
                <w:color w:val="000000" w:themeColor="text1"/>
                <w:sz w:val="24"/>
                <w14:textFill>
                  <w14:solidFill>
                    <w14:schemeClr w14:val="tx1"/>
                  </w14:solidFill>
                </w14:textFill>
              </w:rPr>
              <w:t>光伏支架基础采用微孔灌注桩基础。微孔灌注桩桩基础具有施工速度较快，没有土方开挖及回填，工程造价低，工期短等优点，适用于本工程的场地特征。</w:t>
            </w:r>
          </w:p>
          <w:tbl>
            <w:tblPr>
              <w:tblStyle w:val="6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60"/>
            </w:tblGrid>
            <w:tr w14:paraId="0648F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5" w:hRule="atLeast"/>
              </w:trPr>
              <w:tc>
                <w:tcPr>
                  <w:tcW w:w="8160" w:type="dxa"/>
                </w:tcPr>
                <w:p w14:paraId="656AC65B">
                  <w:pPr>
                    <w:pStyle w:val="38"/>
                    <w:spacing w:line="440" w:lineRule="exact"/>
                    <w:jc w:val="center"/>
                    <w:rPr>
                      <w:rFonts w:ascii="Times New Roman" w:hAnsi="Times New Roman"/>
                      <w:b/>
                      <w:bCs/>
                      <w:color w:val="000000" w:themeColor="text1"/>
                      <w:sz w:val="24"/>
                      <w14:textFill>
                        <w14:solidFill>
                          <w14:schemeClr w14:val="tx1"/>
                        </w14:solidFill>
                      </w14:textFill>
                    </w:rPr>
                  </w:pPr>
                  <w:r>
                    <w:rPr>
                      <w:rFonts w:ascii="Times New Roman" w:hAnsi="Times New Roman"/>
                      <w:b/>
                      <w:bCs/>
                      <w:color w:val="000000" w:themeColor="text1"/>
                      <w:sz w:val="24"/>
                      <w14:textFill>
                        <w14:solidFill>
                          <w14:schemeClr w14:val="tx1"/>
                        </w14:solidFill>
                      </w14:textFill>
                    </w:rPr>
                    <w:t>图2-</w:t>
                  </w:r>
                  <w:r>
                    <w:rPr>
                      <w:rFonts w:hint="eastAsia" w:ascii="Times New Roman" w:hAnsi="Times New Roman" w:eastAsia="宋体"/>
                      <w:b/>
                      <w:bCs/>
                      <w:color w:val="000000" w:themeColor="text1"/>
                      <w:sz w:val="24"/>
                      <w14:textFill>
                        <w14:solidFill>
                          <w14:schemeClr w14:val="tx1"/>
                        </w14:solidFill>
                      </w14:textFill>
                    </w:rPr>
                    <w:t>1</w:t>
                  </w:r>
                  <w:r>
                    <w:rPr>
                      <w:rFonts w:ascii="Times New Roman" w:hAnsi="Times New Roman"/>
                      <w:b/>
                      <w:bCs/>
                      <w:color w:val="000000" w:themeColor="text1"/>
                      <w:sz w:val="24"/>
                      <w14:textFill>
                        <w14:solidFill>
                          <w14:schemeClr w14:val="tx1"/>
                        </w14:solidFill>
                      </w14:textFill>
                    </w:rPr>
                    <w:t xml:space="preserve">    光伏组件支架典型设计图</w:t>
                  </w:r>
                  <w:r>
                    <w:rPr>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295910</wp:posOffset>
                        </wp:positionH>
                        <wp:positionV relativeFrom="page">
                          <wp:posOffset>43815</wp:posOffset>
                        </wp:positionV>
                        <wp:extent cx="4733925" cy="3684270"/>
                        <wp:effectExtent l="0" t="0" r="9525" b="0"/>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4733925" cy="3684270"/>
                                </a:xfrm>
                                <a:prstGeom prst="rect">
                                  <a:avLst/>
                                </a:prstGeom>
                                <a:noFill/>
                                <a:ln>
                                  <a:noFill/>
                                </a:ln>
                              </pic:spPr>
                            </pic:pic>
                          </a:graphicData>
                        </a:graphic>
                      </wp:anchor>
                    </w:drawing>
                  </w:r>
                </w:p>
              </w:tc>
            </w:tr>
          </w:tbl>
          <w:p w14:paraId="1FA36B2D">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逆变方案</w:t>
            </w:r>
          </w:p>
          <w:p w14:paraId="758C5E41">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采用组串式逆变器方案组；本项目依据现场情况拟采用320kW组串式逆变器。逆变器规格参数下：</w:t>
            </w:r>
          </w:p>
          <w:p w14:paraId="05B8CFE8">
            <w:pPr>
              <w:adjustRightInd w:val="0"/>
              <w:snapToGrid w:val="0"/>
              <w:spacing w:line="440" w:lineRule="exact"/>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表2-6    逆变器技术参数</w:t>
            </w:r>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4213"/>
            </w:tblGrid>
            <w:tr w14:paraId="245D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20CA134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逆变器技术参数</w:t>
                  </w:r>
                </w:p>
              </w:tc>
            </w:tr>
            <w:tr w14:paraId="3B26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5F2A0F2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类型</w:t>
                  </w:r>
                </w:p>
              </w:tc>
              <w:tc>
                <w:tcPr>
                  <w:tcW w:w="2540" w:type="pct"/>
                  <w:vAlign w:val="center"/>
                </w:tcPr>
                <w:p w14:paraId="7458BA0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组串式逆变器</w:t>
                  </w:r>
                </w:p>
              </w:tc>
            </w:tr>
            <w:tr w14:paraId="3B90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76FDF07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输入参数</w:t>
                  </w:r>
                </w:p>
              </w:tc>
            </w:tr>
            <w:tr w14:paraId="5747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4CAB85B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最大直流输入电压</w:t>
                  </w:r>
                </w:p>
              </w:tc>
              <w:tc>
                <w:tcPr>
                  <w:tcW w:w="2540" w:type="pct"/>
                  <w:vAlign w:val="center"/>
                </w:tcPr>
                <w:p w14:paraId="7F32E04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1500V</w:t>
                  </w:r>
                </w:p>
              </w:tc>
            </w:tr>
            <w:tr w14:paraId="3E6F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18EE7FE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MPPT电压范围</w:t>
                  </w:r>
                </w:p>
              </w:tc>
              <w:tc>
                <w:tcPr>
                  <w:tcW w:w="2540" w:type="pct"/>
                  <w:vAlign w:val="center"/>
                </w:tcPr>
                <w:p w14:paraId="1FE95BE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500V~1500V </w:t>
                  </w:r>
                </w:p>
              </w:tc>
            </w:tr>
            <w:tr w14:paraId="1265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4F4459E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每路MPPT最大输入电流</w:t>
                  </w:r>
                </w:p>
              </w:tc>
              <w:tc>
                <w:tcPr>
                  <w:tcW w:w="2540" w:type="pct"/>
                  <w:vAlign w:val="center"/>
                </w:tcPr>
                <w:p w14:paraId="618F5AA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45A</w:t>
                  </w:r>
                </w:p>
              </w:tc>
            </w:tr>
            <w:tr w14:paraId="2E91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18D203A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MPPT路数</w:t>
                  </w:r>
                </w:p>
              </w:tc>
              <w:tc>
                <w:tcPr>
                  <w:tcW w:w="2540" w:type="pct"/>
                  <w:vAlign w:val="center"/>
                </w:tcPr>
                <w:p w14:paraId="4571B9E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12 </w:t>
                  </w:r>
                </w:p>
              </w:tc>
            </w:tr>
            <w:tr w14:paraId="111D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235FA1F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直流输入支路数</w:t>
                  </w:r>
                </w:p>
              </w:tc>
              <w:tc>
                <w:tcPr>
                  <w:tcW w:w="2540" w:type="pct"/>
                  <w:vAlign w:val="center"/>
                </w:tcPr>
                <w:p w14:paraId="7C2CF4C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r>
                    <w:rPr>
                      <w:rFonts w:hint="eastAsia"/>
                      <w:color w:val="000000" w:themeColor="text1"/>
                      <w:szCs w:val="21"/>
                      <w14:textFill>
                        <w14:solidFill>
                          <w14:schemeClr w14:val="tx1"/>
                        </w14:solidFill>
                      </w14:textFill>
                    </w:rPr>
                    <w:t>（可选</w:t>
                  </w:r>
                  <w:r>
                    <w:rPr>
                      <w:color w:val="000000" w:themeColor="text1"/>
                      <w:szCs w:val="21"/>
                      <w14:textFill>
                        <w14:solidFill>
                          <w14:schemeClr w14:val="tx1"/>
                        </w14:solidFill>
                      </w14:textFill>
                    </w:rPr>
                    <w:t xml:space="preserve">28/32) </w:t>
                  </w:r>
                </w:p>
              </w:tc>
            </w:tr>
            <w:tr w14:paraId="391E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1947B9C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输出参数</w:t>
                  </w:r>
                </w:p>
              </w:tc>
            </w:tr>
            <w:tr w14:paraId="4ED7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024A3C1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额定交流输出功率</w:t>
                  </w:r>
                </w:p>
              </w:tc>
              <w:tc>
                <w:tcPr>
                  <w:tcW w:w="2540" w:type="pct"/>
                  <w:vAlign w:val="center"/>
                </w:tcPr>
                <w:p w14:paraId="666D205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320kW</w:t>
                  </w:r>
                </w:p>
              </w:tc>
            </w:tr>
            <w:tr w14:paraId="6314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49346DB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最大交流输出功率</w:t>
                  </w:r>
                </w:p>
              </w:tc>
              <w:tc>
                <w:tcPr>
                  <w:tcW w:w="2540" w:type="pct"/>
                  <w:vAlign w:val="center"/>
                </w:tcPr>
                <w:p w14:paraId="5AE6C40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352kW</w:t>
                  </w:r>
                </w:p>
              </w:tc>
            </w:tr>
            <w:tr w14:paraId="0FC1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6EFA35BC">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额定电网电压（允许范围）</w:t>
                  </w:r>
                </w:p>
              </w:tc>
              <w:tc>
                <w:tcPr>
                  <w:tcW w:w="2540" w:type="pct"/>
                  <w:vAlign w:val="center"/>
                </w:tcPr>
                <w:p w14:paraId="1A3ECD9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800V，3W +PE</w:t>
                  </w:r>
                </w:p>
              </w:tc>
            </w:tr>
            <w:tr w14:paraId="44999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70DE973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额定电网频率</w:t>
                  </w:r>
                </w:p>
              </w:tc>
              <w:tc>
                <w:tcPr>
                  <w:tcW w:w="2540" w:type="pct"/>
                  <w:vAlign w:val="center"/>
                </w:tcPr>
                <w:p w14:paraId="71A3CBE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50Hz</w:t>
                  </w:r>
                </w:p>
              </w:tc>
            </w:tr>
            <w:tr w14:paraId="2EA2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436734E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额定输出电流</w:t>
                  </w:r>
                </w:p>
              </w:tc>
              <w:tc>
                <w:tcPr>
                  <w:tcW w:w="2540" w:type="pct"/>
                  <w:vAlign w:val="center"/>
                </w:tcPr>
                <w:p w14:paraId="12BEFBC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254A</w:t>
                  </w:r>
                </w:p>
              </w:tc>
            </w:tr>
            <w:tr w14:paraId="4FD3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2F2F11A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最大输出电流</w:t>
                  </w:r>
                </w:p>
              </w:tc>
              <w:tc>
                <w:tcPr>
                  <w:tcW w:w="2540" w:type="pct"/>
                  <w:vAlign w:val="center"/>
                </w:tcPr>
                <w:p w14:paraId="652716A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254A </w:t>
                  </w:r>
                </w:p>
              </w:tc>
            </w:tr>
            <w:tr w14:paraId="1214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6966DEB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功率因数</w:t>
                  </w:r>
                </w:p>
              </w:tc>
              <w:tc>
                <w:tcPr>
                  <w:tcW w:w="2540" w:type="pct"/>
                  <w:vAlign w:val="center"/>
                </w:tcPr>
                <w:p w14:paraId="36C0EB4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w:t>
                  </w:r>
                  <w:r>
                    <w:rPr>
                      <w:rFonts w:hint="eastAsia"/>
                      <w:color w:val="000000" w:themeColor="text1"/>
                      <w:szCs w:val="21"/>
                      <w14:textFill>
                        <w14:solidFill>
                          <w14:schemeClr w14:val="tx1"/>
                        </w14:solidFill>
                      </w14:textFill>
                    </w:rPr>
                    <w:t>超前</w:t>
                  </w:r>
                  <w:r>
                    <w:rPr>
                      <w:color w:val="000000" w:themeColor="text1"/>
                      <w:szCs w:val="21"/>
                      <w14:textFill>
                        <w14:solidFill>
                          <w14:schemeClr w14:val="tx1"/>
                        </w14:solidFill>
                      </w14:textFill>
                    </w:rPr>
                    <w:t>...0.8</w:t>
                  </w:r>
                  <w:r>
                    <w:rPr>
                      <w:rFonts w:hint="eastAsia"/>
                      <w:color w:val="000000" w:themeColor="text1"/>
                      <w:szCs w:val="21"/>
                      <w14:textFill>
                        <w14:solidFill>
                          <w14:schemeClr w14:val="tx1"/>
                        </w14:solidFill>
                      </w14:textFill>
                    </w:rPr>
                    <w:t xml:space="preserve">滞后 </w:t>
                  </w:r>
                </w:p>
              </w:tc>
            </w:tr>
            <w:tr w14:paraId="620E2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2D11E903">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最大总谐波失真</w:t>
                  </w:r>
                </w:p>
              </w:tc>
              <w:tc>
                <w:tcPr>
                  <w:tcW w:w="2540" w:type="pct"/>
                  <w:vAlign w:val="center"/>
                </w:tcPr>
                <w:p w14:paraId="74C15B1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 xml:space="preserve">3% </w:t>
                  </w:r>
                </w:p>
              </w:tc>
            </w:tr>
            <w:tr w14:paraId="6D09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687F51B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效率</w:t>
                  </w:r>
                </w:p>
              </w:tc>
            </w:tr>
            <w:tr w14:paraId="6012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07D85C1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最大效率</w:t>
                  </w:r>
                </w:p>
              </w:tc>
              <w:tc>
                <w:tcPr>
                  <w:tcW w:w="2540" w:type="pct"/>
                  <w:vAlign w:val="center"/>
                </w:tcPr>
                <w:p w14:paraId="6EC331B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99.03% </w:t>
                  </w:r>
                </w:p>
              </w:tc>
            </w:tr>
            <w:tr w14:paraId="1D03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26C8320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中国效率</w:t>
                  </w:r>
                </w:p>
              </w:tc>
              <w:tc>
                <w:tcPr>
                  <w:tcW w:w="2540" w:type="pct"/>
                  <w:vAlign w:val="center"/>
                </w:tcPr>
                <w:p w14:paraId="206C1CF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98.58% </w:t>
                  </w:r>
                </w:p>
              </w:tc>
            </w:tr>
            <w:tr w14:paraId="7CF1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2868175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常规参数</w:t>
                  </w:r>
                </w:p>
              </w:tc>
            </w:tr>
            <w:tr w14:paraId="14A6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49779F1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工作环境温度范围</w:t>
                  </w:r>
                </w:p>
              </w:tc>
              <w:tc>
                <w:tcPr>
                  <w:tcW w:w="2540" w:type="pct"/>
                  <w:vAlign w:val="center"/>
                </w:tcPr>
                <w:p w14:paraId="0C4F170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-30℃~+60℃</w:t>
                  </w:r>
                </w:p>
              </w:tc>
            </w:tr>
            <w:tr w14:paraId="2AA7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pct"/>
                  <w:vAlign w:val="center"/>
                </w:tcPr>
                <w:p w14:paraId="77835F8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工作环境湿度范围</w:t>
                  </w:r>
                </w:p>
              </w:tc>
              <w:tc>
                <w:tcPr>
                  <w:tcW w:w="2540" w:type="pct"/>
                  <w:vAlign w:val="center"/>
                </w:tcPr>
                <w:p w14:paraId="4A15A6E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0~100 % </w:t>
                  </w:r>
                </w:p>
              </w:tc>
            </w:tr>
          </w:tbl>
          <w:p w14:paraId="5C3CE410">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（6）箱式变压器</w:t>
            </w:r>
          </w:p>
          <w:p w14:paraId="4935D48B">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箱式变压器设备布置于光伏发电单元的中央区域，便于交流电缆引接，节省电缆，降低电压损失和工程造价</w:t>
            </w:r>
            <w:r>
              <w:rPr>
                <w:rFonts w:hint="eastAsia"/>
                <w:color w:val="000000" w:themeColor="text1"/>
                <w:sz w:val="24"/>
                <w14:textFill>
                  <w14:solidFill>
                    <w14:schemeClr w14:val="tx1"/>
                  </w14:solidFill>
                </w14:textFill>
              </w:rPr>
              <w:t>。</w:t>
            </w:r>
          </w:p>
          <w:p w14:paraId="388CB3A5">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本工程升压箱变48座</w:t>
            </w:r>
            <w:r>
              <w:rPr>
                <w:rFonts w:hint="eastAsia"/>
                <w:color w:val="000000" w:themeColor="text1"/>
                <w:sz w:val="24"/>
                <w14:textFill>
                  <w14:solidFill>
                    <w14:schemeClr w14:val="tx1"/>
                  </w14:solidFill>
                </w14:textFill>
              </w:rPr>
              <w:t>，其中在北区涉及</w:t>
            </w:r>
            <w:r>
              <w:rPr>
                <w:color w:val="000000" w:themeColor="text1"/>
                <w:sz w:val="24"/>
                <w14:textFill>
                  <w14:solidFill>
                    <w14:schemeClr w14:val="tx1"/>
                  </w14:solidFill>
                </w14:textFill>
              </w:rPr>
              <w:t>升压</w:t>
            </w:r>
            <w:r>
              <w:rPr>
                <w:rFonts w:hint="eastAsia"/>
                <w:color w:val="000000" w:themeColor="text1"/>
                <w:sz w:val="24"/>
                <w14:textFill>
                  <w14:solidFill>
                    <w14:schemeClr w14:val="tx1"/>
                  </w14:solidFill>
                </w14:textFill>
              </w:rPr>
              <w:t>箱变7座，北区涉及</w:t>
            </w:r>
            <w:r>
              <w:rPr>
                <w:color w:val="000000" w:themeColor="text1"/>
                <w:sz w:val="24"/>
                <w14:textFill>
                  <w14:solidFill>
                    <w14:schemeClr w14:val="tx1"/>
                  </w14:solidFill>
                </w14:textFill>
              </w:rPr>
              <w:t>升压</w:t>
            </w:r>
            <w:r>
              <w:rPr>
                <w:rFonts w:hint="eastAsia"/>
                <w:color w:val="000000" w:themeColor="text1"/>
                <w:sz w:val="24"/>
                <w14:textFill>
                  <w14:solidFill>
                    <w14:schemeClr w14:val="tx1"/>
                  </w14:solidFill>
                </w14:textFill>
              </w:rPr>
              <w:t>箱变13座，东区涉及</w:t>
            </w:r>
            <w:r>
              <w:rPr>
                <w:color w:val="000000" w:themeColor="text1"/>
                <w:sz w:val="24"/>
                <w14:textFill>
                  <w14:solidFill>
                    <w14:schemeClr w14:val="tx1"/>
                  </w14:solidFill>
                </w14:textFill>
              </w:rPr>
              <w:t>升压</w:t>
            </w:r>
            <w:r>
              <w:rPr>
                <w:rFonts w:hint="eastAsia"/>
                <w:color w:val="000000" w:themeColor="text1"/>
                <w:sz w:val="24"/>
                <w14:textFill>
                  <w14:solidFill>
                    <w14:schemeClr w14:val="tx1"/>
                  </w14:solidFill>
                </w14:textFill>
              </w:rPr>
              <w:t>箱变14座，西区涉及</w:t>
            </w:r>
            <w:r>
              <w:rPr>
                <w:color w:val="000000" w:themeColor="text1"/>
                <w:sz w:val="24"/>
                <w14:textFill>
                  <w14:solidFill>
                    <w14:schemeClr w14:val="tx1"/>
                  </w14:solidFill>
                </w14:textFill>
              </w:rPr>
              <w:t>升压</w:t>
            </w:r>
            <w:r>
              <w:rPr>
                <w:rFonts w:hint="eastAsia"/>
                <w:color w:val="000000" w:themeColor="text1"/>
                <w:sz w:val="24"/>
                <w14:textFill>
                  <w14:solidFill>
                    <w14:schemeClr w14:val="tx1"/>
                  </w14:solidFill>
                </w14:textFill>
              </w:rPr>
              <w:t>箱变14座。</w:t>
            </w:r>
            <w:r>
              <w:rPr>
                <w:color w:val="000000" w:themeColor="text1"/>
                <w:sz w:val="24"/>
                <w14:textFill>
                  <w14:solidFill>
                    <w14:schemeClr w14:val="tx1"/>
                  </w14:solidFill>
                </w14:textFill>
              </w:rPr>
              <w:t>选用国产的3150kVA升压箱变</w:t>
            </w:r>
            <w:r>
              <w:rPr>
                <w:rFonts w:hint="eastAsia"/>
                <w:color w:val="000000" w:themeColor="text1"/>
                <w:sz w:val="24"/>
                <w14:textFill>
                  <w14:solidFill>
                    <w14:schemeClr w14:val="tx1"/>
                  </w14:solidFill>
                </w14:textFill>
              </w:rPr>
              <w:t>及2000kVA升压箱变</w:t>
            </w:r>
            <w:r>
              <w:rPr>
                <w:color w:val="000000" w:themeColor="text1"/>
                <w:sz w:val="24"/>
                <w14:textFill>
                  <w14:solidFill>
                    <w14:schemeClr w14:val="tx1"/>
                  </w14:solidFill>
                </w14:textFill>
              </w:rPr>
              <w:t>。箱式变压器基础型式为混凝土箱形结构，采用天然基础，基础埋深拟为-1.8m，基础采用C30钢筋混凝土现浇。垫层为C20素混凝土；箱变基础外圈增设储油池。</w:t>
            </w:r>
          </w:p>
          <w:p w14:paraId="3D8BA134">
            <w:pPr>
              <w:numPr>
                <w:ilvl w:val="0"/>
                <w:numId w:val="11"/>
              </w:numPr>
              <w:snapToGrid w:val="0"/>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集电线路</w:t>
            </w:r>
          </w:p>
          <w:p w14:paraId="1C2CBA2A">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（1）集电线路工程规模</w:t>
            </w:r>
          </w:p>
          <w:p w14:paraId="6F65924E">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工程集电线路采用35kV电压等级，共7回集电线路。其中光伏阵列区分布较为分散，使用架空线与直埋电缆结合。箱变与箱变之间和箱变与升压站开关柜之间连接高压电缆截面根据连接变压器台数和线路长度合理选择。集电线路采用电缆直埋敷设。</w:t>
            </w:r>
          </w:p>
          <w:p w14:paraId="05C53A78">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（2）集电线路路径</w:t>
            </w:r>
          </w:p>
          <w:p w14:paraId="72B3D664">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共计7回集电线路，经35kV电缆线路接入本工程新建的220kV升压站。具体路径方案如下：</w:t>
            </w:r>
          </w:p>
          <w:p w14:paraId="435004D5">
            <w:pPr>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本工程新建35kV架空线路</w:t>
            </w:r>
            <w:r>
              <w:rPr>
                <w:rFonts w:hint="eastAsia"/>
                <w:bCs/>
                <w:color w:val="000000" w:themeColor="text1"/>
                <w:sz w:val="24"/>
                <w14:textFill>
                  <w14:solidFill>
                    <w14:schemeClr w14:val="tx1"/>
                  </w14:solidFill>
                </w14:textFill>
              </w:rPr>
              <w:t>12.27km，</w:t>
            </w:r>
            <w:r>
              <w:rPr>
                <w:bCs/>
                <w:color w:val="000000" w:themeColor="text1"/>
                <w:sz w:val="24"/>
                <w14:textFill>
                  <w14:solidFill>
                    <w14:schemeClr w14:val="tx1"/>
                  </w14:solidFill>
                </w14:textFill>
              </w:rPr>
              <w:t>其中新建双回35kV架空线路2.</w:t>
            </w:r>
            <w:r>
              <w:rPr>
                <w:rFonts w:hint="eastAsia"/>
                <w:bCs/>
                <w:color w:val="000000" w:themeColor="text1"/>
                <w:sz w:val="24"/>
                <w14:textFill>
                  <w14:solidFill>
                    <w14:schemeClr w14:val="tx1"/>
                  </w14:solidFill>
                </w14:textFill>
              </w:rPr>
              <w:t>07</w:t>
            </w:r>
            <w:r>
              <w:rPr>
                <w:bCs/>
                <w:color w:val="000000" w:themeColor="text1"/>
                <w:sz w:val="24"/>
                <w14:textFill>
                  <w14:solidFill>
                    <w14:schemeClr w14:val="tx1"/>
                  </w14:solidFill>
                </w14:textFill>
              </w:rPr>
              <w:t>km</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新建单回35kV架空线路</w:t>
            </w:r>
            <w:r>
              <w:rPr>
                <w:rFonts w:hint="eastAsia"/>
                <w:bCs/>
                <w:color w:val="000000" w:themeColor="text1"/>
                <w:sz w:val="24"/>
                <w14:textFill>
                  <w14:solidFill>
                    <w14:schemeClr w14:val="tx1"/>
                  </w14:solidFill>
                </w14:textFill>
              </w:rPr>
              <w:t>10.2</w:t>
            </w:r>
            <w:r>
              <w:rPr>
                <w:bCs/>
                <w:color w:val="000000" w:themeColor="text1"/>
                <w:sz w:val="24"/>
                <w14:textFill>
                  <w14:solidFill>
                    <w14:schemeClr w14:val="tx1"/>
                  </w14:solidFill>
                </w14:textFill>
              </w:rPr>
              <w:t>km</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新建铁塔</w:t>
            </w:r>
            <w:r>
              <w:rPr>
                <w:rFonts w:hint="eastAsia"/>
                <w:bCs/>
                <w:color w:val="000000" w:themeColor="text1"/>
                <w:sz w:val="24"/>
                <w14:textFill>
                  <w14:solidFill>
                    <w14:schemeClr w14:val="tx1"/>
                  </w14:solidFill>
                </w14:textFill>
              </w:rPr>
              <w:t>56</w:t>
            </w:r>
            <w:r>
              <w:rPr>
                <w:bCs/>
                <w:color w:val="000000" w:themeColor="text1"/>
                <w:sz w:val="24"/>
                <w14:textFill>
                  <w14:solidFill>
                    <w14:schemeClr w14:val="tx1"/>
                  </w14:solidFill>
                </w14:textFill>
              </w:rPr>
              <w:t>基。</w:t>
            </w:r>
          </w:p>
          <w:p w14:paraId="603DF278">
            <w:pPr>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双回</w:t>
            </w:r>
            <w:r>
              <w:rPr>
                <w:rFonts w:hint="eastAsia"/>
                <w:bCs/>
                <w:color w:val="000000" w:themeColor="text1"/>
                <w:sz w:val="24"/>
                <w14:textFill>
                  <w14:solidFill>
                    <w14:schemeClr w14:val="tx1"/>
                  </w14:solidFill>
                </w14:textFill>
              </w:rPr>
              <w:t>线</w:t>
            </w:r>
            <w:r>
              <w:rPr>
                <w:bCs/>
                <w:color w:val="000000" w:themeColor="text1"/>
                <w:sz w:val="24"/>
                <w14:textFill>
                  <w14:solidFill>
                    <w14:schemeClr w14:val="tx1"/>
                  </w14:solidFill>
                </w14:textFill>
              </w:rPr>
              <w:t>35kV架空线路2.</w:t>
            </w:r>
            <w:r>
              <w:rPr>
                <w:rFonts w:hint="eastAsia"/>
                <w:bCs/>
                <w:color w:val="000000" w:themeColor="text1"/>
                <w:sz w:val="24"/>
                <w14:textFill>
                  <w14:solidFill>
                    <w14:schemeClr w14:val="tx1"/>
                  </w14:solidFill>
                </w14:textFill>
              </w:rPr>
              <w:t>07</w:t>
            </w:r>
            <w:r>
              <w:rPr>
                <w:bCs/>
                <w:color w:val="000000" w:themeColor="text1"/>
                <w:sz w:val="24"/>
                <w14:textFill>
                  <w14:solidFill>
                    <w14:schemeClr w14:val="tx1"/>
                  </w14:solidFill>
                </w14:textFill>
              </w:rPr>
              <w:t>km</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新建铁塔10基</w:t>
            </w:r>
            <w:r>
              <w:rPr>
                <w:rFonts w:hint="eastAsia"/>
                <w:bCs/>
                <w:color w:val="000000" w:themeColor="text1"/>
                <w:sz w:val="24"/>
                <w14:textFill>
                  <w14:solidFill>
                    <w14:schemeClr w14:val="tx1"/>
                  </w14:solidFill>
                </w14:textFill>
              </w:rPr>
              <w:t>。</w:t>
            </w:r>
          </w:p>
          <w:p w14:paraId="61AA4EE2">
            <w:pPr>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A线单回35kV架空线路</w:t>
            </w:r>
            <w:r>
              <w:rPr>
                <w:rFonts w:hint="eastAsia"/>
                <w:bCs/>
                <w:color w:val="000000" w:themeColor="text1"/>
                <w:sz w:val="24"/>
                <w14:textFill>
                  <w14:solidFill>
                    <w14:schemeClr w14:val="tx1"/>
                  </w14:solidFill>
                </w14:textFill>
              </w:rPr>
              <w:t>5.45km，</w:t>
            </w:r>
            <w:r>
              <w:rPr>
                <w:bCs/>
                <w:color w:val="000000" w:themeColor="text1"/>
                <w:sz w:val="24"/>
                <w14:textFill>
                  <w14:solidFill>
                    <w14:schemeClr w14:val="tx1"/>
                  </w14:solidFill>
                </w14:textFill>
              </w:rPr>
              <w:t>新建铁塔1</w:t>
            </w:r>
            <w:r>
              <w:rPr>
                <w:rFonts w:hint="eastAsia"/>
                <w:bCs/>
                <w:color w:val="000000" w:themeColor="text1"/>
                <w:sz w:val="24"/>
                <w14:textFill>
                  <w14:solidFill>
                    <w14:schemeClr w14:val="tx1"/>
                  </w14:solidFill>
                </w14:textFill>
              </w:rPr>
              <w:t>8</w:t>
            </w:r>
            <w:r>
              <w:rPr>
                <w:bCs/>
                <w:color w:val="000000" w:themeColor="text1"/>
                <w:sz w:val="24"/>
                <w14:textFill>
                  <w14:solidFill>
                    <w14:schemeClr w14:val="tx1"/>
                  </w14:solidFill>
                </w14:textFill>
              </w:rPr>
              <w:t>基</w:t>
            </w:r>
            <w:r>
              <w:rPr>
                <w:rFonts w:hint="eastAsia"/>
                <w:bCs/>
                <w:color w:val="000000" w:themeColor="text1"/>
                <w:sz w:val="24"/>
                <w14:textFill>
                  <w14:solidFill>
                    <w14:schemeClr w14:val="tx1"/>
                  </w14:solidFill>
                </w14:textFill>
              </w:rPr>
              <w:t>。</w:t>
            </w:r>
          </w:p>
          <w:p w14:paraId="6BF5CBD0">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A1线</w:t>
            </w:r>
            <w:r>
              <w:rPr>
                <w:bCs/>
                <w:color w:val="000000" w:themeColor="text1"/>
                <w:sz w:val="24"/>
                <w14:textFill>
                  <w14:solidFill>
                    <w14:schemeClr w14:val="tx1"/>
                  </w14:solidFill>
                </w14:textFill>
              </w:rPr>
              <w:t>单回35kV架空线路</w:t>
            </w:r>
            <w:r>
              <w:rPr>
                <w:rFonts w:hint="eastAsia"/>
                <w:bCs/>
                <w:color w:val="000000" w:themeColor="text1"/>
                <w:sz w:val="24"/>
                <w14:textFill>
                  <w14:solidFill>
                    <w14:schemeClr w14:val="tx1"/>
                  </w14:solidFill>
                </w14:textFill>
              </w:rPr>
              <w:t>0.73km，</w:t>
            </w:r>
            <w:r>
              <w:rPr>
                <w:bCs/>
                <w:color w:val="000000" w:themeColor="text1"/>
                <w:sz w:val="24"/>
                <w14:textFill>
                  <w14:solidFill>
                    <w14:schemeClr w14:val="tx1"/>
                  </w14:solidFill>
                </w14:textFill>
              </w:rPr>
              <w:t>新建铁塔</w:t>
            </w:r>
            <w:r>
              <w:rPr>
                <w:rFonts w:hint="eastAsia"/>
                <w:bCs/>
                <w:color w:val="000000" w:themeColor="text1"/>
                <w:sz w:val="24"/>
                <w14:textFill>
                  <w14:solidFill>
                    <w14:schemeClr w14:val="tx1"/>
                  </w14:solidFill>
                </w14:textFill>
              </w:rPr>
              <w:t>6</w:t>
            </w:r>
            <w:r>
              <w:rPr>
                <w:bCs/>
                <w:color w:val="000000" w:themeColor="text1"/>
                <w:sz w:val="24"/>
                <w14:textFill>
                  <w14:solidFill>
                    <w14:schemeClr w14:val="tx1"/>
                  </w14:solidFill>
                </w14:textFill>
              </w:rPr>
              <w:t>基</w:t>
            </w:r>
            <w:r>
              <w:rPr>
                <w:rFonts w:hint="eastAsia"/>
                <w:bCs/>
                <w:color w:val="000000" w:themeColor="text1"/>
                <w:sz w:val="24"/>
                <w14:textFill>
                  <w14:solidFill>
                    <w14:schemeClr w14:val="tx1"/>
                  </w14:solidFill>
                </w14:textFill>
              </w:rPr>
              <w:t>。</w:t>
            </w:r>
          </w:p>
          <w:p w14:paraId="14E405EA">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B线</w:t>
            </w:r>
            <w:r>
              <w:rPr>
                <w:bCs/>
                <w:color w:val="000000" w:themeColor="text1"/>
                <w:sz w:val="24"/>
                <w14:textFill>
                  <w14:solidFill>
                    <w14:schemeClr w14:val="tx1"/>
                  </w14:solidFill>
                </w14:textFill>
              </w:rPr>
              <w:t>单回35kV架空线路</w:t>
            </w:r>
            <w:r>
              <w:rPr>
                <w:rFonts w:hint="eastAsia"/>
                <w:bCs/>
                <w:color w:val="000000" w:themeColor="text1"/>
                <w:sz w:val="24"/>
                <w14:textFill>
                  <w14:solidFill>
                    <w14:schemeClr w14:val="tx1"/>
                  </w14:solidFill>
                </w14:textFill>
              </w:rPr>
              <w:t>0.56km，</w:t>
            </w:r>
            <w:r>
              <w:rPr>
                <w:bCs/>
                <w:color w:val="000000" w:themeColor="text1"/>
                <w:sz w:val="24"/>
                <w14:textFill>
                  <w14:solidFill>
                    <w14:schemeClr w14:val="tx1"/>
                  </w14:solidFill>
                </w14:textFill>
              </w:rPr>
              <w:t>新建铁塔</w:t>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基</w:t>
            </w:r>
            <w:r>
              <w:rPr>
                <w:rFonts w:hint="eastAsia"/>
                <w:bCs/>
                <w:color w:val="000000" w:themeColor="text1"/>
                <w:sz w:val="24"/>
                <w14:textFill>
                  <w14:solidFill>
                    <w14:schemeClr w14:val="tx1"/>
                  </w14:solidFill>
                </w14:textFill>
              </w:rPr>
              <w:t>。</w:t>
            </w:r>
          </w:p>
          <w:p w14:paraId="15EBDD77">
            <w:pPr>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C线单回35kV架空线路2.</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km</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新建铁塔10基</w:t>
            </w:r>
            <w:r>
              <w:rPr>
                <w:rFonts w:hint="eastAsia"/>
                <w:bCs/>
                <w:color w:val="000000" w:themeColor="text1"/>
                <w:sz w:val="24"/>
                <w14:textFill>
                  <w14:solidFill>
                    <w14:schemeClr w14:val="tx1"/>
                  </w14:solidFill>
                </w14:textFill>
              </w:rPr>
              <w:t>。</w:t>
            </w:r>
          </w:p>
          <w:p w14:paraId="64AC99F3">
            <w:pPr>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D线单回35kV架空线路</w:t>
            </w:r>
            <w:r>
              <w:rPr>
                <w:rFonts w:hint="eastAsia"/>
                <w:bCs/>
                <w:color w:val="000000" w:themeColor="text1"/>
                <w:sz w:val="24"/>
                <w14:textFill>
                  <w14:solidFill>
                    <w14:schemeClr w14:val="tx1"/>
                  </w14:solidFill>
                </w14:textFill>
              </w:rPr>
              <w:t>0.72</w:t>
            </w:r>
            <w:r>
              <w:rPr>
                <w:bCs/>
                <w:color w:val="000000" w:themeColor="text1"/>
                <w:sz w:val="24"/>
                <w14:textFill>
                  <w14:solidFill>
                    <w14:schemeClr w14:val="tx1"/>
                  </w14:solidFill>
                </w14:textFill>
              </w:rPr>
              <w:t>km</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新建铁塔</w:t>
            </w:r>
            <w:r>
              <w:rPr>
                <w:rFonts w:hint="eastAsia"/>
                <w:bCs/>
                <w:color w:val="000000" w:themeColor="text1"/>
                <w:sz w:val="24"/>
                <w14:textFill>
                  <w14:solidFill>
                    <w14:schemeClr w14:val="tx1"/>
                  </w14:solidFill>
                </w14:textFill>
              </w:rPr>
              <w:t>4</w:t>
            </w:r>
            <w:r>
              <w:rPr>
                <w:bCs/>
                <w:color w:val="000000" w:themeColor="text1"/>
                <w:sz w:val="24"/>
                <w14:textFill>
                  <w14:solidFill>
                    <w14:schemeClr w14:val="tx1"/>
                  </w14:solidFill>
                </w14:textFill>
              </w:rPr>
              <w:t>基。</w:t>
            </w:r>
          </w:p>
          <w:p w14:paraId="40782AFC">
            <w:pPr>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E线单回35kV架空线路</w:t>
            </w:r>
            <w:r>
              <w:rPr>
                <w:rFonts w:hint="eastAsia"/>
                <w:color w:val="000000" w:themeColor="text1"/>
                <w14:textFill>
                  <w14:solidFill>
                    <w14:schemeClr w14:val="tx1"/>
                  </w14:solidFill>
                </w14:textFill>
              </w:rPr>
              <w:t>0.64</w:t>
            </w:r>
            <w:r>
              <w:rPr>
                <w:bCs/>
                <w:color w:val="000000" w:themeColor="text1"/>
                <w:sz w:val="24"/>
                <w14:textFill>
                  <w14:solidFill>
                    <w14:schemeClr w14:val="tx1"/>
                  </w14:solidFill>
                </w14:textFill>
              </w:rPr>
              <w:t>km</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新建铁塔4基。</w:t>
            </w:r>
          </w:p>
          <w:p w14:paraId="7BD693EE">
            <w:pPr>
              <w:spacing w:line="440" w:lineRule="exact"/>
              <w:rPr>
                <w:b/>
                <w:bCs/>
                <w:color w:val="000000" w:themeColor="text1"/>
                <w:sz w:val="24"/>
                <w:lang w:bidi="ar"/>
                <w14:textFill>
                  <w14:solidFill>
                    <w14:schemeClr w14:val="tx1"/>
                  </w14:solidFill>
                </w14:textFill>
              </w:rPr>
            </w:pPr>
            <w:r>
              <w:rPr>
                <w:rFonts w:hint="eastAsia"/>
                <w:b/>
                <w:bCs/>
                <w:color w:val="000000" w:themeColor="text1"/>
                <w:sz w:val="24"/>
                <w:lang w:bidi="ar"/>
                <w14:textFill>
                  <w14:solidFill>
                    <w14:schemeClr w14:val="tx1"/>
                  </w14:solidFill>
                </w14:textFill>
              </w:rPr>
              <w:t>注：实际线路布设方案以施工方案为准。</w:t>
            </w:r>
          </w:p>
          <w:p w14:paraId="203B8E88">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（3）电缆敷设</w:t>
            </w:r>
          </w:p>
          <w:p w14:paraId="4100123C">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35kV动力电缆采用阻燃型铝芯交联聚乙烯绝缘钢带铠装聚乙烯护套电力电缆，电缆芯数选择三芯电缆。截面根据满足输送容量以及热稳定选取。</w:t>
            </w:r>
          </w:p>
          <w:p w14:paraId="643D7871">
            <w:pPr>
              <w:adjustRightInd w:val="0"/>
              <w:snapToGrid w:val="0"/>
              <w:spacing w:line="440" w:lineRule="exact"/>
              <w:ind w:firstLine="480" w:firstLineChars="200"/>
              <w:rPr>
                <w:rStyle w:val="596"/>
                <w:color w:val="000000" w:themeColor="text1"/>
                <w:sz w:val="24"/>
                <w14:textFill>
                  <w14:solidFill>
                    <w14:schemeClr w14:val="tx1"/>
                  </w14:solidFill>
                </w14:textFill>
              </w:rPr>
            </w:pPr>
            <w:r>
              <w:rPr>
                <w:rStyle w:val="596"/>
                <w:color w:val="000000" w:themeColor="text1"/>
                <w:sz w:val="24"/>
                <w14:textFill>
                  <w14:solidFill>
                    <w14:schemeClr w14:val="tx1"/>
                  </w14:solidFill>
                </w14:textFill>
              </w:rPr>
              <w:t>光伏组件串至组串逆变器的光伏专用电缆，电缆敷设采用直埋和架空相结合的方式。沿组件支架横向敷设时采用架空方式，在相邻组件缝隙处穿管保护；跨南北组件支架竖向敷设时采用直埋穿管方式，在出入地处穿管保护。至箱变的进、出电缆均采用直埋敷设方式，过道路和出地面处采用穿管敷设；</w:t>
            </w:r>
          </w:p>
          <w:p w14:paraId="79FE27BA">
            <w:pPr>
              <w:adjustRightInd w:val="0"/>
              <w:snapToGrid w:val="0"/>
              <w:spacing w:line="440" w:lineRule="exact"/>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升压站部分采用电缆沟道及埋管方式敷设。直埋部分顶面埋深不小于0.8m，采用金属铠装电缆，且直埋处电缆周围均有不小于100mm厚细沙防护，因此可不考虑土壤冻胀对电缆的损害。电缆穿管后管端的缝隙、穿电缆用的楼板孔洞、电缆沟壁预留的电缆孔以及各屏位底部的孔洞均应封堵。</w:t>
            </w:r>
          </w:p>
          <w:p w14:paraId="272983F4">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电缆敷设及线路情况见下表：</w:t>
            </w:r>
          </w:p>
          <w:p w14:paraId="0115D9F1">
            <w:pPr>
              <w:widowControl/>
              <w:spacing w:line="440" w:lineRule="exact"/>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14:textFill>
                  <w14:solidFill>
                    <w14:schemeClr w14:val="tx1"/>
                  </w14:solidFill>
                </w14:textFill>
              </w:rPr>
              <w:t>7</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线路电缆敷设情况一览表</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 xml:space="preserve">   </w:t>
            </w:r>
          </w:p>
          <w:tbl>
            <w:tblPr>
              <w:tblStyle w:val="6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46"/>
              <w:gridCol w:w="1695"/>
              <w:gridCol w:w="1200"/>
              <w:gridCol w:w="1052"/>
              <w:gridCol w:w="1747"/>
              <w:gridCol w:w="1347"/>
            </w:tblGrid>
            <w:tr w14:paraId="0886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1" w:type="pct"/>
                  <w:vAlign w:val="center"/>
                </w:tcPr>
                <w:p w14:paraId="29573193">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线路</w:t>
                  </w:r>
                </w:p>
              </w:tc>
              <w:tc>
                <w:tcPr>
                  <w:tcW w:w="1021" w:type="pct"/>
                  <w:vAlign w:val="center"/>
                </w:tcPr>
                <w:p w14:paraId="215E7E8F">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塔基/箱变</w:t>
                  </w:r>
                </w:p>
              </w:tc>
              <w:tc>
                <w:tcPr>
                  <w:tcW w:w="724" w:type="pct"/>
                  <w:vAlign w:val="center"/>
                </w:tcPr>
                <w:p w14:paraId="43D46485">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敷设长度/km</w:t>
                  </w:r>
                </w:p>
              </w:tc>
              <w:tc>
                <w:tcPr>
                  <w:tcW w:w="635" w:type="pct"/>
                  <w:vAlign w:val="center"/>
                </w:tcPr>
                <w:p w14:paraId="1879F0DF">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塔基/箱变数量</w:t>
                  </w:r>
                </w:p>
              </w:tc>
              <w:tc>
                <w:tcPr>
                  <w:tcW w:w="1053" w:type="pct"/>
                  <w:vAlign w:val="center"/>
                </w:tcPr>
                <w:p w14:paraId="01C1A33A">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穿越红线处：箱变塔基间距离/m</w:t>
                  </w:r>
                </w:p>
              </w:tc>
              <w:tc>
                <w:tcPr>
                  <w:tcW w:w="813" w:type="pct"/>
                  <w:vAlign w:val="center"/>
                </w:tcPr>
                <w:p w14:paraId="241A1B5A">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敷设类型</w:t>
                  </w:r>
                </w:p>
              </w:tc>
            </w:tr>
            <w:tr w14:paraId="2254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1" w:type="pct"/>
                  <w:vAlign w:val="center"/>
                </w:tcPr>
                <w:p w14:paraId="78395763">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A1线</w:t>
                  </w:r>
                </w:p>
              </w:tc>
              <w:tc>
                <w:tcPr>
                  <w:tcW w:w="1021" w:type="pct"/>
                  <w:vAlign w:val="center"/>
                </w:tcPr>
                <w:p w14:paraId="770FF903">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A1N1-A1N6</w:t>
                  </w:r>
                </w:p>
              </w:tc>
              <w:tc>
                <w:tcPr>
                  <w:tcW w:w="724" w:type="pct"/>
                  <w:vAlign w:val="center"/>
                </w:tcPr>
                <w:p w14:paraId="753F9AC6">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0.73</w:t>
                  </w:r>
                </w:p>
              </w:tc>
              <w:tc>
                <w:tcPr>
                  <w:tcW w:w="635" w:type="pct"/>
                  <w:vAlign w:val="center"/>
                </w:tcPr>
                <w:p w14:paraId="19CDED0A">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053" w:type="pct"/>
                  <w:vAlign w:val="center"/>
                </w:tcPr>
                <w:p w14:paraId="1EE8A8FE">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3" w:type="pct"/>
                  <w:vAlign w:val="center"/>
                </w:tcPr>
                <w:p w14:paraId="7D3DCAF7">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架空</w:t>
                  </w:r>
                </w:p>
              </w:tc>
            </w:tr>
            <w:tr w14:paraId="2C49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1" w:type="pct"/>
                  <w:vAlign w:val="center"/>
                </w:tcPr>
                <w:p w14:paraId="0533FB76">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在北区电缆</w:t>
                  </w:r>
                </w:p>
              </w:tc>
              <w:tc>
                <w:tcPr>
                  <w:tcW w:w="1021" w:type="pct"/>
                  <w:vAlign w:val="center"/>
                </w:tcPr>
                <w:p w14:paraId="6598F3F6">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（AN1）2#-7#</w:t>
                  </w:r>
                </w:p>
              </w:tc>
              <w:tc>
                <w:tcPr>
                  <w:tcW w:w="724" w:type="pct"/>
                  <w:vAlign w:val="center"/>
                </w:tcPr>
                <w:p w14:paraId="743191F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2.309</w:t>
                  </w:r>
                </w:p>
              </w:tc>
              <w:tc>
                <w:tcPr>
                  <w:tcW w:w="635" w:type="pct"/>
                  <w:vAlign w:val="center"/>
                </w:tcPr>
                <w:p w14:paraId="6E0C3D4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1053" w:type="pct"/>
                  <w:vAlign w:val="center"/>
                </w:tcPr>
                <w:p w14:paraId="1D24FD6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3" w:type="pct"/>
                  <w:vAlign w:val="center"/>
                </w:tcPr>
                <w:p w14:paraId="0843806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电缆直埋</w:t>
                  </w:r>
                </w:p>
              </w:tc>
            </w:tr>
            <w:tr w14:paraId="5AC4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751" w:type="pct"/>
                  <w:vMerge w:val="restart"/>
                  <w:vAlign w:val="center"/>
                </w:tcPr>
                <w:p w14:paraId="26514EEB">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A线 </w:t>
                  </w:r>
                </w:p>
              </w:tc>
              <w:tc>
                <w:tcPr>
                  <w:tcW w:w="1021" w:type="pct"/>
                  <w:vMerge w:val="restart"/>
                  <w:vAlign w:val="center"/>
                </w:tcPr>
                <w:p w14:paraId="0166F41D">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AN1-AN18</w:t>
                  </w:r>
                </w:p>
              </w:tc>
              <w:tc>
                <w:tcPr>
                  <w:tcW w:w="724" w:type="pct"/>
                  <w:vMerge w:val="restart"/>
                  <w:vAlign w:val="center"/>
                </w:tcPr>
                <w:p w14:paraId="78E594D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5.45</w:t>
                  </w:r>
                </w:p>
              </w:tc>
              <w:tc>
                <w:tcPr>
                  <w:tcW w:w="635" w:type="pct"/>
                  <w:vMerge w:val="restart"/>
                  <w:vAlign w:val="center"/>
                </w:tcPr>
                <w:p w14:paraId="01EC0E9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c>
                <w:tcPr>
                  <w:tcW w:w="1053" w:type="pct"/>
                  <w:vAlign w:val="center"/>
                </w:tcPr>
                <w:p w14:paraId="1F13AE7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北区12#-AN1:57</w:t>
                  </w:r>
                </w:p>
              </w:tc>
              <w:tc>
                <w:tcPr>
                  <w:tcW w:w="813" w:type="pct"/>
                  <w:vMerge w:val="restart"/>
                  <w:vAlign w:val="center"/>
                </w:tcPr>
                <w:p w14:paraId="6F2EBDB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架空</w:t>
                  </w:r>
                </w:p>
              </w:tc>
            </w:tr>
            <w:tr w14:paraId="26BC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3" w:hRule="atLeast"/>
                <w:jc w:val="center"/>
              </w:trPr>
              <w:tc>
                <w:tcPr>
                  <w:tcW w:w="751" w:type="pct"/>
                  <w:vMerge w:val="continue"/>
                  <w:vAlign w:val="center"/>
                </w:tcPr>
                <w:p w14:paraId="751848F8">
                  <w:pPr>
                    <w:widowControl/>
                    <w:adjustRightInd w:val="0"/>
                    <w:snapToGrid w:val="0"/>
                    <w:spacing w:line="360" w:lineRule="exact"/>
                    <w:jc w:val="center"/>
                    <w:rPr>
                      <w:color w:val="000000" w:themeColor="text1"/>
                      <w:szCs w:val="21"/>
                      <w14:textFill>
                        <w14:solidFill>
                          <w14:schemeClr w14:val="tx1"/>
                        </w14:solidFill>
                      </w14:textFill>
                    </w:rPr>
                  </w:pPr>
                </w:p>
              </w:tc>
              <w:tc>
                <w:tcPr>
                  <w:tcW w:w="1021" w:type="pct"/>
                  <w:vMerge w:val="continue"/>
                  <w:vAlign w:val="center"/>
                </w:tcPr>
                <w:p w14:paraId="28BEEB01">
                  <w:pPr>
                    <w:widowControl/>
                    <w:adjustRightInd w:val="0"/>
                    <w:snapToGrid w:val="0"/>
                    <w:spacing w:line="360" w:lineRule="exact"/>
                    <w:jc w:val="center"/>
                    <w:rPr>
                      <w:color w:val="000000" w:themeColor="text1"/>
                      <w:szCs w:val="21"/>
                      <w14:textFill>
                        <w14:solidFill>
                          <w14:schemeClr w14:val="tx1"/>
                        </w14:solidFill>
                      </w14:textFill>
                    </w:rPr>
                  </w:pPr>
                </w:p>
              </w:tc>
              <w:tc>
                <w:tcPr>
                  <w:tcW w:w="724" w:type="pct"/>
                  <w:vMerge w:val="continue"/>
                  <w:vAlign w:val="center"/>
                </w:tcPr>
                <w:p w14:paraId="7BF9BBA8">
                  <w:pPr>
                    <w:spacing w:line="360" w:lineRule="exact"/>
                    <w:jc w:val="center"/>
                    <w:rPr>
                      <w:color w:val="000000" w:themeColor="text1"/>
                      <w:szCs w:val="21"/>
                      <w14:textFill>
                        <w14:solidFill>
                          <w14:schemeClr w14:val="tx1"/>
                        </w14:solidFill>
                      </w14:textFill>
                    </w:rPr>
                  </w:pPr>
                </w:p>
              </w:tc>
              <w:tc>
                <w:tcPr>
                  <w:tcW w:w="635" w:type="pct"/>
                  <w:vMerge w:val="continue"/>
                  <w:vAlign w:val="center"/>
                </w:tcPr>
                <w:p w14:paraId="7ACF3D4B">
                  <w:pPr>
                    <w:spacing w:line="360" w:lineRule="exact"/>
                    <w:jc w:val="center"/>
                    <w:rPr>
                      <w:color w:val="000000" w:themeColor="text1"/>
                      <w:szCs w:val="21"/>
                      <w14:textFill>
                        <w14:solidFill>
                          <w14:schemeClr w14:val="tx1"/>
                        </w14:solidFill>
                      </w14:textFill>
                    </w:rPr>
                  </w:pPr>
                </w:p>
              </w:tc>
              <w:tc>
                <w:tcPr>
                  <w:tcW w:w="1053" w:type="pct"/>
                  <w:vAlign w:val="center"/>
                </w:tcPr>
                <w:p w14:paraId="767D29A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AN4-AN5：240</w:t>
                  </w:r>
                </w:p>
              </w:tc>
              <w:tc>
                <w:tcPr>
                  <w:tcW w:w="813" w:type="pct"/>
                  <w:vMerge w:val="continue"/>
                  <w:vAlign w:val="center"/>
                </w:tcPr>
                <w:p w14:paraId="3D905B26">
                  <w:pPr>
                    <w:spacing w:line="360" w:lineRule="exact"/>
                    <w:jc w:val="center"/>
                    <w:rPr>
                      <w:color w:val="000000" w:themeColor="text1"/>
                      <w:szCs w:val="21"/>
                      <w14:textFill>
                        <w14:solidFill>
                          <w14:schemeClr w14:val="tx1"/>
                        </w14:solidFill>
                      </w14:textFill>
                    </w:rPr>
                  </w:pPr>
                </w:p>
              </w:tc>
            </w:tr>
            <w:tr w14:paraId="2FC5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 w:hRule="atLeast"/>
                <w:jc w:val="center"/>
              </w:trPr>
              <w:tc>
                <w:tcPr>
                  <w:tcW w:w="751" w:type="pct"/>
                  <w:vMerge w:val="continue"/>
                  <w:vAlign w:val="center"/>
                </w:tcPr>
                <w:p w14:paraId="2B75172B">
                  <w:pPr>
                    <w:widowControl/>
                    <w:adjustRightInd w:val="0"/>
                    <w:snapToGrid w:val="0"/>
                    <w:spacing w:line="360" w:lineRule="exact"/>
                    <w:jc w:val="center"/>
                    <w:rPr>
                      <w:color w:val="000000" w:themeColor="text1"/>
                      <w:szCs w:val="21"/>
                      <w14:textFill>
                        <w14:solidFill>
                          <w14:schemeClr w14:val="tx1"/>
                        </w14:solidFill>
                      </w14:textFill>
                    </w:rPr>
                  </w:pPr>
                </w:p>
              </w:tc>
              <w:tc>
                <w:tcPr>
                  <w:tcW w:w="1021" w:type="pct"/>
                  <w:vMerge w:val="continue"/>
                  <w:vAlign w:val="center"/>
                </w:tcPr>
                <w:p w14:paraId="3FA5FF5E">
                  <w:pPr>
                    <w:widowControl/>
                    <w:adjustRightInd w:val="0"/>
                    <w:snapToGrid w:val="0"/>
                    <w:spacing w:line="360" w:lineRule="exact"/>
                    <w:jc w:val="center"/>
                    <w:rPr>
                      <w:color w:val="000000" w:themeColor="text1"/>
                      <w:szCs w:val="21"/>
                      <w14:textFill>
                        <w14:solidFill>
                          <w14:schemeClr w14:val="tx1"/>
                        </w14:solidFill>
                      </w14:textFill>
                    </w:rPr>
                  </w:pPr>
                </w:p>
              </w:tc>
              <w:tc>
                <w:tcPr>
                  <w:tcW w:w="724" w:type="pct"/>
                  <w:vMerge w:val="continue"/>
                  <w:vAlign w:val="center"/>
                </w:tcPr>
                <w:p w14:paraId="15745CB5">
                  <w:pPr>
                    <w:spacing w:line="360" w:lineRule="exact"/>
                    <w:jc w:val="center"/>
                    <w:rPr>
                      <w:color w:val="000000" w:themeColor="text1"/>
                      <w:szCs w:val="21"/>
                      <w14:textFill>
                        <w14:solidFill>
                          <w14:schemeClr w14:val="tx1"/>
                        </w14:solidFill>
                      </w14:textFill>
                    </w:rPr>
                  </w:pPr>
                </w:p>
              </w:tc>
              <w:tc>
                <w:tcPr>
                  <w:tcW w:w="635" w:type="pct"/>
                  <w:vMerge w:val="continue"/>
                  <w:vAlign w:val="center"/>
                </w:tcPr>
                <w:p w14:paraId="2077938B">
                  <w:pPr>
                    <w:spacing w:line="360" w:lineRule="exact"/>
                    <w:jc w:val="center"/>
                    <w:rPr>
                      <w:color w:val="000000" w:themeColor="text1"/>
                      <w:szCs w:val="21"/>
                      <w14:textFill>
                        <w14:solidFill>
                          <w14:schemeClr w14:val="tx1"/>
                        </w14:solidFill>
                      </w14:textFill>
                    </w:rPr>
                  </w:pPr>
                </w:p>
              </w:tc>
              <w:tc>
                <w:tcPr>
                  <w:tcW w:w="1053" w:type="pct"/>
                  <w:vAlign w:val="center"/>
                </w:tcPr>
                <w:p w14:paraId="34BB182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AN9-AN10：370</w:t>
                  </w:r>
                </w:p>
              </w:tc>
              <w:tc>
                <w:tcPr>
                  <w:tcW w:w="813" w:type="pct"/>
                  <w:vMerge w:val="continue"/>
                  <w:vAlign w:val="center"/>
                </w:tcPr>
                <w:p w14:paraId="333FEAEF">
                  <w:pPr>
                    <w:spacing w:line="360" w:lineRule="exact"/>
                    <w:jc w:val="center"/>
                    <w:rPr>
                      <w:color w:val="000000" w:themeColor="text1"/>
                      <w:szCs w:val="21"/>
                      <w14:textFill>
                        <w14:solidFill>
                          <w14:schemeClr w14:val="tx1"/>
                        </w14:solidFill>
                      </w14:textFill>
                    </w:rPr>
                  </w:pPr>
                </w:p>
              </w:tc>
            </w:tr>
            <w:tr w14:paraId="249D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51" w:type="pct"/>
                  <w:vAlign w:val="center"/>
                </w:tcPr>
                <w:p w14:paraId="0A49D3A2">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B线</w:t>
                  </w:r>
                </w:p>
              </w:tc>
              <w:tc>
                <w:tcPr>
                  <w:tcW w:w="1021" w:type="pct"/>
                  <w:vAlign w:val="center"/>
                </w:tcPr>
                <w:p w14:paraId="54E13675">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BN1-BBN4</w:t>
                  </w:r>
                </w:p>
              </w:tc>
              <w:tc>
                <w:tcPr>
                  <w:tcW w:w="724" w:type="pct"/>
                  <w:vAlign w:val="center"/>
                </w:tcPr>
                <w:p w14:paraId="3B4195A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0.56</w:t>
                  </w:r>
                </w:p>
              </w:tc>
              <w:tc>
                <w:tcPr>
                  <w:tcW w:w="635" w:type="pct"/>
                  <w:vAlign w:val="center"/>
                </w:tcPr>
                <w:p w14:paraId="6F2C848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053" w:type="pct"/>
                  <w:vAlign w:val="center"/>
                </w:tcPr>
                <w:p w14:paraId="165EDA8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3" w:type="pct"/>
                  <w:vMerge w:val="continue"/>
                  <w:vAlign w:val="center"/>
                </w:tcPr>
                <w:p w14:paraId="45AB2727">
                  <w:pPr>
                    <w:spacing w:line="360" w:lineRule="exact"/>
                    <w:jc w:val="center"/>
                    <w:rPr>
                      <w:color w:val="000000" w:themeColor="text1"/>
                      <w:szCs w:val="21"/>
                      <w14:textFill>
                        <w14:solidFill>
                          <w14:schemeClr w14:val="tx1"/>
                        </w14:solidFill>
                      </w14:textFill>
                    </w:rPr>
                  </w:pPr>
                </w:p>
              </w:tc>
            </w:tr>
            <w:tr w14:paraId="284C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1" w:type="pct"/>
                  <w:vAlign w:val="center"/>
                </w:tcPr>
                <w:p w14:paraId="568F8C98">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北区</w:t>
                  </w:r>
                </w:p>
              </w:tc>
              <w:tc>
                <w:tcPr>
                  <w:tcW w:w="1021" w:type="pct"/>
                  <w:shd w:val="clear" w:color="auto" w:fill="auto"/>
                  <w:vAlign w:val="center"/>
                </w:tcPr>
                <w:p w14:paraId="162030C2">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1#-BN4，（BN1）12#-13#CN10</w:t>
                  </w:r>
                </w:p>
              </w:tc>
              <w:tc>
                <w:tcPr>
                  <w:tcW w:w="724" w:type="pct"/>
                  <w:shd w:val="clear" w:color="auto" w:fill="auto"/>
                  <w:vAlign w:val="center"/>
                </w:tcPr>
                <w:p w14:paraId="006A92E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2.411</w:t>
                  </w:r>
                </w:p>
              </w:tc>
              <w:tc>
                <w:tcPr>
                  <w:tcW w:w="635" w:type="pct"/>
                  <w:vAlign w:val="center"/>
                </w:tcPr>
                <w:p w14:paraId="3BC8ED0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2/12</w:t>
                  </w:r>
                </w:p>
              </w:tc>
              <w:tc>
                <w:tcPr>
                  <w:tcW w:w="1053" w:type="pct"/>
                  <w:vAlign w:val="center"/>
                </w:tcPr>
                <w:p w14:paraId="7765EAB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3" w:type="pct"/>
                  <w:vAlign w:val="center"/>
                </w:tcPr>
                <w:p w14:paraId="58CDAF3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电缆直埋</w:t>
                  </w:r>
                </w:p>
              </w:tc>
            </w:tr>
            <w:tr w14:paraId="6FEF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1" w:type="pct"/>
                  <w:vAlign w:val="center"/>
                </w:tcPr>
                <w:p w14:paraId="33934F69">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C线</w:t>
                  </w:r>
                </w:p>
              </w:tc>
              <w:tc>
                <w:tcPr>
                  <w:tcW w:w="1021" w:type="pct"/>
                  <w:shd w:val="clear" w:color="auto" w:fill="auto"/>
                  <w:vAlign w:val="center"/>
                </w:tcPr>
                <w:p w14:paraId="48F1B26E">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CN1-CN10</w:t>
                  </w:r>
                </w:p>
              </w:tc>
              <w:tc>
                <w:tcPr>
                  <w:tcW w:w="724" w:type="pct"/>
                  <w:shd w:val="clear" w:color="auto" w:fill="auto"/>
                  <w:vAlign w:val="center"/>
                </w:tcPr>
                <w:p w14:paraId="667CE6E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w:t>
                  </w:r>
                </w:p>
              </w:tc>
              <w:tc>
                <w:tcPr>
                  <w:tcW w:w="635" w:type="pct"/>
                  <w:vAlign w:val="center"/>
                </w:tcPr>
                <w:p w14:paraId="7EEBCFF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053" w:type="pct"/>
                  <w:vAlign w:val="center"/>
                </w:tcPr>
                <w:p w14:paraId="2A5AB94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3" w:type="pct"/>
                  <w:vAlign w:val="center"/>
                </w:tcPr>
                <w:p w14:paraId="34FF5E5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架空</w:t>
                  </w:r>
                </w:p>
              </w:tc>
            </w:tr>
            <w:tr w14:paraId="3EA94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1" w:type="pct"/>
                  <w:vAlign w:val="center"/>
                </w:tcPr>
                <w:p w14:paraId="20975FDB">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AB线</w:t>
                  </w:r>
                </w:p>
              </w:tc>
              <w:tc>
                <w:tcPr>
                  <w:tcW w:w="1021" w:type="pct"/>
                  <w:shd w:val="clear" w:color="auto" w:fill="auto"/>
                  <w:vAlign w:val="center"/>
                </w:tcPr>
                <w:p w14:paraId="381FC944">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ABN1-ABN10</w:t>
                  </w:r>
                </w:p>
              </w:tc>
              <w:tc>
                <w:tcPr>
                  <w:tcW w:w="724" w:type="pct"/>
                  <w:shd w:val="clear" w:color="auto" w:fill="auto"/>
                  <w:vAlign w:val="center"/>
                </w:tcPr>
                <w:p w14:paraId="5127C18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2.07</w:t>
                  </w:r>
                </w:p>
              </w:tc>
              <w:tc>
                <w:tcPr>
                  <w:tcW w:w="635" w:type="pct"/>
                  <w:vAlign w:val="center"/>
                </w:tcPr>
                <w:p w14:paraId="3B376D2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053" w:type="pct"/>
                  <w:vAlign w:val="center"/>
                </w:tcPr>
                <w:p w14:paraId="63C22D4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3" w:type="pct"/>
                  <w:vAlign w:val="center"/>
                </w:tcPr>
                <w:p w14:paraId="2F1E73D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架空</w:t>
                  </w:r>
                </w:p>
              </w:tc>
            </w:tr>
            <w:tr w14:paraId="048E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1" w:type="pct"/>
                  <w:vAlign w:val="center"/>
                </w:tcPr>
                <w:p w14:paraId="07042A23">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D线</w:t>
                  </w:r>
                </w:p>
              </w:tc>
              <w:tc>
                <w:tcPr>
                  <w:tcW w:w="1021" w:type="pct"/>
                  <w:shd w:val="clear" w:color="auto" w:fill="auto"/>
                  <w:vAlign w:val="center"/>
                </w:tcPr>
                <w:p w14:paraId="70F13597">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DN1-DN4</w:t>
                  </w:r>
                </w:p>
              </w:tc>
              <w:tc>
                <w:tcPr>
                  <w:tcW w:w="724" w:type="pct"/>
                  <w:shd w:val="clear" w:color="auto" w:fill="auto"/>
                  <w:vAlign w:val="center"/>
                </w:tcPr>
                <w:p w14:paraId="2ABAEC7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0.72</w:t>
                  </w:r>
                </w:p>
              </w:tc>
              <w:tc>
                <w:tcPr>
                  <w:tcW w:w="635" w:type="pct"/>
                  <w:vAlign w:val="center"/>
                </w:tcPr>
                <w:p w14:paraId="161478E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053" w:type="pct"/>
                  <w:vAlign w:val="center"/>
                </w:tcPr>
                <w:p w14:paraId="650BB17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3" w:type="pct"/>
                  <w:vAlign w:val="center"/>
                </w:tcPr>
                <w:p w14:paraId="3075075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架空</w:t>
                  </w:r>
                </w:p>
              </w:tc>
            </w:tr>
            <w:tr w14:paraId="2C528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1" w:type="pct"/>
                  <w:vAlign w:val="center"/>
                </w:tcPr>
                <w:p w14:paraId="2D2C6927">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E线</w:t>
                  </w:r>
                </w:p>
              </w:tc>
              <w:tc>
                <w:tcPr>
                  <w:tcW w:w="1021" w:type="pct"/>
                  <w:shd w:val="clear" w:color="auto" w:fill="auto"/>
                  <w:vAlign w:val="center"/>
                </w:tcPr>
                <w:p w14:paraId="1D21ADC7">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EN1-EN4</w:t>
                  </w:r>
                </w:p>
              </w:tc>
              <w:tc>
                <w:tcPr>
                  <w:tcW w:w="724" w:type="pct"/>
                  <w:shd w:val="clear" w:color="auto" w:fill="auto"/>
                  <w:vAlign w:val="center"/>
                </w:tcPr>
                <w:p w14:paraId="3F556E6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0.64</w:t>
                  </w:r>
                </w:p>
              </w:tc>
              <w:tc>
                <w:tcPr>
                  <w:tcW w:w="635" w:type="pct"/>
                  <w:vAlign w:val="center"/>
                </w:tcPr>
                <w:p w14:paraId="04BF7C4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053" w:type="pct"/>
                  <w:vAlign w:val="center"/>
                </w:tcPr>
                <w:p w14:paraId="0B6F6F6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3" w:type="pct"/>
                  <w:vAlign w:val="center"/>
                </w:tcPr>
                <w:p w14:paraId="62F5300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架空</w:t>
                  </w:r>
                </w:p>
              </w:tc>
            </w:tr>
            <w:tr w14:paraId="4EDA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1" w:type="pct"/>
                  <w:vMerge w:val="restart"/>
                  <w:vAlign w:val="center"/>
                </w:tcPr>
                <w:p w14:paraId="43A2F288">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西区</w:t>
                  </w:r>
                </w:p>
              </w:tc>
              <w:tc>
                <w:tcPr>
                  <w:tcW w:w="1021" w:type="pct"/>
                  <w:vAlign w:val="center"/>
                </w:tcPr>
                <w:p w14:paraId="798B7F77">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724" w:type="pct"/>
                  <w:vAlign w:val="center"/>
                </w:tcPr>
                <w:p w14:paraId="6C6A074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1.11</w:t>
                  </w:r>
                </w:p>
              </w:tc>
              <w:tc>
                <w:tcPr>
                  <w:tcW w:w="635" w:type="pct"/>
                  <w:vAlign w:val="center"/>
                </w:tcPr>
                <w:p w14:paraId="252E416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053" w:type="pct"/>
                  <w:vAlign w:val="center"/>
                </w:tcPr>
                <w:p w14:paraId="5FED274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3" w:type="pct"/>
                  <w:vMerge w:val="restart"/>
                  <w:vAlign w:val="center"/>
                </w:tcPr>
                <w:p w14:paraId="6E957D6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电缆直埋</w:t>
                  </w:r>
                </w:p>
              </w:tc>
            </w:tr>
            <w:tr w14:paraId="08B8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1" w:type="pct"/>
                  <w:vMerge w:val="continue"/>
                  <w:vAlign w:val="center"/>
                </w:tcPr>
                <w:p w14:paraId="555FE83C">
                  <w:pPr>
                    <w:widowControl/>
                    <w:adjustRightInd w:val="0"/>
                    <w:snapToGrid w:val="0"/>
                    <w:spacing w:line="360" w:lineRule="exact"/>
                    <w:jc w:val="center"/>
                    <w:rPr>
                      <w:color w:val="000000" w:themeColor="text1"/>
                      <w:szCs w:val="21"/>
                      <w14:textFill>
                        <w14:solidFill>
                          <w14:schemeClr w14:val="tx1"/>
                        </w14:solidFill>
                      </w14:textFill>
                    </w:rPr>
                  </w:pPr>
                </w:p>
              </w:tc>
              <w:tc>
                <w:tcPr>
                  <w:tcW w:w="1021" w:type="pct"/>
                  <w:vAlign w:val="center"/>
                </w:tcPr>
                <w:p w14:paraId="3E033F0B">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8#-14#-EN4</w:t>
                  </w:r>
                </w:p>
              </w:tc>
              <w:tc>
                <w:tcPr>
                  <w:tcW w:w="724" w:type="pct"/>
                  <w:vAlign w:val="center"/>
                </w:tcPr>
                <w:p w14:paraId="7FF7453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2.36</w:t>
                  </w:r>
                </w:p>
              </w:tc>
              <w:tc>
                <w:tcPr>
                  <w:tcW w:w="635" w:type="pct"/>
                  <w:vAlign w:val="center"/>
                </w:tcPr>
                <w:p w14:paraId="3CF06A7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1053" w:type="pct"/>
                  <w:vAlign w:val="center"/>
                </w:tcPr>
                <w:p w14:paraId="54E912A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3" w:type="pct"/>
                  <w:vMerge w:val="continue"/>
                  <w:vAlign w:val="center"/>
                </w:tcPr>
                <w:p w14:paraId="437DA14D">
                  <w:pPr>
                    <w:spacing w:line="360" w:lineRule="exact"/>
                    <w:jc w:val="center"/>
                    <w:rPr>
                      <w:color w:val="000000" w:themeColor="text1"/>
                      <w:szCs w:val="21"/>
                      <w14:textFill>
                        <w14:solidFill>
                          <w14:schemeClr w14:val="tx1"/>
                        </w14:solidFill>
                      </w14:textFill>
                    </w:rPr>
                  </w:pPr>
                </w:p>
              </w:tc>
            </w:tr>
            <w:tr w14:paraId="04FF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51" w:type="pct"/>
                  <w:vAlign w:val="center"/>
                </w:tcPr>
                <w:p w14:paraId="6D61DDF6">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东区</w:t>
                  </w:r>
                </w:p>
              </w:tc>
              <w:tc>
                <w:tcPr>
                  <w:tcW w:w="1021" w:type="pct"/>
                  <w:vAlign w:val="center"/>
                </w:tcPr>
                <w:p w14:paraId="19C2CCB6">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w:t>
                  </w:r>
                </w:p>
              </w:tc>
              <w:tc>
                <w:tcPr>
                  <w:tcW w:w="724" w:type="pct"/>
                  <w:vAlign w:val="center"/>
                </w:tcPr>
                <w:p w14:paraId="250C690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2.65</w:t>
                  </w:r>
                </w:p>
              </w:tc>
              <w:tc>
                <w:tcPr>
                  <w:tcW w:w="635" w:type="pct"/>
                  <w:vAlign w:val="center"/>
                </w:tcPr>
                <w:p w14:paraId="01C8957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1053" w:type="pct"/>
                  <w:vAlign w:val="center"/>
                </w:tcPr>
                <w:p w14:paraId="6F413FC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13" w:type="pct"/>
                  <w:vMerge w:val="continue"/>
                  <w:vAlign w:val="center"/>
                </w:tcPr>
                <w:p w14:paraId="4E2694CE">
                  <w:pPr>
                    <w:spacing w:line="360" w:lineRule="exact"/>
                    <w:jc w:val="center"/>
                    <w:rPr>
                      <w:color w:val="000000" w:themeColor="text1"/>
                      <w:szCs w:val="21"/>
                      <w14:textFill>
                        <w14:solidFill>
                          <w14:schemeClr w14:val="tx1"/>
                        </w14:solidFill>
                      </w14:textFill>
                    </w:rPr>
                  </w:pPr>
                </w:p>
              </w:tc>
            </w:tr>
          </w:tbl>
          <w:p w14:paraId="5AB522E0">
            <w:pPr>
              <w:numPr>
                <w:ilvl w:val="0"/>
                <w:numId w:val="11"/>
              </w:numPr>
              <w:snapToGrid w:val="0"/>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电气工程</w:t>
            </w:r>
          </w:p>
          <w:p w14:paraId="1B3D0449">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（1）接入系统方案</w:t>
            </w:r>
          </w:p>
          <w:p w14:paraId="6134C29C">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本项目规划装机容量为直流侧175.0632MWp，升压站新上1×150MWA 变压器一台，采用220kV并网接入方式。距离本项目站址距离较近的变电站有北部遵化220kV变电站、西铺220kV变电站、场址区南侧为泉河头220kV变电站。最终接入方案待接入批复后确定。</w:t>
            </w:r>
          </w:p>
          <w:p w14:paraId="3BDD47F2">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（2）电气一次</w:t>
            </w:r>
          </w:p>
          <w:p w14:paraId="038E0419">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①光伏区</w:t>
            </w:r>
          </w:p>
          <w:p w14:paraId="1F2A0E5C">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光伏电站共分48个光伏发电单元。光伏场区共47个3.15MW发电单元，1个2.0MW发电单元。安装320kW组串式逆器470台，升压箱变48座。通过35kV汇集线路接入升压站。</w:t>
            </w:r>
          </w:p>
          <w:p w14:paraId="74F72A55">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②升压站</w:t>
            </w:r>
          </w:p>
          <w:p w14:paraId="3C0C2670">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新建一座220kV光伏升压站，升压站1回220kV线路接入对端220kV站220kV母线侧备用间隔。升压站规划建设1×150MVA主变，电压等级为220/35kV。主变采用有载调压变压器，主变抽头选择230±8×1.25%/37kV，联接组别为YN/d11。</w:t>
            </w:r>
          </w:p>
          <w:p w14:paraId="1317A1DD">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（3）电气二次</w:t>
            </w:r>
          </w:p>
          <w:p w14:paraId="4D2CE07B">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光伏电站按“有人值班、少人值守”的原则设计。光伏电站安装三套计算机监控系统，分别监控光伏区域和升压站，具有控制、通信、测量等功能。监控后台设在升压站主控室内，通过光伏电站监控系统实现电站的全功能自动化管理，电站与调度端的遥测、遥信功能等</w:t>
            </w:r>
          </w:p>
          <w:p w14:paraId="22D735BA">
            <w:pPr>
              <w:numPr>
                <w:ilvl w:val="0"/>
                <w:numId w:val="11"/>
              </w:numPr>
              <w:snapToGrid w:val="0"/>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生态修复方案</w:t>
            </w:r>
          </w:p>
          <w:p w14:paraId="623608EC">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项目占地分为永久占地和临时占地。因此，针对占地类型类采用不同的植被恢复方式：</w:t>
            </w:r>
          </w:p>
          <w:p w14:paraId="4DBC69F5">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永久占地：升压站、光伏板、塔基占地。</w:t>
            </w:r>
            <w:r>
              <w:rPr>
                <w:color w:val="000000" w:themeColor="text1"/>
                <w:sz w:val="24"/>
                <w14:textFill>
                  <w14:solidFill>
                    <w14:schemeClr w14:val="tx1"/>
                  </w14:solidFill>
                </w14:textFill>
              </w:rPr>
              <w:t>施工前进行表土剥离，分层堆放；施工结束后这些表土用于项目绿化或其他需要土壤改良的区域。</w:t>
            </w:r>
          </w:p>
          <w:p w14:paraId="4593DA51">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临时占地：</w:t>
            </w:r>
            <w:r>
              <w:rPr>
                <w:color w:val="000000" w:themeColor="text1"/>
                <w:sz w:val="24"/>
                <w14:textFill>
                  <w14:solidFill>
                    <w14:schemeClr w14:val="tx1"/>
                  </w14:solidFill>
                </w14:textFill>
              </w:rPr>
              <w:t>施工期临时道路和施工厂区占地</w:t>
            </w:r>
            <w:r>
              <w:rPr>
                <w:rFonts w:hint="eastAsia"/>
                <w:color w:val="000000" w:themeColor="text1"/>
                <w:sz w:val="24"/>
                <w14:textFill>
                  <w14:solidFill>
                    <w14:schemeClr w14:val="tx1"/>
                  </w14:solidFill>
                </w14:textFill>
              </w:rPr>
              <w:t>。施工结束及时进行植被恢复，采取播撒草籽、灌木等措施。</w:t>
            </w:r>
          </w:p>
          <w:p w14:paraId="7B7F7887">
            <w:pPr>
              <w:numPr>
                <w:ilvl w:val="0"/>
                <w:numId w:val="11"/>
              </w:numPr>
              <w:snapToGrid w:val="0"/>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工程占地</w:t>
            </w:r>
          </w:p>
          <w:p w14:paraId="575AB817">
            <w:pPr>
              <w:snapToGrid w:val="0"/>
              <w:spacing w:line="440" w:lineRule="exact"/>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永久占地</w:t>
            </w:r>
          </w:p>
          <w:p w14:paraId="78B7DB16">
            <w:pPr>
              <w:snapToGrid w:val="0"/>
              <w:spacing w:line="440" w:lineRule="exact"/>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永久用地</w:t>
            </w:r>
            <w:r>
              <w:rPr>
                <w:rFonts w:hint="eastAsia"/>
                <w:bCs/>
                <w:color w:val="000000" w:themeColor="text1"/>
                <w:sz w:val="24"/>
                <w14:textFill>
                  <w14:solidFill>
                    <w14:schemeClr w14:val="tx1"/>
                  </w14:solidFill>
                </w14:textFill>
              </w:rPr>
              <w:t>273.3496</w:t>
            </w:r>
            <w:r>
              <w:rPr>
                <w:rFonts w:hint="eastAsia"/>
                <w:color w:val="000000" w:themeColor="text1"/>
                <w:sz w:val="24"/>
                <w14:textFill>
                  <w14:solidFill>
                    <w14:schemeClr w14:val="tx1"/>
                  </w14:solidFill>
                </w14:textFill>
              </w:rPr>
              <w:t>公顷</w:t>
            </w:r>
            <w:r>
              <w:rPr>
                <w:bCs/>
                <w:color w:val="000000" w:themeColor="text1"/>
                <w:sz w:val="24"/>
                <w14:textFill>
                  <w14:solidFill>
                    <w14:schemeClr w14:val="tx1"/>
                  </w14:solidFill>
                </w14:textFill>
              </w:rPr>
              <w:t>，其中升压站总占地面积为</w:t>
            </w:r>
            <w:r>
              <w:rPr>
                <w:rFonts w:hint="eastAsia"/>
                <w:bCs/>
                <w:color w:val="000000" w:themeColor="text1"/>
                <w:sz w:val="24"/>
                <w14:textFill>
                  <w14:solidFill>
                    <w14:schemeClr w14:val="tx1"/>
                  </w14:solidFill>
                </w14:textFill>
              </w:rPr>
              <w:t>1.32</w:t>
            </w:r>
            <w:r>
              <w:rPr>
                <w:rFonts w:hint="eastAsia"/>
                <w:bCs/>
                <w:color w:val="000000" w:themeColor="text1"/>
                <w:sz w:val="24"/>
                <w:lang w:val="en-US" w:eastAsia="zh-CN"/>
                <w14:textFill>
                  <w14:solidFill>
                    <w14:schemeClr w14:val="tx1"/>
                  </w14:solidFill>
                </w14:textFill>
              </w:rPr>
              <w:t>18</w:t>
            </w:r>
            <w:r>
              <w:rPr>
                <w:rFonts w:hint="eastAsia"/>
                <w:color w:val="000000" w:themeColor="text1"/>
                <w:sz w:val="24"/>
                <w14:textFill>
                  <w14:solidFill>
                    <w14:schemeClr w14:val="tx1"/>
                  </w14:solidFill>
                </w14:textFill>
              </w:rPr>
              <w:t>公顷</w:t>
            </w:r>
            <w:r>
              <w:rPr>
                <w:bCs/>
                <w:color w:val="000000" w:themeColor="text1"/>
                <w:sz w:val="24"/>
                <w14:textFill>
                  <w14:solidFill>
                    <w14:schemeClr w14:val="tx1"/>
                  </w14:solidFill>
                </w14:textFill>
              </w:rPr>
              <w:t>，光伏场区占地面积</w:t>
            </w:r>
            <w:r>
              <w:rPr>
                <w:rFonts w:hint="eastAsia"/>
                <w:bCs/>
                <w:color w:val="000000" w:themeColor="text1"/>
                <w:sz w:val="24"/>
                <w14:textFill>
                  <w14:solidFill>
                    <w14:schemeClr w14:val="tx1"/>
                  </w14:solidFill>
                </w14:textFill>
              </w:rPr>
              <w:t>272.0267</w:t>
            </w:r>
            <w:r>
              <w:rPr>
                <w:rFonts w:hint="eastAsia"/>
                <w:color w:val="000000" w:themeColor="text1"/>
                <w:sz w:val="24"/>
                <w14:textFill>
                  <w14:solidFill>
                    <w14:schemeClr w14:val="tx1"/>
                  </w14:solidFill>
                </w14:textFill>
              </w:rPr>
              <w:t>公顷</w:t>
            </w:r>
            <w:r>
              <w:rPr>
                <w:bCs/>
                <w:color w:val="000000" w:themeColor="text1"/>
                <w:sz w:val="24"/>
                <w14:textFill>
                  <w14:solidFill>
                    <w14:schemeClr w14:val="tx1"/>
                  </w14:solidFill>
                </w14:textFill>
              </w:rPr>
              <w:t>。</w:t>
            </w:r>
          </w:p>
          <w:p w14:paraId="3AC0F392">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②</w:t>
            </w:r>
            <w:r>
              <w:rPr>
                <w:color w:val="000000" w:themeColor="text1"/>
                <w:sz w:val="24"/>
                <w:lang w:bidi="ar"/>
                <w14:textFill>
                  <w14:solidFill>
                    <w14:schemeClr w14:val="tx1"/>
                  </w14:solidFill>
                </w14:textFill>
              </w:rPr>
              <w:t>临时占地</w:t>
            </w:r>
          </w:p>
          <w:p w14:paraId="002DBD07">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项目临时占地主要为施工期临时道路和施工厂区占地，占地面积12500m</w:t>
            </w:r>
            <w:r>
              <w:rPr>
                <w:rFonts w:hint="eastAsia"/>
                <w:color w:val="000000" w:themeColor="text1"/>
                <w:sz w:val="24"/>
                <w:vertAlign w:val="superscript"/>
                <w:lang w:bidi="ar"/>
                <w14:textFill>
                  <w14:solidFill>
                    <w14:schemeClr w14:val="tx1"/>
                  </w14:solidFill>
                </w14:textFill>
              </w:rPr>
              <w:t>2</w:t>
            </w:r>
            <w:r>
              <w:rPr>
                <w:rFonts w:hint="eastAsia"/>
                <w:color w:val="000000" w:themeColor="text1"/>
                <w:sz w:val="24"/>
                <w:lang w:bidi="ar"/>
                <w14:textFill>
                  <w14:solidFill>
                    <w14:schemeClr w14:val="tx1"/>
                  </w14:solidFill>
                </w14:textFill>
              </w:rPr>
              <w:t>，位于升压站及光伏场区内，施工完成后进行生态修复。</w:t>
            </w:r>
          </w:p>
          <w:p w14:paraId="4FBB5AB5">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具体占地类型如下：</w:t>
            </w:r>
          </w:p>
          <w:p w14:paraId="18BC7BBD">
            <w:pPr>
              <w:spacing w:line="440" w:lineRule="exact"/>
              <w:ind w:firstLine="480" w:firstLineChars="200"/>
              <w:rPr>
                <w:color w:val="000000" w:themeColor="text1"/>
                <w:sz w:val="24"/>
                <w:lang w:bidi="ar"/>
                <w14:textFill>
                  <w14:solidFill>
                    <w14:schemeClr w14:val="tx1"/>
                  </w14:solidFill>
                </w14:textFill>
              </w:rPr>
            </w:pPr>
          </w:p>
          <w:p w14:paraId="492A9CEA">
            <w:pPr>
              <w:autoSpaceDE w:val="0"/>
              <w:autoSpaceDN w:val="0"/>
              <w:spacing w:line="440" w:lineRule="exact"/>
              <w:jc w:val="center"/>
              <w:rPr>
                <w:color w:val="000000" w:themeColor="text1"/>
                <w14:textFill>
                  <w14:solidFill>
                    <w14:schemeClr w14:val="tx1"/>
                  </w14:solidFill>
                </w14:textFill>
              </w:rPr>
            </w:pPr>
          </w:p>
        </w:tc>
      </w:tr>
    </w:tbl>
    <w:p w14:paraId="504DCE93">
      <w:pPr>
        <w:rPr>
          <w:color w:val="000000" w:themeColor="text1"/>
          <w14:textFill>
            <w14:solidFill>
              <w14:schemeClr w14:val="tx1"/>
            </w14:solidFill>
          </w14:textFill>
        </w:rPr>
        <w:sectPr>
          <w:pgSz w:w="11906" w:h="16838"/>
          <w:pgMar w:top="1701" w:right="1531" w:bottom="1701" w:left="1531" w:header="851" w:footer="1077" w:gutter="0"/>
          <w:cols w:space="720" w:num="1"/>
          <w:docGrid w:linePitch="312" w:charSpace="0"/>
        </w:sectPr>
      </w:pPr>
    </w:p>
    <w:p w14:paraId="41DFDD44">
      <w:pPr>
        <w:spacing w:line="440" w:lineRule="exact"/>
        <w:ind w:firstLine="482" w:firstLineChars="200"/>
        <w:rPr>
          <w:color w:val="000000" w:themeColor="text1"/>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14:textFill>
            <w14:solidFill>
              <w14:schemeClr w14:val="tx1"/>
            </w14:solidFill>
          </w14:textFill>
        </w:rPr>
        <w:t>7</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项目占地用地性质情况一览表</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 xml:space="preserve">                                                           面积：公顷</w:t>
      </w:r>
      <w:r>
        <w:rPr>
          <w:b/>
          <w:color w:val="000000" w:themeColor="text1"/>
          <w:sz w:val="24"/>
          <w14:textFill>
            <w14:solidFill>
              <w14:schemeClr w14:val="tx1"/>
            </w14:solidFill>
          </w14:textFill>
        </w:rPr>
        <w:t xml:space="preserve"> </w:t>
      </w:r>
    </w:p>
    <w:tbl>
      <w:tblPr>
        <w:tblStyle w:val="67"/>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9"/>
        <w:gridCol w:w="1323"/>
        <w:gridCol w:w="1017"/>
        <w:gridCol w:w="960"/>
        <w:gridCol w:w="986"/>
        <w:gridCol w:w="1208"/>
        <w:gridCol w:w="801"/>
        <w:gridCol w:w="1151"/>
        <w:gridCol w:w="988"/>
        <w:gridCol w:w="1132"/>
        <w:gridCol w:w="918"/>
        <w:gridCol w:w="1320"/>
        <w:gridCol w:w="1165"/>
      </w:tblGrid>
      <w:tr w14:paraId="75AB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224" w:type="pct"/>
            <w:vMerge w:val="restart"/>
            <w:vAlign w:val="center"/>
          </w:tcPr>
          <w:p w14:paraId="3DBDA9C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地块号</w:t>
            </w:r>
          </w:p>
        </w:tc>
        <w:tc>
          <w:tcPr>
            <w:tcW w:w="487" w:type="pct"/>
            <w:vMerge w:val="restart"/>
            <w:vAlign w:val="center"/>
          </w:tcPr>
          <w:p w14:paraId="40ABACD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地块名称</w:t>
            </w:r>
          </w:p>
        </w:tc>
        <w:tc>
          <w:tcPr>
            <w:tcW w:w="374" w:type="pct"/>
            <w:vMerge w:val="restart"/>
            <w:vAlign w:val="center"/>
          </w:tcPr>
          <w:p w14:paraId="30B858A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地块面积</w:t>
            </w:r>
          </w:p>
        </w:tc>
        <w:tc>
          <w:tcPr>
            <w:tcW w:w="3914" w:type="pct"/>
            <w:gridSpan w:val="10"/>
            <w:vAlign w:val="center"/>
          </w:tcPr>
          <w:p w14:paraId="68DEE3E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农用地</w:t>
            </w:r>
          </w:p>
        </w:tc>
      </w:tr>
      <w:tr w14:paraId="16B3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224" w:type="pct"/>
            <w:vMerge w:val="continue"/>
            <w:vAlign w:val="center"/>
          </w:tcPr>
          <w:p w14:paraId="56F1D13B">
            <w:pPr>
              <w:spacing w:line="360" w:lineRule="exact"/>
              <w:jc w:val="center"/>
              <w:rPr>
                <w:color w:val="000000" w:themeColor="text1"/>
                <w:szCs w:val="21"/>
                <w14:textFill>
                  <w14:solidFill>
                    <w14:schemeClr w14:val="tx1"/>
                  </w14:solidFill>
                </w14:textFill>
              </w:rPr>
            </w:pPr>
          </w:p>
        </w:tc>
        <w:tc>
          <w:tcPr>
            <w:tcW w:w="487" w:type="pct"/>
            <w:vMerge w:val="continue"/>
            <w:vAlign w:val="center"/>
          </w:tcPr>
          <w:p w14:paraId="3B46F163">
            <w:pPr>
              <w:spacing w:line="360" w:lineRule="exact"/>
              <w:jc w:val="center"/>
              <w:rPr>
                <w:color w:val="000000" w:themeColor="text1"/>
                <w:szCs w:val="21"/>
                <w14:textFill>
                  <w14:solidFill>
                    <w14:schemeClr w14:val="tx1"/>
                  </w14:solidFill>
                </w14:textFill>
              </w:rPr>
            </w:pPr>
          </w:p>
        </w:tc>
        <w:tc>
          <w:tcPr>
            <w:tcW w:w="374" w:type="pct"/>
            <w:vMerge w:val="continue"/>
            <w:vAlign w:val="center"/>
          </w:tcPr>
          <w:p w14:paraId="32D908E1">
            <w:pPr>
              <w:spacing w:line="360" w:lineRule="exact"/>
              <w:jc w:val="center"/>
              <w:rPr>
                <w:color w:val="000000" w:themeColor="text1"/>
                <w:szCs w:val="21"/>
                <w14:textFill>
                  <w14:solidFill>
                    <w14:schemeClr w14:val="tx1"/>
                  </w14:solidFill>
                </w14:textFill>
              </w:rPr>
            </w:pPr>
          </w:p>
        </w:tc>
        <w:tc>
          <w:tcPr>
            <w:tcW w:w="353" w:type="pct"/>
            <w:vMerge w:val="restart"/>
            <w:vAlign w:val="center"/>
          </w:tcPr>
          <w:p w14:paraId="07D4E9C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农用地合计</w:t>
            </w:r>
          </w:p>
        </w:tc>
        <w:tc>
          <w:tcPr>
            <w:tcW w:w="3560" w:type="pct"/>
            <w:gridSpan w:val="9"/>
            <w:vAlign w:val="center"/>
          </w:tcPr>
          <w:p w14:paraId="2DABF20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非耕农用地</w:t>
            </w:r>
          </w:p>
        </w:tc>
      </w:tr>
      <w:tr w14:paraId="6A39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4" w:type="pct"/>
            <w:vMerge w:val="continue"/>
            <w:vAlign w:val="center"/>
          </w:tcPr>
          <w:p w14:paraId="1BD17D5D">
            <w:pPr>
              <w:spacing w:line="360" w:lineRule="exact"/>
              <w:jc w:val="center"/>
              <w:rPr>
                <w:color w:val="000000" w:themeColor="text1"/>
                <w:szCs w:val="21"/>
                <w14:textFill>
                  <w14:solidFill>
                    <w14:schemeClr w14:val="tx1"/>
                  </w14:solidFill>
                </w14:textFill>
              </w:rPr>
            </w:pPr>
          </w:p>
        </w:tc>
        <w:tc>
          <w:tcPr>
            <w:tcW w:w="487" w:type="pct"/>
            <w:vMerge w:val="continue"/>
            <w:vAlign w:val="center"/>
          </w:tcPr>
          <w:p w14:paraId="0FC765E9">
            <w:pPr>
              <w:spacing w:line="360" w:lineRule="exact"/>
              <w:jc w:val="center"/>
              <w:rPr>
                <w:color w:val="000000" w:themeColor="text1"/>
                <w:szCs w:val="21"/>
                <w14:textFill>
                  <w14:solidFill>
                    <w14:schemeClr w14:val="tx1"/>
                  </w14:solidFill>
                </w14:textFill>
              </w:rPr>
            </w:pPr>
          </w:p>
        </w:tc>
        <w:tc>
          <w:tcPr>
            <w:tcW w:w="374" w:type="pct"/>
            <w:vMerge w:val="continue"/>
            <w:vAlign w:val="center"/>
          </w:tcPr>
          <w:p w14:paraId="763CB9F8">
            <w:pPr>
              <w:spacing w:line="360" w:lineRule="exact"/>
              <w:jc w:val="center"/>
              <w:rPr>
                <w:color w:val="000000" w:themeColor="text1"/>
                <w:szCs w:val="21"/>
                <w14:textFill>
                  <w14:solidFill>
                    <w14:schemeClr w14:val="tx1"/>
                  </w14:solidFill>
                </w14:textFill>
              </w:rPr>
            </w:pPr>
          </w:p>
        </w:tc>
        <w:tc>
          <w:tcPr>
            <w:tcW w:w="353" w:type="pct"/>
            <w:vMerge w:val="continue"/>
            <w:vAlign w:val="center"/>
          </w:tcPr>
          <w:p w14:paraId="1708998E">
            <w:pPr>
              <w:spacing w:line="360" w:lineRule="exact"/>
              <w:jc w:val="center"/>
              <w:rPr>
                <w:color w:val="000000" w:themeColor="text1"/>
                <w:szCs w:val="21"/>
                <w14:textFill>
                  <w14:solidFill>
                    <w14:schemeClr w14:val="tx1"/>
                  </w14:solidFill>
                </w14:textFill>
              </w:rPr>
            </w:pPr>
          </w:p>
        </w:tc>
        <w:tc>
          <w:tcPr>
            <w:tcW w:w="363" w:type="pct"/>
            <w:vMerge w:val="restart"/>
            <w:vAlign w:val="center"/>
          </w:tcPr>
          <w:p w14:paraId="3445CB7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非耕农用地合计</w:t>
            </w:r>
          </w:p>
        </w:tc>
        <w:tc>
          <w:tcPr>
            <w:tcW w:w="740" w:type="pct"/>
            <w:gridSpan w:val="2"/>
            <w:vAlign w:val="center"/>
          </w:tcPr>
          <w:p w14:paraId="2BA7C0F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园地</w:t>
            </w:r>
          </w:p>
        </w:tc>
        <w:tc>
          <w:tcPr>
            <w:tcW w:w="788" w:type="pct"/>
            <w:gridSpan w:val="2"/>
            <w:vAlign w:val="center"/>
          </w:tcPr>
          <w:p w14:paraId="501092F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林地</w:t>
            </w:r>
          </w:p>
        </w:tc>
        <w:tc>
          <w:tcPr>
            <w:tcW w:w="755" w:type="pct"/>
            <w:gridSpan w:val="2"/>
            <w:vAlign w:val="center"/>
          </w:tcPr>
          <w:p w14:paraId="762F988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草地</w:t>
            </w:r>
          </w:p>
        </w:tc>
        <w:tc>
          <w:tcPr>
            <w:tcW w:w="912" w:type="pct"/>
            <w:gridSpan w:val="2"/>
            <w:vAlign w:val="center"/>
          </w:tcPr>
          <w:p w14:paraId="7A1137A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其他土地</w:t>
            </w:r>
          </w:p>
        </w:tc>
      </w:tr>
      <w:tr w14:paraId="2BCB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4" w:type="pct"/>
            <w:vMerge w:val="continue"/>
            <w:vAlign w:val="center"/>
          </w:tcPr>
          <w:p w14:paraId="03B38018">
            <w:pPr>
              <w:spacing w:line="360" w:lineRule="exact"/>
              <w:jc w:val="center"/>
              <w:rPr>
                <w:color w:val="000000" w:themeColor="text1"/>
                <w:szCs w:val="21"/>
                <w14:textFill>
                  <w14:solidFill>
                    <w14:schemeClr w14:val="tx1"/>
                  </w14:solidFill>
                </w14:textFill>
              </w:rPr>
            </w:pPr>
          </w:p>
        </w:tc>
        <w:tc>
          <w:tcPr>
            <w:tcW w:w="487" w:type="pct"/>
            <w:vMerge w:val="continue"/>
            <w:vAlign w:val="center"/>
          </w:tcPr>
          <w:p w14:paraId="04309551">
            <w:pPr>
              <w:spacing w:line="360" w:lineRule="exact"/>
              <w:jc w:val="center"/>
              <w:rPr>
                <w:color w:val="000000" w:themeColor="text1"/>
                <w:szCs w:val="21"/>
                <w14:textFill>
                  <w14:solidFill>
                    <w14:schemeClr w14:val="tx1"/>
                  </w14:solidFill>
                </w14:textFill>
              </w:rPr>
            </w:pPr>
          </w:p>
        </w:tc>
        <w:tc>
          <w:tcPr>
            <w:tcW w:w="374" w:type="pct"/>
            <w:vMerge w:val="continue"/>
            <w:vAlign w:val="center"/>
          </w:tcPr>
          <w:p w14:paraId="78B38BDC">
            <w:pPr>
              <w:spacing w:line="360" w:lineRule="exact"/>
              <w:jc w:val="center"/>
              <w:rPr>
                <w:color w:val="000000" w:themeColor="text1"/>
                <w:szCs w:val="21"/>
                <w14:textFill>
                  <w14:solidFill>
                    <w14:schemeClr w14:val="tx1"/>
                  </w14:solidFill>
                </w14:textFill>
              </w:rPr>
            </w:pPr>
          </w:p>
        </w:tc>
        <w:tc>
          <w:tcPr>
            <w:tcW w:w="353" w:type="pct"/>
            <w:vMerge w:val="continue"/>
            <w:vAlign w:val="center"/>
          </w:tcPr>
          <w:p w14:paraId="4F453E4A">
            <w:pPr>
              <w:spacing w:line="360" w:lineRule="exact"/>
              <w:jc w:val="center"/>
              <w:rPr>
                <w:color w:val="000000" w:themeColor="text1"/>
                <w:szCs w:val="21"/>
                <w14:textFill>
                  <w14:solidFill>
                    <w14:schemeClr w14:val="tx1"/>
                  </w14:solidFill>
                </w14:textFill>
              </w:rPr>
            </w:pPr>
          </w:p>
        </w:tc>
        <w:tc>
          <w:tcPr>
            <w:tcW w:w="363" w:type="pct"/>
            <w:vMerge w:val="continue"/>
            <w:vAlign w:val="center"/>
          </w:tcPr>
          <w:p w14:paraId="36ED1CE9">
            <w:pPr>
              <w:spacing w:line="360" w:lineRule="exact"/>
              <w:jc w:val="center"/>
              <w:rPr>
                <w:color w:val="000000" w:themeColor="text1"/>
                <w:szCs w:val="21"/>
                <w14:textFill>
                  <w14:solidFill>
                    <w14:schemeClr w14:val="tx1"/>
                  </w14:solidFill>
                </w14:textFill>
              </w:rPr>
            </w:pPr>
          </w:p>
        </w:tc>
        <w:tc>
          <w:tcPr>
            <w:tcW w:w="445" w:type="pct"/>
            <w:vAlign w:val="center"/>
          </w:tcPr>
          <w:p w14:paraId="496803E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园地（小计）</w:t>
            </w:r>
          </w:p>
        </w:tc>
        <w:tc>
          <w:tcPr>
            <w:tcW w:w="295" w:type="pct"/>
            <w:vAlign w:val="center"/>
          </w:tcPr>
          <w:p w14:paraId="22714E9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果园</w:t>
            </w:r>
          </w:p>
        </w:tc>
        <w:tc>
          <w:tcPr>
            <w:tcW w:w="424" w:type="pct"/>
            <w:vAlign w:val="center"/>
          </w:tcPr>
          <w:p w14:paraId="20D21FE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林地（小计）</w:t>
            </w:r>
          </w:p>
        </w:tc>
        <w:tc>
          <w:tcPr>
            <w:tcW w:w="364" w:type="pct"/>
            <w:vAlign w:val="center"/>
          </w:tcPr>
          <w:p w14:paraId="5B1FB2E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其他林地</w:t>
            </w:r>
          </w:p>
        </w:tc>
        <w:tc>
          <w:tcPr>
            <w:tcW w:w="417" w:type="pct"/>
            <w:vAlign w:val="center"/>
          </w:tcPr>
          <w:p w14:paraId="332DD02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草地（小计）</w:t>
            </w:r>
          </w:p>
        </w:tc>
        <w:tc>
          <w:tcPr>
            <w:tcW w:w="337" w:type="pct"/>
            <w:vAlign w:val="center"/>
          </w:tcPr>
          <w:p w14:paraId="6D19AF2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其他草地</w:t>
            </w:r>
          </w:p>
        </w:tc>
        <w:tc>
          <w:tcPr>
            <w:tcW w:w="486" w:type="pct"/>
            <w:vAlign w:val="center"/>
          </w:tcPr>
          <w:p w14:paraId="2FEE5A9E">
            <w:pPr>
              <w:spacing w:line="360" w:lineRule="exact"/>
              <w:jc w:val="center"/>
              <w:rPr>
                <w:color w:val="000000" w:themeColor="text1"/>
                <w:szCs w:val="21"/>
                <w14:textFill>
                  <w14:solidFill>
                    <w14:schemeClr w14:val="tx1"/>
                  </w14:solidFill>
                </w14:textFill>
              </w:rPr>
            </w:pPr>
            <w:r>
              <w:rPr>
                <w:rFonts w:hint="eastAsia"/>
                <w:color w:val="000000" w:themeColor="text1"/>
                <w:spacing w:val="-20"/>
                <w:szCs w:val="21"/>
                <w14:textFill>
                  <w14:solidFill>
                    <w14:schemeClr w14:val="tx1"/>
                  </w14:solidFill>
                </w14:textFill>
              </w:rPr>
              <w:t>其他土地（小计）</w:t>
            </w:r>
          </w:p>
        </w:tc>
        <w:tc>
          <w:tcPr>
            <w:tcW w:w="425" w:type="pct"/>
            <w:vAlign w:val="center"/>
          </w:tcPr>
          <w:p w14:paraId="2171AD3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设施农用地</w:t>
            </w:r>
          </w:p>
        </w:tc>
      </w:tr>
      <w:tr w14:paraId="7A97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0" w:hRule="atLeast"/>
          <w:jc w:val="center"/>
        </w:trPr>
        <w:tc>
          <w:tcPr>
            <w:tcW w:w="224" w:type="pct"/>
            <w:vMerge w:val="continue"/>
            <w:vAlign w:val="center"/>
          </w:tcPr>
          <w:p w14:paraId="6B2B2AC9">
            <w:pPr>
              <w:spacing w:line="360" w:lineRule="exact"/>
              <w:jc w:val="center"/>
              <w:rPr>
                <w:color w:val="000000" w:themeColor="text1"/>
                <w:szCs w:val="21"/>
                <w14:textFill>
                  <w14:solidFill>
                    <w14:schemeClr w14:val="tx1"/>
                  </w14:solidFill>
                </w14:textFill>
              </w:rPr>
            </w:pPr>
          </w:p>
        </w:tc>
        <w:tc>
          <w:tcPr>
            <w:tcW w:w="487" w:type="pct"/>
            <w:vMerge w:val="continue"/>
            <w:vAlign w:val="center"/>
          </w:tcPr>
          <w:p w14:paraId="33572A9E">
            <w:pPr>
              <w:spacing w:line="360" w:lineRule="exact"/>
              <w:jc w:val="center"/>
              <w:rPr>
                <w:color w:val="000000" w:themeColor="text1"/>
                <w:szCs w:val="21"/>
                <w14:textFill>
                  <w14:solidFill>
                    <w14:schemeClr w14:val="tx1"/>
                  </w14:solidFill>
                </w14:textFill>
              </w:rPr>
            </w:pPr>
          </w:p>
        </w:tc>
        <w:tc>
          <w:tcPr>
            <w:tcW w:w="374" w:type="pct"/>
            <w:vMerge w:val="continue"/>
            <w:vAlign w:val="center"/>
          </w:tcPr>
          <w:p w14:paraId="01602F7E">
            <w:pPr>
              <w:spacing w:line="360" w:lineRule="exact"/>
              <w:jc w:val="center"/>
              <w:rPr>
                <w:color w:val="000000" w:themeColor="text1"/>
                <w:szCs w:val="21"/>
                <w14:textFill>
                  <w14:solidFill>
                    <w14:schemeClr w14:val="tx1"/>
                  </w14:solidFill>
                </w14:textFill>
              </w:rPr>
            </w:pPr>
          </w:p>
        </w:tc>
        <w:tc>
          <w:tcPr>
            <w:tcW w:w="353" w:type="pct"/>
            <w:vMerge w:val="continue"/>
            <w:vAlign w:val="center"/>
          </w:tcPr>
          <w:p w14:paraId="30294A90">
            <w:pPr>
              <w:spacing w:line="360" w:lineRule="exact"/>
              <w:jc w:val="center"/>
              <w:rPr>
                <w:color w:val="000000" w:themeColor="text1"/>
                <w:szCs w:val="21"/>
                <w14:textFill>
                  <w14:solidFill>
                    <w14:schemeClr w14:val="tx1"/>
                  </w14:solidFill>
                </w14:textFill>
              </w:rPr>
            </w:pPr>
          </w:p>
        </w:tc>
        <w:tc>
          <w:tcPr>
            <w:tcW w:w="363" w:type="pct"/>
            <w:vAlign w:val="center"/>
          </w:tcPr>
          <w:p w14:paraId="782F2E3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用地代码</w:t>
            </w:r>
          </w:p>
        </w:tc>
        <w:tc>
          <w:tcPr>
            <w:tcW w:w="445" w:type="pct"/>
            <w:vAlign w:val="center"/>
          </w:tcPr>
          <w:p w14:paraId="62A14D3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295" w:type="pct"/>
            <w:vAlign w:val="center"/>
          </w:tcPr>
          <w:p w14:paraId="24EABFB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0201</w:t>
            </w:r>
          </w:p>
        </w:tc>
        <w:tc>
          <w:tcPr>
            <w:tcW w:w="424" w:type="pct"/>
            <w:vAlign w:val="center"/>
          </w:tcPr>
          <w:p w14:paraId="0105128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364" w:type="pct"/>
            <w:vAlign w:val="center"/>
          </w:tcPr>
          <w:p w14:paraId="3ED2679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0304</w:t>
            </w:r>
          </w:p>
        </w:tc>
        <w:tc>
          <w:tcPr>
            <w:tcW w:w="417" w:type="pct"/>
            <w:vAlign w:val="center"/>
          </w:tcPr>
          <w:p w14:paraId="5B95B10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c>
          <w:tcPr>
            <w:tcW w:w="337" w:type="pct"/>
            <w:vAlign w:val="center"/>
          </w:tcPr>
          <w:p w14:paraId="3468AAC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0403</w:t>
            </w:r>
          </w:p>
        </w:tc>
        <w:tc>
          <w:tcPr>
            <w:tcW w:w="486" w:type="pct"/>
            <w:vAlign w:val="center"/>
          </w:tcPr>
          <w:p w14:paraId="711FC24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w:t>
            </w:r>
          </w:p>
        </w:tc>
        <w:tc>
          <w:tcPr>
            <w:tcW w:w="425" w:type="pct"/>
            <w:vAlign w:val="center"/>
          </w:tcPr>
          <w:p w14:paraId="2389D3B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0602</w:t>
            </w:r>
          </w:p>
        </w:tc>
      </w:tr>
      <w:tr w14:paraId="0E5D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405E2F6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87" w:type="pct"/>
            <w:vAlign w:val="center"/>
          </w:tcPr>
          <w:p w14:paraId="7249B7C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280E399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0.0269</w:t>
            </w:r>
          </w:p>
        </w:tc>
        <w:tc>
          <w:tcPr>
            <w:tcW w:w="353" w:type="pct"/>
            <w:vAlign w:val="center"/>
          </w:tcPr>
          <w:p w14:paraId="59A9859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0.0269</w:t>
            </w:r>
          </w:p>
        </w:tc>
        <w:tc>
          <w:tcPr>
            <w:tcW w:w="363" w:type="pct"/>
            <w:vAlign w:val="center"/>
          </w:tcPr>
          <w:p w14:paraId="137AC9C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0.0269</w:t>
            </w:r>
          </w:p>
        </w:tc>
        <w:tc>
          <w:tcPr>
            <w:tcW w:w="445" w:type="pct"/>
            <w:vAlign w:val="center"/>
          </w:tcPr>
          <w:p w14:paraId="59F1763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0.0269</w:t>
            </w:r>
          </w:p>
        </w:tc>
        <w:tc>
          <w:tcPr>
            <w:tcW w:w="295" w:type="pct"/>
            <w:vAlign w:val="center"/>
          </w:tcPr>
          <w:p w14:paraId="77EC8E9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0.0269</w:t>
            </w:r>
          </w:p>
        </w:tc>
        <w:tc>
          <w:tcPr>
            <w:tcW w:w="424" w:type="pct"/>
            <w:vAlign w:val="center"/>
          </w:tcPr>
          <w:p w14:paraId="28B09A4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6E1F278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vAlign w:val="center"/>
          </w:tcPr>
          <w:p w14:paraId="330F149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37" w:type="pct"/>
            <w:vAlign w:val="center"/>
          </w:tcPr>
          <w:p w14:paraId="49FD5E5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86" w:type="pct"/>
            <w:vAlign w:val="center"/>
          </w:tcPr>
          <w:p w14:paraId="47A0758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6774069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158B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3AD55E1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87" w:type="pct"/>
            <w:vAlign w:val="center"/>
          </w:tcPr>
          <w:p w14:paraId="5E072D6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6D1607B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0.0553</w:t>
            </w:r>
          </w:p>
        </w:tc>
        <w:tc>
          <w:tcPr>
            <w:tcW w:w="353" w:type="pct"/>
            <w:vAlign w:val="center"/>
          </w:tcPr>
          <w:p w14:paraId="2BD7866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0.0553</w:t>
            </w:r>
          </w:p>
        </w:tc>
        <w:tc>
          <w:tcPr>
            <w:tcW w:w="363" w:type="pct"/>
            <w:vAlign w:val="center"/>
          </w:tcPr>
          <w:p w14:paraId="502172D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0.0553</w:t>
            </w:r>
          </w:p>
        </w:tc>
        <w:tc>
          <w:tcPr>
            <w:tcW w:w="445" w:type="pct"/>
            <w:vAlign w:val="center"/>
          </w:tcPr>
          <w:p w14:paraId="0CDD4B8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0.0553</w:t>
            </w:r>
          </w:p>
        </w:tc>
        <w:tc>
          <w:tcPr>
            <w:tcW w:w="295" w:type="pct"/>
            <w:vAlign w:val="center"/>
          </w:tcPr>
          <w:p w14:paraId="5FE5849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0.0553</w:t>
            </w:r>
          </w:p>
        </w:tc>
        <w:tc>
          <w:tcPr>
            <w:tcW w:w="424" w:type="pct"/>
            <w:vAlign w:val="center"/>
          </w:tcPr>
          <w:p w14:paraId="49D4643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19A45A1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vAlign w:val="center"/>
          </w:tcPr>
          <w:p w14:paraId="42CCAD8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37" w:type="pct"/>
            <w:vAlign w:val="center"/>
          </w:tcPr>
          <w:p w14:paraId="0A2E6E0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86" w:type="pct"/>
            <w:vAlign w:val="center"/>
          </w:tcPr>
          <w:p w14:paraId="4A14205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57CDC25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480C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001F47B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487" w:type="pct"/>
            <w:vAlign w:val="center"/>
          </w:tcPr>
          <w:p w14:paraId="5391DAA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638EF76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0.0078</w:t>
            </w:r>
          </w:p>
        </w:tc>
        <w:tc>
          <w:tcPr>
            <w:tcW w:w="353" w:type="pct"/>
            <w:vAlign w:val="center"/>
          </w:tcPr>
          <w:p w14:paraId="1D4F72E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0.0078</w:t>
            </w:r>
          </w:p>
        </w:tc>
        <w:tc>
          <w:tcPr>
            <w:tcW w:w="363" w:type="pct"/>
            <w:vAlign w:val="center"/>
          </w:tcPr>
          <w:p w14:paraId="0D86C33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0.0078</w:t>
            </w:r>
          </w:p>
        </w:tc>
        <w:tc>
          <w:tcPr>
            <w:tcW w:w="445" w:type="pct"/>
            <w:vAlign w:val="center"/>
          </w:tcPr>
          <w:p w14:paraId="143699A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0.0078</w:t>
            </w:r>
          </w:p>
        </w:tc>
        <w:tc>
          <w:tcPr>
            <w:tcW w:w="295" w:type="pct"/>
            <w:vAlign w:val="center"/>
          </w:tcPr>
          <w:p w14:paraId="74F625E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0.0078</w:t>
            </w:r>
          </w:p>
        </w:tc>
        <w:tc>
          <w:tcPr>
            <w:tcW w:w="424" w:type="pct"/>
            <w:vAlign w:val="center"/>
          </w:tcPr>
          <w:p w14:paraId="3E1F199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78CC4AD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vAlign w:val="center"/>
          </w:tcPr>
          <w:p w14:paraId="6C2BCA9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37" w:type="pct"/>
            <w:vAlign w:val="center"/>
          </w:tcPr>
          <w:p w14:paraId="064243B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86" w:type="pct"/>
            <w:vAlign w:val="center"/>
          </w:tcPr>
          <w:p w14:paraId="507DA5A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04EC964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4985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01A9E9E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87" w:type="pct"/>
            <w:vAlign w:val="center"/>
          </w:tcPr>
          <w:p w14:paraId="2F35177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4303B00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0.0236</w:t>
            </w:r>
          </w:p>
        </w:tc>
        <w:tc>
          <w:tcPr>
            <w:tcW w:w="353" w:type="pct"/>
            <w:vAlign w:val="center"/>
          </w:tcPr>
          <w:p w14:paraId="4E03663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0.0236</w:t>
            </w:r>
          </w:p>
        </w:tc>
        <w:tc>
          <w:tcPr>
            <w:tcW w:w="363" w:type="pct"/>
            <w:vAlign w:val="center"/>
          </w:tcPr>
          <w:p w14:paraId="2391DA2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0.0236</w:t>
            </w:r>
          </w:p>
        </w:tc>
        <w:tc>
          <w:tcPr>
            <w:tcW w:w="445" w:type="pct"/>
            <w:vAlign w:val="center"/>
          </w:tcPr>
          <w:p w14:paraId="5085E7E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0.0236</w:t>
            </w:r>
          </w:p>
        </w:tc>
        <w:tc>
          <w:tcPr>
            <w:tcW w:w="295" w:type="pct"/>
            <w:vAlign w:val="center"/>
          </w:tcPr>
          <w:p w14:paraId="7CDA553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0.0236</w:t>
            </w:r>
          </w:p>
        </w:tc>
        <w:tc>
          <w:tcPr>
            <w:tcW w:w="424" w:type="pct"/>
            <w:vAlign w:val="center"/>
          </w:tcPr>
          <w:p w14:paraId="4422338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6EFCB5D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vAlign w:val="center"/>
          </w:tcPr>
          <w:p w14:paraId="3B24F48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37" w:type="pct"/>
            <w:vAlign w:val="center"/>
          </w:tcPr>
          <w:p w14:paraId="6AC6DCB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86" w:type="pct"/>
            <w:vAlign w:val="center"/>
          </w:tcPr>
          <w:p w14:paraId="7E22EF1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6894442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2ACB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0C2C6D8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487" w:type="pct"/>
            <w:vAlign w:val="center"/>
          </w:tcPr>
          <w:p w14:paraId="2C1AF6B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0D6FC62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2.4085</w:t>
            </w:r>
          </w:p>
        </w:tc>
        <w:tc>
          <w:tcPr>
            <w:tcW w:w="353" w:type="pct"/>
            <w:vAlign w:val="center"/>
          </w:tcPr>
          <w:p w14:paraId="4D96028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2.4085</w:t>
            </w:r>
          </w:p>
        </w:tc>
        <w:tc>
          <w:tcPr>
            <w:tcW w:w="363" w:type="pct"/>
            <w:vAlign w:val="center"/>
          </w:tcPr>
          <w:p w14:paraId="4FC1342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2.4085</w:t>
            </w:r>
          </w:p>
        </w:tc>
        <w:tc>
          <w:tcPr>
            <w:tcW w:w="445" w:type="pct"/>
            <w:vAlign w:val="center"/>
          </w:tcPr>
          <w:p w14:paraId="49D1583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2.3736</w:t>
            </w:r>
          </w:p>
        </w:tc>
        <w:tc>
          <w:tcPr>
            <w:tcW w:w="295" w:type="pct"/>
            <w:vAlign w:val="center"/>
          </w:tcPr>
          <w:p w14:paraId="47F3538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2.3736</w:t>
            </w:r>
          </w:p>
        </w:tc>
        <w:tc>
          <w:tcPr>
            <w:tcW w:w="424" w:type="pct"/>
            <w:vAlign w:val="center"/>
          </w:tcPr>
          <w:p w14:paraId="541672A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769C482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vAlign w:val="center"/>
          </w:tcPr>
          <w:p w14:paraId="0D0BEA0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37" w:type="pct"/>
            <w:vAlign w:val="center"/>
          </w:tcPr>
          <w:p w14:paraId="470A546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86" w:type="pct"/>
            <w:vAlign w:val="center"/>
          </w:tcPr>
          <w:p w14:paraId="2256C93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0.0349</w:t>
            </w:r>
          </w:p>
        </w:tc>
        <w:tc>
          <w:tcPr>
            <w:tcW w:w="425" w:type="pct"/>
            <w:vAlign w:val="center"/>
          </w:tcPr>
          <w:p w14:paraId="6CF3BDD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0.0349</w:t>
            </w:r>
          </w:p>
        </w:tc>
      </w:tr>
      <w:tr w14:paraId="372B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448B8A9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487" w:type="pct"/>
            <w:vAlign w:val="center"/>
          </w:tcPr>
          <w:p w14:paraId="783376E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0AC8035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59.7502</w:t>
            </w:r>
          </w:p>
        </w:tc>
        <w:tc>
          <w:tcPr>
            <w:tcW w:w="353" w:type="pct"/>
            <w:vAlign w:val="center"/>
          </w:tcPr>
          <w:p w14:paraId="7334B3C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59.7502</w:t>
            </w:r>
          </w:p>
        </w:tc>
        <w:tc>
          <w:tcPr>
            <w:tcW w:w="363" w:type="pct"/>
            <w:vAlign w:val="center"/>
          </w:tcPr>
          <w:p w14:paraId="725D312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59.7502</w:t>
            </w:r>
          </w:p>
        </w:tc>
        <w:tc>
          <w:tcPr>
            <w:tcW w:w="445" w:type="pct"/>
            <w:vAlign w:val="center"/>
          </w:tcPr>
          <w:p w14:paraId="5FB56AE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1.4483</w:t>
            </w:r>
          </w:p>
        </w:tc>
        <w:tc>
          <w:tcPr>
            <w:tcW w:w="295" w:type="pct"/>
            <w:vAlign w:val="center"/>
          </w:tcPr>
          <w:p w14:paraId="3851D28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1.4483</w:t>
            </w:r>
          </w:p>
        </w:tc>
        <w:tc>
          <w:tcPr>
            <w:tcW w:w="424" w:type="pct"/>
            <w:vAlign w:val="center"/>
          </w:tcPr>
          <w:p w14:paraId="7C2654C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238A699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vAlign w:val="center"/>
          </w:tcPr>
          <w:p w14:paraId="77137BD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58.075</w:t>
            </w:r>
          </w:p>
        </w:tc>
        <w:tc>
          <w:tcPr>
            <w:tcW w:w="337" w:type="pct"/>
            <w:vAlign w:val="center"/>
          </w:tcPr>
          <w:p w14:paraId="1813721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58.075</w:t>
            </w:r>
          </w:p>
        </w:tc>
        <w:tc>
          <w:tcPr>
            <w:tcW w:w="486" w:type="pct"/>
            <w:vAlign w:val="center"/>
          </w:tcPr>
          <w:p w14:paraId="7D2C92F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7DE063D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361B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2F41DF8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487" w:type="pct"/>
            <w:vAlign w:val="center"/>
          </w:tcPr>
          <w:p w14:paraId="2C6E818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32E2F8D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29.3698</w:t>
            </w:r>
          </w:p>
        </w:tc>
        <w:tc>
          <w:tcPr>
            <w:tcW w:w="353" w:type="pct"/>
            <w:vAlign w:val="center"/>
          </w:tcPr>
          <w:p w14:paraId="0312297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29.3698</w:t>
            </w:r>
          </w:p>
        </w:tc>
        <w:tc>
          <w:tcPr>
            <w:tcW w:w="363" w:type="pct"/>
            <w:vAlign w:val="center"/>
          </w:tcPr>
          <w:p w14:paraId="54A81F2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29.3698</w:t>
            </w:r>
          </w:p>
        </w:tc>
        <w:tc>
          <w:tcPr>
            <w:tcW w:w="445" w:type="pct"/>
            <w:vAlign w:val="center"/>
          </w:tcPr>
          <w:p w14:paraId="2FC0CE8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3.7257</w:t>
            </w:r>
          </w:p>
        </w:tc>
        <w:tc>
          <w:tcPr>
            <w:tcW w:w="295" w:type="pct"/>
            <w:vAlign w:val="center"/>
          </w:tcPr>
          <w:p w14:paraId="6B006CE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3.7257</w:t>
            </w:r>
          </w:p>
        </w:tc>
        <w:tc>
          <w:tcPr>
            <w:tcW w:w="424" w:type="pct"/>
            <w:vAlign w:val="center"/>
          </w:tcPr>
          <w:p w14:paraId="75C3638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1A362D9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vAlign w:val="center"/>
          </w:tcPr>
          <w:p w14:paraId="06746FB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25.6441</w:t>
            </w:r>
          </w:p>
        </w:tc>
        <w:tc>
          <w:tcPr>
            <w:tcW w:w="337" w:type="pct"/>
            <w:vAlign w:val="center"/>
          </w:tcPr>
          <w:p w14:paraId="1B8ECD3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25.6441</w:t>
            </w:r>
          </w:p>
        </w:tc>
        <w:tc>
          <w:tcPr>
            <w:tcW w:w="486" w:type="pct"/>
            <w:vAlign w:val="center"/>
          </w:tcPr>
          <w:p w14:paraId="7BCA5B2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1925465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2121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015F1E7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487" w:type="pct"/>
            <w:vAlign w:val="center"/>
          </w:tcPr>
          <w:p w14:paraId="6B0BBD8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3899F95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30.405</w:t>
            </w:r>
          </w:p>
        </w:tc>
        <w:tc>
          <w:tcPr>
            <w:tcW w:w="353" w:type="pct"/>
            <w:vAlign w:val="center"/>
          </w:tcPr>
          <w:p w14:paraId="7D322EE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30.405</w:t>
            </w:r>
          </w:p>
        </w:tc>
        <w:tc>
          <w:tcPr>
            <w:tcW w:w="363" w:type="pct"/>
            <w:vAlign w:val="center"/>
          </w:tcPr>
          <w:p w14:paraId="25A26A2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30.405</w:t>
            </w:r>
          </w:p>
        </w:tc>
        <w:tc>
          <w:tcPr>
            <w:tcW w:w="445" w:type="pct"/>
            <w:vAlign w:val="center"/>
          </w:tcPr>
          <w:p w14:paraId="6658AD9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3.4422</w:t>
            </w:r>
          </w:p>
        </w:tc>
        <w:tc>
          <w:tcPr>
            <w:tcW w:w="295" w:type="pct"/>
            <w:vAlign w:val="center"/>
          </w:tcPr>
          <w:p w14:paraId="3C962FF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3.4422</w:t>
            </w:r>
          </w:p>
        </w:tc>
        <w:tc>
          <w:tcPr>
            <w:tcW w:w="424" w:type="pct"/>
            <w:vAlign w:val="center"/>
          </w:tcPr>
          <w:p w14:paraId="22E715F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15CA0C1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vAlign w:val="center"/>
          </w:tcPr>
          <w:p w14:paraId="19D8D06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26.9628</w:t>
            </w:r>
          </w:p>
        </w:tc>
        <w:tc>
          <w:tcPr>
            <w:tcW w:w="337" w:type="pct"/>
            <w:vAlign w:val="center"/>
          </w:tcPr>
          <w:p w14:paraId="32A7B14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26.9628</w:t>
            </w:r>
          </w:p>
        </w:tc>
        <w:tc>
          <w:tcPr>
            <w:tcW w:w="486" w:type="pct"/>
            <w:vAlign w:val="center"/>
          </w:tcPr>
          <w:p w14:paraId="56DEF71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2031188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7D3C7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4EA081A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487" w:type="pct"/>
            <w:vAlign w:val="center"/>
          </w:tcPr>
          <w:p w14:paraId="37D599A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543E672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11.7235</w:t>
            </w:r>
          </w:p>
        </w:tc>
        <w:tc>
          <w:tcPr>
            <w:tcW w:w="353" w:type="pct"/>
            <w:vAlign w:val="center"/>
          </w:tcPr>
          <w:p w14:paraId="215C47F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11.7235</w:t>
            </w:r>
          </w:p>
        </w:tc>
        <w:tc>
          <w:tcPr>
            <w:tcW w:w="363" w:type="pct"/>
            <w:vAlign w:val="center"/>
          </w:tcPr>
          <w:p w14:paraId="51A397F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11.7235</w:t>
            </w:r>
          </w:p>
        </w:tc>
        <w:tc>
          <w:tcPr>
            <w:tcW w:w="445" w:type="pct"/>
            <w:vAlign w:val="center"/>
          </w:tcPr>
          <w:p w14:paraId="398135D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2.6128</w:t>
            </w:r>
          </w:p>
        </w:tc>
        <w:tc>
          <w:tcPr>
            <w:tcW w:w="295" w:type="pct"/>
            <w:vAlign w:val="center"/>
          </w:tcPr>
          <w:p w14:paraId="197EA38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2.6128</w:t>
            </w:r>
          </w:p>
        </w:tc>
        <w:tc>
          <w:tcPr>
            <w:tcW w:w="424" w:type="pct"/>
            <w:vAlign w:val="center"/>
          </w:tcPr>
          <w:p w14:paraId="2A2EC97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46DCBBE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vAlign w:val="center"/>
          </w:tcPr>
          <w:p w14:paraId="63DFD69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9.1107</w:t>
            </w:r>
          </w:p>
        </w:tc>
        <w:tc>
          <w:tcPr>
            <w:tcW w:w="337" w:type="pct"/>
            <w:vAlign w:val="center"/>
          </w:tcPr>
          <w:p w14:paraId="4B3C102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9.1107</w:t>
            </w:r>
          </w:p>
        </w:tc>
        <w:tc>
          <w:tcPr>
            <w:tcW w:w="486" w:type="pct"/>
            <w:vAlign w:val="center"/>
          </w:tcPr>
          <w:p w14:paraId="4CEF91C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7EC754E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5989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71895A6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487" w:type="pct"/>
            <w:vAlign w:val="center"/>
          </w:tcPr>
          <w:p w14:paraId="285D35F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346CBF7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3.3798</w:t>
            </w:r>
          </w:p>
        </w:tc>
        <w:tc>
          <w:tcPr>
            <w:tcW w:w="353" w:type="pct"/>
            <w:vAlign w:val="center"/>
          </w:tcPr>
          <w:p w14:paraId="4EE7B86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3.3798</w:t>
            </w:r>
          </w:p>
        </w:tc>
        <w:tc>
          <w:tcPr>
            <w:tcW w:w="363" w:type="pct"/>
            <w:vAlign w:val="center"/>
          </w:tcPr>
          <w:p w14:paraId="670F0DD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3.3798</w:t>
            </w:r>
          </w:p>
        </w:tc>
        <w:tc>
          <w:tcPr>
            <w:tcW w:w="445" w:type="pct"/>
            <w:vAlign w:val="center"/>
          </w:tcPr>
          <w:p w14:paraId="713363F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1.104</w:t>
            </w:r>
          </w:p>
        </w:tc>
        <w:tc>
          <w:tcPr>
            <w:tcW w:w="295" w:type="pct"/>
            <w:vAlign w:val="center"/>
          </w:tcPr>
          <w:p w14:paraId="5FAB52C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1.104</w:t>
            </w:r>
          </w:p>
        </w:tc>
        <w:tc>
          <w:tcPr>
            <w:tcW w:w="424" w:type="pct"/>
            <w:vAlign w:val="center"/>
          </w:tcPr>
          <w:p w14:paraId="4F58B1B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43E762C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vAlign w:val="center"/>
          </w:tcPr>
          <w:p w14:paraId="5D8DAD4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2.2758</w:t>
            </w:r>
          </w:p>
        </w:tc>
        <w:tc>
          <w:tcPr>
            <w:tcW w:w="337" w:type="pct"/>
            <w:vAlign w:val="center"/>
          </w:tcPr>
          <w:p w14:paraId="3B2CA43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2.2758</w:t>
            </w:r>
          </w:p>
        </w:tc>
        <w:tc>
          <w:tcPr>
            <w:tcW w:w="486" w:type="pct"/>
            <w:vAlign w:val="center"/>
          </w:tcPr>
          <w:p w14:paraId="33C4D3F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36BC429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03B4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360D9B4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487" w:type="pct"/>
            <w:vAlign w:val="center"/>
          </w:tcPr>
          <w:p w14:paraId="14AB690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7E5F660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16.3294</w:t>
            </w:r>
          </w:p>
        </w:tc>
        <w:tc>
          <w:tcPr>
            <w:tcW w:w="353" w:type="pct"/>
            <w:vAlign w:val="center"/>
          </w:tcPr>
          <w:p w14:paraId="4340497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16.3294</w:t>
            </w:r>
          </w:p>
        </w:tc>
        <w:tc>
          <w:tcPr>
            <w:tcW w:w="363" w:type="pct"/>
            <w:vAlign w:val="center"/>
          </w:tcPr>
          <w:p w14:paraId="48B7DC1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16.3294</w:t>
            </w:r>
          </w:p>
        </w:tc>
        <w:tc>
          <w:tcPr>
            <w:tcW w:w="445" w:type="pct"/>
            <w:vAlign w:val="center"/>
          </w:tcPr>
          <w:p w14:paraId="40ED88A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1.3085</w:t>
            </w:r>
          </w:p>
        </w:tc>
        <w:tc>
          <w:tcPr>
            <w:tcW w:w="295" w:type="pct"/>
            <w:vAlign w:val="center"/>
          </w:tcPr>
          <w:p w14:paraId="40FFD28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1.3085</w:t>
            </w:r>
          </w:p>
        </w:tc>
        <w:tc>
          <w:tcPr>
            <w:tcW w:w="424" w:type="pct"/>
            <w:vAlign w:val="center"/>
          </w:tcPr>
          <w:p w14:paraId="23AF736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07E2D72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shd w:val="clear" w:color="auto" w:fill="auto"/>
            <w:vAlign w:val="center"/>
          </w:tcPr>
          <w:p w14:paraId="775FBFC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15.0209</w:t>
            </w:r>
          </w:p>
        </w:tc>
        <w:tc>
          <w:tcPr>
            <w:tcW w:w="337" w:type="pct"/>
            <w:vAlign w:val="center"/>
          </w:tcPr>
          <w:p w14:paraId="3220B56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15.0209</w:t>
            </w:r>
          </w:p>
        </w:tc>
        <w:tc>
          <w:tcPr>
            <w:tcW w:w="486" w:type="pct"/>
            <w:vAlign w:val="center"/>
          </w:tcPr>
          <w:p w14:paraId="444EAFE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3FFFEC0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5FDB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088F920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487" w:type="pct"/>
            <w:vAlign w:val="center"/>
          </w:tcPr>
          <w:p w14:paraId="2E457AA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08F09EA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6.8017</w:t>
            </w:r>
          </w:p>
        </w:tc>
        <w:tc>
          <w:tcPr>
            <w:tcW w:w="353" w:type="pct"/>
            <w:vAlign w:val="center"/>
          </w:tcPr>
          <w:p w14:paraId="3A14CEE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6.8017</w:t>
            </w:r>
          </w:p>
        </w:tc>
        <w:tc>
          <w:tcPr>
            <w:tcW w:w="363" w:type="pct"/>
            <w:vAlign w:val="center"/>
          </w:tcPr>
          <w:p w14:paraId="0C32C5C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6.8017</w:t>
            </w:r>
          </w:p>
        </w:tc>
        <w:tc>
          <w:tcPr>
            <w:tcW w:w="445" w:type="pct"/>
            <w:vAlign w:val="center"/>
          </w:tcPr>
          <w:p w14:paraId="269A829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1.9368</w:t>
            </w:r>
          </w:p>
        </w:tc>
        <w:tc>
          <w:tcPr>
            <w:tcW w:w="295" w:type="pct"/>
            <w:vAlign w:val="center"/>
          </w:tcPr>
          <w:p w14:paraId="0111722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1.9368</w:t>
            </w:r>
          </w:p>
        </w:tc>
        <w:tc>
          <w:tcPr>
            <w:tcW w:w="424" w:type="pct"/>
            <w:vAlign w:val="center"/>
          </w:tcPr>
          <w:p w14:paraId="224895D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2E243CE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shd w:val="clear" w:color="auto" w:fill="auto"/>
            <w:vAlign w:val="center"/>
          </w:tcPr>
          <w:p w14:paraId="01F2145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3.91</w:t>
            </w:r>
          </w:p>
        </w:tc>
        <w:tc>
          <w:tcPr>
            <w:tcW w:w="337" w:type="pct"/>
            <w:vAlign w:val="center"/>
          </w:tcPr>
          <w:p w14:paraId="0D2FF61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3.91</w:t>
            </w:r>
          </w:p>
        </w:tc>
        <w:tc>
          <w:tcPr>
            <w:tcW w:w="486" w:type="pct"/>
            <w:vAlign w:val="center"/>
          </w:tcPr>
          <w:p w14:paraId="18201B6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0.0237</w:t>
            </w:r>
          </w:p>
        </w:tc>
        <w:tc>
          <w:tcPr>
            <w:tcW w:w="425" w:type="pct"/>
            <w:vAlign w:val="center"/>
          </w:tcPr>
          <w:p w14:paraId="31D96DA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0.0237</w:t>
            </w:r>
          </w:p>
        </w:tc>
      </w:tr>
      <w:tr w14:paraId="38A3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7038954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487" w:type="pct"/>
            <w:vAlign w:val="center"/>
          </w:tcPr>
          <w:p w14:paraId="22AD7CA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77E862E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1.4919</w:t>
            </w:r>
          </w:p>
        </w:tc>
        <w:tc>
          <w:tcPr>
            <w:tcW w:w="353" w:type="pct"/>
            <w:vAlign w:val="center"/>
          </w:tcPr>
          <w:p w14:paraId="73C9E84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1.4919</w:t>
            </w:r>
          </w:p>
        </w:tc>
        <w:tc>
          <w:tcPr>
            <w:tcW w:w="363" w:type="pct"/>
            <w:vAlign w:val="center"/>
          </w:tcPr>
          <w:p w14:paraId="53C18D8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1.4919</w:t>
            </w:r>
          </w:p>
        </w:tc>
        <w:tc>
          <w:tcPr>
            <w:tcW w:w="445" w:type="pct"/>
            <w:vAlign w:val="center"/>
          </w:tcPr>
          <w:p w14:paraId="1A28256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0.9165</w:t>
            </w:r>
          </w:p>
        </w:tc>
        <w:tc>
          <w:tcPr>
            <w:tcW w:w="295" w:type="pct"/>
            <w:vAlign w:val="center"/>
          </w:tcPr>
          <w:p w14:paraId="5869C05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0.9165</w:t>
            </w:r>
          </w:p>
        </w:tc>
        <w:tc>
          <w:tcPr>
            <w:tcW w:w="424" w:type="pct"/>
            <w:vAlign w:val="center"/>
          </w:tcPr>
          <w:p w14:paraId="6A0E1F3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6054771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shd w:val="clear" w:color="auto" w:fill="auto"/>
            <w:vAlign w:val="center"/>
          </w:tcPr>
          <w:p w14:paraId="0B42C85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0.5754</w:t>
            </w:r>
          </w:p>
        </w:tc>
        <w:tc>
          <w:tcPr>
            <w:tcW w:w="337" w:type="pct"/>
            <w:vAlign w:val="center"/>
          </w:tcPr>
          <w:p w14:paraId="31BF75A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0.5754</w:t>
            </w:r>
          </w:p>
        </w:tc>
        <w:tc>
          <w:tcPr>
            <w:tcW w:w="486" w:type="pct"/>
            <w:vAlign w:val="center"/>
          </w:tcPr>
          <w:p w14:paraId="0AEE589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7294019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2112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4B49FD1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487" w:type="pct"/>
            <w:vAlign w:val="center"/>
          </w:tcPr>
          <w:p w14:paraId="11C731C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6C9AE6F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9.0845</w:t>
            </w:r>
          </w:p>
        </w:tc>
        <w:tc>
          <w:tcPr>
            <w:tcW w:w="353" w:type="pct"/>
            <w:vAlign w:val="center"/>
          </w:tcPr>
          <w:p w14:paraId="7A507BD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9.0845</w:t>
            </w:r>
          </w:p>
        </w:tc>
        <w:tc>
          <w:tcPr>
            <w:tcW w:w="363" w:type="pct"/>
            <w:vAlign w:val="center"/>
          </w:tcPr>
          <w:p w14:paraId="7F041D1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9.0845</w:t>
            </w:r>
          </w:p>
        </w:tc>
        <w:tc>
          <w:tcPr>
            <w:tcW w:w="445" w:type="pct"/>
            <w:vAlign w:val="center"/>
          </w:tcPr>
          <w:p w14:paraId="6EA1E32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3.4784</w:t>
            </w:r>
          </w:p>
        </w:tc>
        <w:tc>
          <w:tcPr>
            <w:tcW w:w="295" w:type="pct"/>
            <w:vAlign w:val="center"/>
          </w:tcPr>
          <w:p w14:paraId="77BB284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3.4784</w:t>
            </w:r>
          </w:p>
        </w:tc>
        <w:tc>
          <w:tcPr>
            <w:tcW w:w="424" w:type="pct"/>
            <w:vAlign w:val="center"/>
          </w:tcPr>
          <w:p w14:paraId="1CD0987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1523A75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shd w:val="clear" w:color="auto" w:fill="auto"/>
            <w:vAlign w:val="center"/>
          </w:tcPr>
          <w:p w14:paraId="5FAC3FF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5.6061</w:t>
            </w:r>
          </w:p>
        </w:tc>
        <w:tc>
          <w:tcPr>
            <w:tcW w:w="337" w:type="pct"/>
            <w:vAlign w:val="center"/>
          </w:tcPr>
          <w:p w14:paraId="6DF789E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5.6061</w:t>
            </w:r>
          </w:p>
        </w:tc>
        <w:tc>
          <w:tcPr>
            <w:tcW w:w="486" w:type="pct"/>
            <w:vAlign w:val="center"/>
          </w:tcPr>
          <w:p w14:paraId="7FA9B0F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42F80A4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1EB4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0A23600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487" w:type="pct"/>
            <w:vAlign w:val="center"/>
          </w:tcPr>
          <w:p w14:paraId="71E9872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08229DA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0.348</w:t>
            </w:r>
          </w:p>
        </w:tc>
        <w:tc>
          <w:tcPr>
            <w:tcW w:w="353" w:type="pct"/>
            <w:vAlign w:val="center"/>
          </w:tcPr>
          <w:p w14:paraId="77537D5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0.348</w:t>
            </w:r>
          </w:p>
        </w:tc>
        <w:tc>
          <w:tcPr>
            <w:tcW w:w="363" w:type="pct"/>
            <w:vAlign w:val="center"/>
          </w:tcPr>
          <w:p w14:paraId="103B87E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0.348</w:t>
            </w:r>
          </w:p>
        </w:tc>
        <w:tc>
          <w:tcPr>
            <w:tcW w:w="445" w:type="pct"/>
            <w:vAlign w:val="center"/>
          </w:tcPr>
          <w:p w14:paraId="4655A69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0.348</w:t>
            </w:r>
          </w:p>
        </w:tc>
        <w:tc>
          <w:tcPr>
            <w:tcW w:w="295" w:type="pct"/>
            <w:vAlign w:val="center"/>
          </w:tcPr>
          <w:p w14:paraId="2068AA2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0.348</w:t>
            </w:r>
          </w:p>
        </w:tc>
        <w:tc>
          <w:tcPr>
            <w:tcW w:w="424" w:type="pct"/>
            <w:vAlign w:val="center"/>
          </w:tcPr>
          <w:p w14:paraId="1555F5E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245481E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shd w:val="clear" w:color="auto" w:fill="auto"/>
            <w:vAlign w:val="center"/>
          </w:tcPr>
          <w:p w14:paraId="0C03E32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37" w:type="pct"/>
            <w:vAlign w:val="center"/>
          </w:tcPr>
          <w:p w14:paraId="26D71CA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86" w:type="pct"/>
            <w:vAlign w:val="center"/>
          </w:tcPr>
          <w:p w14:paraId="385A959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4BCD3F4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439E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5AC5B27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487" w:type="pct"/>
            <w:vAlign w:val="center"/>
          </w:tcPr>
          <w:p w14:paraId="497253F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54C65A8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1.5562</w:t>
            </w:r>
          </w:p>
        </w:tc>
        <w:tc>
          <w:tcPr>
            <w:tcW w:w="353" w:type="pct"/>
            <w:vAlign w:val="center"/>
          </w:tcPr>
          <w:p w14:paraId="6F59381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1.5562</w:t>
            </w:r>
          </w:p>
        </w:tc>
        <w:tc>
          <w:tcPr>
            <w:tcW w:w="363" w:type="pct"/>
            <w:vAlign w:val="center"/>
          </w:tcPr>
          <w:p w14:paraId="6AC50AE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1.5562</w:t>
            </w:r>
          </w:p>
        </w:tc>
        <w:tc>
          <w:tcPr>
            <w:tcW w:w="445" w:type="pct"/>
            <w:vAlign w:val="center"/>
          </w:tcPr>
          <w:p w14:paraId="250C7DC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0.3916</w:t>
            </w:r>
          </w:p>
        </w:tc>
        <w:tc>
          <w:tcPr>
            <w:tcW w:w="295" w:type="pct"/>
            <w:vAlign w:val="center"/>
          </w:tcPr>
          <w:p w14:paraId="0A6E926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0.3916</w:t>
            </w:r>
          </w:p>
        </w:tc>
        <w:tc>
          <w:tcPr>
            <w:tcW w:w="424" w:type="pct"/>
            <w:vAlign w:val="center"/>
          </w:tcPr>
          <w:p w14:paraId="3A9D817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6406710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shd w:val="clear" w:color="auto" w:fill="auto"/>
            <w:vAlign w:val="center"/>
          </w:tcPr>
          <w:p w14:paraId="7A46BA3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1.1646</w:t>
            </w:r>
          </w:p>
        </w:tc>
        <w:tc>
          <w:tcPr>
            <w:tcW w:w="337" w:type="pct"/>
            <w:vAlign w:val="center"/>
          </w:tcPr>
          <w:p w14:paraId="6503D4E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1.1646</w:t>
            </w:r>
          </w:p>
        </w:tc>
        <w:tc>
          <w:tcPr>
            <w:tcW w:w="486" w:type="pct"/>
            <w:vAlign w:val="center"/>
          </w:tcPr>
          <w:p w14:paraId="4A86627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70CEB16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7758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33EC72C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487" w:type="pct"/>
            <w:vAlign w:val="center"/>
          </w:tcPr>
          <w:p w14:paraId="1243495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6A66F1B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13.1208</w:t>
            </w:r>
          </w:p>
        </w:tc>
        <w:tc>
          <w:tcPr>
            <w:tcW w:w="353" w:type="pct"/>
            <w:vAlign w:val="center"/>
          </w:tcPr>
          <w:p w14:paraId="00E5D2D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13.1208</w:t>
            </w:r>
          </w:p>
        </w:tc>
        <w:tc>
          <w:tcPr>
            <w:tcW w:w="363" w:type="pct"/>
            <w:vAlign w:val="center"/>
          </w:tcPr>
          <w:p w14:paraId="2E43E99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13.1208</w:t>
            </w:r>
          </w:p>
        </w:tc>
        <w:tc>
          <w:tcPr>
            <w:tcW w:w="445" w:type="pct"/>
            <w:vAlign w:val="center"/>
          </w:tcPr>
          <w:p w14:paraId="41FA8A0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2.05</w:t>
            </w:r>
          </w:p>
        </w:tc>
        <w:tc>
          <w:tcPr>
            <w:tcW w:w="295" w:type="pct"/>
            <w:vAlign w:val="center"/>
          </w:tcPr>
          <w:p w14:paraId="6CA8E92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2.05</w:t>
            </w:r>
          </w:p>
        </w:tc>
        <w:tc>
          <w:tcPr>
            <w:tcW w:w="424" w:type="pct"/>
            <w:vAlign w:val="center"/>
          </w:tcPr>
          <w:p w14:paraId="232A584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5D7AA0B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shd w:val="clear" w:color="auto" w:fill="auto"/>
            <w:vAlign w:val="center"/>
          </w:tcPr>
          <w:p w14:paraId="0DDE25A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8.5531</w:t>
            </w:r>
          </w:p>
        </w:tc>
        <w:tc>
          <w:tcPr>
            <w:tcW w:w="337" w:type="pct"/>
            <w:vAlign w:val="center"/>
          </w:tcPr>
          <w:p w14:paraId="33368EB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8.5531</w:t>
            </w:r>
          </w:p>
        </w:tc>
        <w:tc>
          <w:tcPr>
            <w:tcW w:w="486" w:type="pct"/>
            <w:vAlign w:val="center"/>
          </w:tcPr>
          <w:p w14:paraId="5A9332C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463F199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7192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68D33AE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c>
          <w:tcPr>
            <w:tcW w:w="487" w:type="pct"/>
            <w:vAlign w:val="center"/>
          </w:tcPr>
          <w:p w14:paraId="177C68B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光伏方阵</w:t>
            </w:r>
          </w:p>
        </w:tc>
        <w:tc>
          <w:tcPr>
            <w:tcW w:w="374" w:type="pct"/>
            <w:vAlign w:val="center"/>
          </w:tcPr>
          <w:p w14:paraId="1C26294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90.473</w:t>
            </w:r>
          </w:p>
        </w:tc>
        <w:tc>
          <w:tcPr>
            <w:tcW w:w="353" w:type="pct"/>
            <w:vAlign w:val="center"/>
          </w:tcPr>
          <w:p w14:paraId="60A82AF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90.473</w:t>
            </w:r>
          </w:p>
        </w:tc>
        <w:tc>
          <w:tcPr>
            <w:tcW w:w="363" w:type="pct"/>
            <w:vAlign w:val="center"/>
          </w:tcPr>
          <w:p w14:paraId="0E2EE24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90.473</w:t>
            </w:r>
          </w:p>
        </w:tc>
        <w:tc>
          <w:tcPr>
            <w:tcW w:w="445" w:type="pct"/>
            <w:vAlign w:val="center"/>
          </w:tcPr>
          <w:p w14:paraId="2A3D3CB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2.3426</w:t>
            </w:r>
          </w:p>
        </w:tc>
        <w:tc>
          <w:tcPr>
            <w:tcW w:w="295" w:type="pct"/>
            <w:vAlign w:val="center"/>
          </w:tcPr>
          <w:p w14:paraId="21DFB51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2.3426</w:t>
            </w:r>
          </w:p>
        </w:tc>
        <w:tc>
          <w:tcPr>
            <w:tcW w:w="424" w:type="pct"/>
            <w:vAlign w:val="center"/>
          </w:tcPr>
          <w:p w14:paraId="5F3B817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3F955F4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shd w:val="clear" w:color="auto" w:fill="auto"/>
            <w:vAlign w:val="center"/>
          </w:tcPr>
          <w:p w14:paraId="1C7FFBE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87.477</w:t>
            </w:r>
          </w:p>
        </w:tc>
        <w:tc>
          <w:tcPr>
            <w:tcW w:w="337" w:type="pct"/>
            <w:vAlign w:val="center"/>
          </w:tcPr>
          <w:p w14:paraId="35B8D43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87.477</w:t>
            </w:r>
          </w:p>
        </w:tc>
        <w:tc>
          <w:tcPr>
            <w:tcW w:w="486" w:type="pct"/>
            <w:vAlign w:val="center"/>
          </w:tcPr>
          <w:p w14:paraId="1886359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1D62E1C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1A18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24" w:type="pct"/>
            <w:vAlign w:val="center"/>
          </w:tcPr>
          <w:p w14:paraId="01B16B5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w:t>
            </w:r>
          </w:p>
        </w:tc>
        <w:tc>
          <w:tcPr>
            <w:tcW w:w="487" w:type="pct"/>
            <w:vAlign w:val="center"/>
          </w:tcPr>
          <w:p w14:paraId="6AA8A45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变电站及运行管理中心</w:t>
            </w:r>
          </w:p>
        </w:tc>
        <w:tc>
          <w:tcPr>
            <w:tcW w:w="374" w:type="pct"/>
            <w:vAlign w:val="center"/>
          </w:tcPr>
          <w:p w14:paraId="58B0DAD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1.3229</w:t>
            </w:r>
          </w:p>
        </w:tc>
        <w:tc>
          <w:tcPr>
            <w:tcW w:w="353" w:type="pct"/>
            <w:vAlign w:val="center"/>
          </w:tcPr>
          <w:p w14:paraId="4DEDB3B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1.3229</w:t>
            </w:r>
          </w:p>
        </w:tc>
        <w:tc>
          <w:tcPr>
            <w:tcW w:w="363" w:type="pct"/>
            <w:vAlign w:val="center"/>
          </w:tcPr>
          <w:p w14:paraId="3D0D57D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1.3229</w:t>
            </w:r>
          </w:p>
        </w:tc>
        <w:tc>
          <w:tcPr>
            <w:tcW w:w="445" w:type="pct"/>
            <w:vAlign w:val="center"/>
          </w:tcPr>
          <w:p w14:paraId="127B98A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0.1861</w:t>
            </w:r>
          </w:p>
        </w:tc>
        <w:tc>
          <w:tcPr>
            <w:tcW w:w="295" w:type="pct"/>
            <w:vAlign w:val="center"/>
          </w:tcPr>
          <w:p w14:paraId="0DD1080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0.1861</w:t>
            </w:r>
          </w:p>
        </w:tc>
        <w:tc>
          <w:tcPr>
            <w:tcW w:w="424" w:type="pct"/>
            <w:vAlign w:val="center"/>
          </w:tcPr>
          <w:p w14:paraId="4927983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364" w:type="pct"/>
            <w:vAlign w:val="center"/>
          </w:tcPr>
          <w:p w14:paraId="54B10BA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17" w:type="pct"/>
            <w:shd w:val="clear" w:color="auto" w:fill="auto"/>
            <w:vAlign w:val="center"/>
          </w:tcPr>
          <w:p w14:paraId="3BD484C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1.1368</w:t>
            </w:r>
          </w:p>
        </w:tc>
        <w:tc>
          <w:tcPr>
            <w:tcW w:w="337" w:type="pct"/>
            <w:vAlign w:val="center"/>
          </w:tcPr>
          <w:p w14:paraId="1B4DC2C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1.1368</w:t>
            </w:r>
          </w:p>
        </w:tc>
        <w:tc>
          <w:tcPr>
            <w:tcW w:w="486" w:type="pct"/>
            <w:vAlign w:val="center"/>
          </w:tcPr>
          <w:p w14:paraId="08A401E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425" w:type="pct"/>
            <w:vAlign w:val="center"/>
          </w:tcPr>
          <w:p w14:paraId="16389B5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38C3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1" w:type="pct"/>
            <w:gridSpan w:val="2"/>
            <w:vAlign w:val="center"/>
          </w:tcPr>
          <w:p w14:paraId="52B8246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总计</w:t>
            </w:r>
          </w:p>
        </w:tc>
        <w:tc>
          <w:tcPr>
            <w:tcW w:w="374" w:type="pct"/>
            <w:vAlign w:val="center"/>
          </w:tcPr>
          <w:p w14:paraId="1DCFEC1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273.3496</w:t>
            </w:r>
          </w:p>
        </w:tc>
        <w:tc>
          <w:tcPr>
            <w:tcW w:w="353" w:type="pct"/>
            <w:vAlign w:val="center"/>
          </w:tcPr>
          <w:p w14:paraId="2C07C16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273.3496</w:t>
            </w:r>
          </w:p>
        </w:tc>
        <w:tc>
          <w:tcPr>
            <w:tcW w:w="363" w:type="pct"/>
            <w:vAlign w:val="center"/>
          </w:tcPr>
          <w:p w14:paraId="4139B8C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273.3496</w:t>
            </w:r>
          </w:p>
        </w:tc>
        <w:tc>
          <w:tcPr>
            <w:tcW w:w="445" w:type="pct"/>
            <w:vAlign w:val="center"/>
          </w:tcPr>
          <w:p w14:paraId="1C009F2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27.7787</w:t>
            </w:r>
          </w:p>
        </w:tc>
        <w:tc>
          <w:tcPr>
            <w:tcW w:w="295" w:type="pct"/>
            <w:vAlign w:val="center"/>
          </w:tcPr>
          <w:p w14:paraId="13BAFB7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27.7787</w:t>
            </w:r>
          </w:p>
        </w:tc>
        <w:tc>
          <w:tcPr>
            <w:tcW w:w="424" w:type="pct"/>
            <w:vAlign w:val="center"/>
          </w:tcPr>
          <w:p w14:paraId="273827E6">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4.3292</w:t>
            </w:r>
          </w:p>
        </w:tc>
        <w:tc>
          <w:tcPr>
            <w:tcW w:w="364" w:type="pct"/>
            <w:vAlign w:val="center"/>
          </w:tcPr>
          <w:p w14:paraId="201D9F9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4.3292</w:t>
            </w:r>
          </w:p>
        </w:tc>
        <w:tc>
          <w:tcPr>
            <w:tcW w:w="417" w:type="pct"/>
            <w:vAlign w:val="center"/>
          </w:tcPr>
          <w:p w14:paraId="70EF71C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245.5123</w:t>
            </w:r>
          </w:p>
        </w:tc>
        <w:tc>
          <w:tcPr>
            <w:tcW w:w="337" w:type="pct"/>
            <w:shd w:val="clear" w:color="auto" w:fill="auto"/>
            <w:vAlign w:val="center"/>
          </w:tcPr>
          <w:p w14:paraId="2337F55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245.5123</w:t>
            </w:r>
          </w:p>
        </w:tc>
        <w:tc>
          <w:tcPr>
            <w:tcW w:w="486" w:type="pct"/>
            <w:vAlign w:val="center"/>
          </w:tcPr>
          <w:p w14:paraId="446F583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0.0586</w:t>
            </w:r>
          </w:p>
        </w:tc>
        <w:tc>
          <w:tcPr>
            <w:tcW w:w="425" w:type="pct"/>
            <w:vAlign w:val="center"/>
          </w:tcPr>
          <w:p w14:paraId="17A6400D">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0.0586</w:t>
            </w:r>
          </w:p>
        </w:tc>
      </w:tr>
    </w:tbl>
    <w:p w14:paraId="58448104">
      <w:pPr>
        <w:rPr>
          <w:color w:val="000000" w:themeColor="text1"/>
          <w14:textFill>
            <w14:solidFill>
              <w14:schemeClr w14:val="tx1"/>
            </w14:solidFill>
          </w14:textFill>
        </w:rPr>
      </w:pPr>
    </w:p>
    <w:p w14:paraId="0B105937">
      <w:pPr>
        <w:rPr>
          <w:color w:val="000000" w:themeColor="text1"/>
          <w14:textFill>
            <w14:solidFill>
              <w14:schemeClr w14:val="tx1"/>
            </w14:solidFill>
          </w14:textFill>
        </w:rPr>
      </w:pPr>
    </w:p>
    <w:p w14:paraId="46B9DB47">
      <w:pPr>
        <w:rPr>
          <w:color w:val="000000" w:themeColor="text1"/>
          <w14:textFill>
            <w14:solidFill>
              <w14:schemeClr w14:val="tx1"/>
            </w14:solidFill>
          </w14:textFill>
        </w:rPr>
      </w:pPr>
    </w:p>
    <w:p w14:paraId="6FC22B8D">
      <w:pPr>
        <w:rPr>
          <w:color w:val="000000" w:themeColor="text1"/>
          <w14:textFill>
            <w14:solidFill>
              <w14:schemeClr w14:val="tx1"/>
            </w14:solidFill>
          </w14:textFill>
        </w:rPr>
      </w:pPr>
    </w:p>
    <w:p w14:paraId="16294B62">
      <w:pPr>
        <w:rPr>
          <w:color w:val="000000" w:themeColor="text1"/>
          <w14:textFill>
            <w14:solidFill>
              <w14:schemeClr w14:val="tx1"/>
            </w14:solidFill>
          </w14:textFill>
        </w:rPr>
        <w:sectPr>
          <w:pgSz w:w="16838" w:h="11906" w:orient="landscape"/>
          <w:pgMar w:top="1531" w:right="1701" w:bottom="1531" w:left="1701" w:header="851" w:footer="1077" w:gutter="0"/>
          <w:cols w:space="720" w:num="1"/>
          <w:docGrid w:linePitch="312" w:charSpace="0"/>
        </w:sectPr>
      </w:pPr>
    </w:p>
    <w:tbl>
      <w:tblPr>
        <w:tblStyle w:val="6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4"/>
        <w:gridCol w:w="8516"/>
      </w:tblGrid>
      <w:tr w14:paraId="6365C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300" w:type="pct"/>
            <w:vAlign w:val="center"/>
          </w:tcPr>
          <w:p w14:paraId="2D5EFFFF">
            <w:pPr>
              <w:adjustRightInd w:val="0"/>
              <w:snapToGrid w:val="0"/>
              <w:jc w:val="center"/>
              <w:rPr>
                <w:color w:val="000000" w:themeColor="text1"/>
                <w:kern w:val="0"/>
                <w:sz w:val="24"/>
                <w14:textFill>
                  <w14:solidFill>
                    <w14:schemeClr w14:val="tx1"/>
                  </w14:solidFill>
                </w14:textFill>
              </w:rPr>
            </w:pPr>
          </w:p>
        </w:tc>
        <w:tc>
          <w:tcPr>
            <w:tcW w:w="4699" w:type="pct"/>
          </w:tcPr>
          <w:p w14:paraId="3B8610AA">
            <w:pPr>
              <w:numPr>
                <w:ilvl w:val="0"/>
                <w:numId w:val="11"/>
              </w:numPr>
              <w:snapToGrid w:val="0"/>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劳动定员</w:t>
            </w:r>
          </w:p>
          <w:p w14:paraId="19385944">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项目劳动定员5人，年工作365天，实行每日单班制，每班8h。</w:t>
            </w:r>
          </w:p>
          <w:p w14:paraId="487E0837">
            <w:pPr>
              <w:numPr>
                <w:ilvl w:val="0"/>
                <w:numId w:val="11"/>
              </w:numPr>
              <w:snapToGrid w:val="0"/>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公用工程</w:t>
            </w:r>
          </w:p>
          <w:p w14:paraId="7F7E2257">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（1）给水</w:t>
            </w:r>
          </w:p>
          <w:p w14:paraId="38D05887">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本项目用水主要为升压汇集站生活用水、道路抑尘用水及光伏组件清洗用水，水源由附近村庄供水管网提供。</w:t>
            </w:r>
          </w:p>
          <w:p w14:paraId="16A76766">
            <w:pPr>
              <w:spacing w:line="440" w:lineRule="exact"/>
              <w:ind w:firstLine="480" w:firstLineChars="200"/>
              <w:rPr>
                <w:bCs/>
                <w:color w:val="000000" w:themeColor="text1"/>
                <w:sz w:val="24"/>
                <w:lang w:val="en-GB"/>
                <w14:textFill>
                  <w14:solidFill>
                    <w14:schemeClr w14:val="tx1"/>
                  </w14:solidFill>
                </w14:textFill>
              </w:rPr>
            </w:pPr>
            <w:r>
              <w:rPr>
                <w:rFonts w:hint="eastAsia"/>
                <w:color w:val="000000" w:themeColor="text1"/>
                <w:sz w:val="24"/>
                <w:lang w:bidi="ar"/>
                <w14:textFill>
                  <w14:solidFill>
                    <w14:schemeClr w14:val="tx1"/>
                  </w14:solidFill>
                </w14:textFill>
              </w:rPr>
              <w:t>项目劳动定员5人，不设置食堂及淋浴，设置水冲厕，</w:t>
            </w:r>
            <w:r>
              <w:rPr>
                <w:bCs/>
                <w:color w:val="000000" w:themeColor="text1"/>
                <w:sz w:val="24"/>
                <w14:textFill>
                  <w14:solidFill>
                    <w14:schemeClr w14:val="tx1"/>
                  </w14:solidFill>
                </w14:textFill>
              </w:rPr>
              <w:t>根据河北省《生活与服务业用水定额》（DB13/T5450.1-2021）中用水标准，全厂</w:t>
            </w:r>
            <w:r>
              <w:rPr>
                <w:color w:val="000000" w:themeColor="text1"/>
                <w:sz w:val="24"/>
                <w14:textFill>
                  <w14:solidFill>
                    <w14:schemeClr w14:val="tx1"/>
                  </w14:solidFill>
                </w14:textFill>
              </w:rPr>
              <w:t>生活用水新鲜水用水量按</w:t>
            </w:r>
            <w:r>
              <w:rPr>
                <w:rFonts w:hint="eastAsia"/>
                <w:color w:val="000000" w:themeColor="text1"/>
                <w:sz w:val="24"/>
                <w14:textFill>
                  <w14:solidFill>
                    <w14:schemeClr w14:val="tx1"/>
                  </w14:solidFill>
                </w14:textFill>
              </w:rPr>
              <w:t>36.5m</w:t>
            </w:r>
            <w:r>
              <w:rPr>
                <w:rFonts w:hint="eastAsia"/>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/人·</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计</w:t>
            </w:r>
            <w:r>
              <w:rPr>
                <w:bCs/>
                <w:color w:val="000000" w:themeColor="text1"/>
                <w:sz w:val="24"/>
                <w:lang w:val="en-GB"/>
                <w14:textFill>
                  <w14:solidFill>
                    <w14:schemeClr w14:val="tx1"/>
                  </w14:solidFill>
                </w14:textFill>
              </w:rPr>
              <w:t>，则生活用水量为</w:t>
            </w:r>
            <w:r>
              <w:rPr>
                <w:rFonts w:hint="eastAsia"/>
                <w:bCs/>
                <w:color w:val="000000" w:themeColor="text1"/>
                <w:sz w:val="24"/>
                <w14:textFill>
                  <w14:solidFill>
                    <w14:schemeClr w14:val="tx1"/>
                  </w14:solidFill>
                </w14:textFill>
              </w:rPr>
              <w:t>0.5</w:t>
            </w:r>
            <w:r>
              <w:rPr>
                <w:bCs/>
                <w:color w:val="000000" w:themeColor="text1"/>
                <w:sz w:val="24"/>
                <w:lang w:val="en-GB"/>
                <w14:textFill>
                  <w14:solidFill>
                    <w14:schemeClr w14:val="tx1"/>
                  </w14:solidFill>
                </w14:textFill>
              </w:rPr>
              <w:t>m</w:t>
            </w:r>
            <w:r>
              <w:rPr>
                <w:bCs/>
                <w:color w:val="000000" w:themeColor="text1"/>
                <w:sz w:val="24"/>
                <w:vertAlign w:val="superscript"/>
                <w:lang w:val="en-GB"/>
                <w14:textFill>
                  <w14:solidFill>
                    <w14:schemeClr w14:val="tx1"/>
                  </w14:solidFill>
                </w14:textFill>
              </w:rPr>
              <w:t>3</w:t>
            </w:r>
            <w:r>
              <w:rPr>
                <w:bCs/>
                <w:color w:val="000000" w:themeColor="text1"/>
                <w:sz w:val="24"/>
                <w:lang w:val="en-GB"/>
                <w14:textFill>
                  <w14:solidFill>
                    <w14:schemeClr w14:val="tx1"/>
                  </w14:solidFill>
                </w14:textFill>
              </w:rPr>
              <w:t>/d。</w:t>
            </w:r>
          </w:p>
          <w:p w14:paraId="4F6D1F60">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光伏组件清洗采用洒水车人工移动冲洗，本工程设置8m³洒水车4辆，并配套冲洗软管、水枪、空气压缩机等。升压站设置洒水栓，洒水车由洒水栓取水，冲洗周期按照30天冲洗一次，光伏组件清洗水量约1L</w:t>
            </w:r>
            <w:r>
              <w:rPr>
                <w:color w:val="000000" w:themeColor="text1"/>
                <w:sz w:val="24"/>
                <w:lang w:bidi="ar"/>
                <w14:textFill>
                  <w14:solidFill>
                    <w14:schemeClr w14:val="tx1"/>
                  </w14:solidFill>
                </w14:textFill>
              </w:rPr>
              <w:t>/</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2</w:t>
            </w:r>
            <w:r>
              <w:rPr>
                <w:color w:val="000000" w:themeColor="text1"/>
                <w:sz w:val="24"/>
                <w:lang w:bidi="ar"/>
                <w14:textFill>
                  <w14:solidFill>
                    <w14:schemeClr w14:val="tx1"/>
                  </w14:solidFill>
                </w14:textFill>
              </w:rPr>
              <w:t>，本工程共有2.80</w:t>
            </w:r>
            <w:r>
              <w:rPr>
                <w:rFonts w:hint="eastAsia"/>
                <w:color w:val="000000" w:themeColor="text1"/>
                <w:sz w:val="24"/>
                <w:lang w:bidi="ar"/>
                <w14:textFill>
                  <w14:solidFill>
                    <w14:schemeClr w14:val="tx1"/>
                  </w14:solidFill>
                </w14:textFill>
              </w:rPr>
              <w:t>m</w:t>
            </w:r>
            <w:r>
              <w:rPr>
                <w:rFonts w:hint="eastAsia"/>
                <w:color w:val="000000" w:themeColor="text1"/>
                <w:sz w:val="24"/>
                <w:vertAlign w:val="superscript"/>
                <w:lang w:bidi="ar"/>
                <w14:textFill>
                  <w14:solidFill>
                    <w14:schemeClr w14:val="tx1"/>
                  </w14:solidFill>
                </w14:textFill>
              </w:rPr>
              <w:t>2</w:t>
            </w:r>
            <w:r>
              <w:rPr>
                <w:rFonts w:hint="eastAsia"/>
                <w:color w:val="000000" w:themeColor="text1"/>
                <w:sz w:val="24"/>
                <w:lang w:bidi="ar"/>
                <w14:textFill>
                  <w14:solidFill>
                    <w14:schemeClr w14:val="tx1"/>
                  </w14:solidFill>
                </w14:textFill>
              </w:rPr>
              <w:t>的光伏板282360块，用水量约为26.4m³/d。</w:t>
            </w:r>
          </w:p>
          <w:p w14:paraId="3F353D06">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道路抑尘用水为污水站净化处理后中水，用水量为0.4m³/d。</w:t>
            </w:r>
          </w:p>
          <w:p w14:paraId="70834B3E">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（2）排水</w:t>
            </w:r>
          </w:p>
          <w:p w14:paraId="5CA29576">
            <w:pPr>
              <w:spacing w:line="440" w:lineRule="exact"/>
              <w:ind w:firstLine="480" w:firstLineChars="200"/>
              <w:rPr>
                <w:color w:val="000000" w:themeColor="text1"/>
                <w:sz w:val="24"/>
                <w:highlight w:val="yellow"/>
                <w:lang w:bidi="ar"/>
                <w14:textFill>
                  <w14:solidFill>
                    <w14:schemeClr w14:val="tx1"/>
                  </w14:solidFill>
                </w14:textFill>
              </w:rPr>
            </w:pPr>
            <w:r>
              <w:rPr>
                <w:rFonts w:hint="eastAsia"/>
                <w:color w:val="000000" w:themeColor="text1"/>
                <w:sz w:val="24"/>
                <w:lang w:bidi="ar"/>
                <w14:textFill>
                  <w14:solidFill>
                    <w14:schemeClr w14:val="tx1"/>
                  </w14:solidFill>
                </w14:textFill>
              </w:rPr>
              <w:t>生活污水按照生活用水量的80%外排，即0.4</w:t>
            </w:r>
            <w:r>
              <w:rPr>
                <w:bCs/>
                <w:color w:val="000000" w:themeColor="text1"/>
                <w:sz w:val="24"/>
                <w:lang w:val="en-GB"/>
                <w14:textFill>
                  <w14:solidFill>
                    <w14:schemeClr w14:val="tx1"/>
                  </w14:solidFill>
                </w14:textFill>
              </w:rPr>
              <w:t>m</w:t>
            </w:r>
            <w:r>
              <w:rPr>
                <w:bCs/>
                <w:color w:val="000000" w:themeColor="text1"/>
                <w:sz w:val="24"/>
                <w:vertAlign w:val="superscript"/>
                <w:lang w:val="en-GB"/>
                <w14:textFill>
                  <w14:solidFill>
                    <w14:schemeClr w14:val="tx1"/>
                  </w14:solidFill>
                </w14:textFill>
              </w:rPr>
              <w:t>3</w:t>
            </w:r>
            <w:r>
              <w:rPr>
                <w:bCs/>
                <w:color w:val="000000" w:themeColor="text1"/>
                <w:sz w:val="24"/>
                <w:lang w:val="en-GB"/>
                <w14:textFill>
                  <w14:solidFill>
                    <w14:schemeClr w14:val="tx1"/>
                  </w14:solidFill>
                </w14:textFill>
              </w:rPr>
              <w:t>/d</w:t>
            </w:r>
            <w:r>
              <w:rPr>
                <w:rFonts w:hint="eastAsia"/>
                <w:bCs/>
                <w:color w:val="000000" w:themeColor="text1"/>
                <w:sz w:val="24"/>
                <w:lang w:val="en-GB"/>
                <w14:textFill>
                  <w14:solidFill>
                    <w14:schemeClr w14:val="tx1"/>
                  </w14:solidFill>
                </w14:textFill>
              </w:rPr>
              <w:t>，经化粪池初步处理后进入生活污水一体化处理设施，处理后合格水用于站区</w:t>
            </w:r>
            <w:r>
              <w:rPr>
                <w:rFonts w:hint="eastAsia"/>
                <w:bCs/>
                <w:color w:val="000000" w:themeColor="text1"/>
                <w:sz w:val="24"/>
                <w14:textFill>
                  <w14:solidFill>
                    <w14:schemeClr w14:val="tx1"/>
                  </w14:solidFill>
                </w14:textFill>
              </w:rPr>
              <w:t>道路抑尘</w:t>
            </w:r>
            <w:r>
              <w:rPr>
                <w:rFonts w:hint="eastAsia"/>
                <w:bCs/>
                <w:color w:val="000000" w:themeColor="text1"/>
                <w:sz w:val="24"/>
                <w:lang w:val="en-GB"/>
                <w14:textFill>
                  <w14:solidFill>
                    <w14:schemeClr w14:val="tx1"/>
                  </w14:solidFill>
                </w14:textFill>
              </w:rPr>
              <w:t>等。污水处理设施处理能力为1m</w:t>
            </w:r>
            <w:r>
              <w:rPr>
                <w:rFonts w:hint="eastAsia"/>
                <w:bCs/>
                <w:color w:val="000000" w:themeColor="text1"/>
                <w:sz w:val="24"/>
                <w:vertAlign w:val="superscript"/>
                <w:lang w:val="en-GB"/>
                <w14:textFill>
                  <w14:solidFill>
                    <w14:schemeClr w14:val="tx1"/>
                  </w14:solidFill>
                </w14:textFill>
              </w:rPr>
              <w:t>3</w:t>
            </w:r>
            <w:r>
              <w:rPr>
                <w:rFonts w:hint="eastAsia"/>
                <w:bCs/>
                <w:color w:val="000000" w:themeColor="text1"/>
                <w:sz w:val="24"/>
                <w:lang w:val="en-GB"/>
                <w14:textFill>
                  <w14:solidFill>
                    <w14:schemeClr w14:val="tx1"/>
                  </w14:solidFill>
                </w14:textFill>
              </w:rPr>
              <w:t>/h，出水水质应满足《城市污水再生利用</w:t>
            </w:r>
            <w:r>
              <w:rPr>
                <w:rFonts w:hint="eastAsia"/>
                <w:bCs/>
                <w:color w:val="000000" w:themeColor="text1"/>
                <w:sz w:val="24"/>
                <w14:textFill>
                  <w14:solidFill>
                    <w14:schemeClr w14:val="tx1"/>
                  </w14:solidFill>
                </w14:textFill>
              </w:rPr>
              <w:t>城市杂用水</w:t>
            </w:r>
            <w:r>
              <w:rPr>
                <w:rFonts w:hint="eastAsia"/>
                <w:bCs/>
                <w:color w:val="000000" w:themeColor="text1"/>
                <w:sz w:val="24"/>
                <w:lang w:val="en-GB"/>
                <w14:textFill>
                  <w14:solidFill>
                    <w14:schemeClr w14:val="tx1"/>
                  </w14:solidFill>
                </w14:textFill>
              </w:rPr>
              <w:t>水质》（GB/T1892</w:t>
            </w:r>
            <w:r>
              <w:rPr>
                <w:rFonts w:hint="eastAsia"/>
                <w:bCs/>
                <w:color w:val="000000" w:themeColor="text1"/>
                <w:sz w:val="24"/>
                <w14:textFill>
                  <w14:solidFill>
                    <w14:schemeClr w14:val="tx1"/>
                  </w14:solidFill>
                </w14:textFill>
              </w:rPr>
              <w:t>0</w:t>
            </w:r>
            <w:r>
              <w:rPr>
                <w:rFonts w:hint="eastAsia"/>
                <w:bCs/>
                <w:color w:val="000000" w:themeColor="text1"/>
                <w:sz w:val="24"/>
                <w:lang w:val="en-GB"/>
                <w14:textFill>
                  <w14:solidFill>
                    <w14:schemeClr w14:val="tx1"/>
                  </w14:solidFill>
                </w14:textFill>
              </w:rPr>
              <w:t>-20</w:t>
            </w:r>
            <w:r>
              <w:rPr>
                <w:rFonts w:hint="eastAsia"/>
                <w:bCs/>
                <w:color w:val="000000" w:themeColor="text1"/>
                <w:sz w:val="24"/>
                <w14:textFill>
                  <w14:solidFill>
                    <w14:schemeClr w14:val="tx1"/>
                  </w14:solidFill>
                </w14:textFill>
              </w:rPr>
              <w:t>20</w:t>
            </w:r>
            <w:r>
              <w:rPr>
                <w:rFonts w:hint="eastAsia"/>
                <w:bCs/>
                <w:color w:val="000000" w:themeColor="text1"/>
                <w:sz w:val="24"/>
                <w:lang w:val="en-GB"/>
                <w14:textFill>
                  <w14:solidFill>
                    <w14:schemeClr w14:val="tx1"/>
                  </w14:solidFill>
                </w14:textFill>
              </w:rPr>
              <w:t>）。</w:t>
            </w:r>
          </w:p>
          <w:p w14:paraId="40A762E9">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光伏组件清洗水水质简单，主要成分为悬浮物，且水质较清洁，按照10%损耗，其余直接排至光伏板下自然蒸发和吸收；</w:t>
            </w:r>
          </w:p>
          <w:p w14:paraId="4A17980F">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给排水平衡见下表及下图：</w:t>
            </w:r>
          </w:p>
          <w:p w14:paraId="38E537FC">
            <w:pPr>
              <w:widowControl/>
              <w:spacing w:line="440" w:lineRule="exact"/>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表2-</w:t>
            </w:r>
            <w:r>
              <w:rPr>
                <w:rFonts w:hint="eastAsia"/>
                <w:b/>
                <w:color w:val="000000" w:themeColor="text1"/>
                <w:sz w:val="24"/>
                <w14:textFill>
                  <w14:solidFill>
                    <w14:schemeClr w14:val="tx1"/>
                  </w14:solidFill>
                </w14:textFill>
              </w:rPr>
              <w:t>8</w:t>
            </w:r>
            <w:r>
              <w:rPr>
                <w:b/>
                <w:color w:val="000000" w:themeColor="text1"/>
                <w:sz w:val="24"/>
                <w14:textFill>
                  <w14:solidFill>
                    <w14:schemeClr w14:val="tx1"/>
                  </w14:solidFill>
                </w14:textFill>
              </w:rPr>
              <w:t xml:space="preserve">    项目用水给排水平衡表     </w:t>
            </w:r>
            <w:r>
              <w:rPr>
                <w:rFonts w:hint="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 xml:space="preserve">       （单位：m</w:t>
            </w:r>
            <w:r>
              <w:rPr>
                <w:b/>
                <w:color w:val="000000" w:themeColor="text1"/>
                <w:sz w:val="24"/>
                <w:vertAlign w:val="superscript"/>
                <w14:textFill>
                  <w14:solidFill>
                    <w14:schemeClr w14:val="tx1"/>
                  </w14:solidFill>
                </w14:textFill>
              </w:rPr>
              <w:t>3</w:t>
            </w:r>
            <w:r>
              <w:rPr>
                <w:b/>
                <w:color w:val="000000" w:themeColor="text1"/>
                <w:sz w:val="24"/>
                <w14:textFill>
                  <w14:solidFill>
                    <w14:schemeClr w14:val="tx1"/>
                  </w14:solidFill>
                </w14:textFill>
              </w:rPr>
              <w:t>/d）</w:t>
            </w:r>
          </w:p>
          <w:tbl>
            <w:tblPr>
              <w:tblStyle w:val="6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698"/>
              <w:gridCol w:w="1583"/>
              <w:gridCol w:w="1258"/>
              <w:gridCol w:w="1147"/>
              <w:gridCol w:w="1386"/>
              <w:gridCol w:w="1215"/>
            </w:tblGrid>
            <w:tr w14:paraId="0EFC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24" w:type="pct"/>
                  <w:vAlign w:val="center"/>
                </w:tcPr>
                <w:p w14:paraId="2F0DCAE4">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产品</w:t>
                  </w:r>
                </w:p>
              </w:tc>
              <w:tc>
                <w:tcPr>
                  <w:tcW w:w="954" w:type="pct"/>
                  <w:vAlign w:val="center"/>
                </w:tcPr>
                <w:p w14:paraId="75F02CAB">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总用水量</w:t>
                  </w:r>
                </w:p>
              </w:tc>
              <w:tc>
                <w:tcPr>
                  <w:tcW w:w="759" w:type="pct"/>
                  <w:vAlign w:val="center"/>
                </w:tcPr>
                <w:p w14:paraId="11EC0822">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新鲜水</w:t>
                  </w:r>
                </w:p>
              </w:tc>
              <w:tc>
                <w:tcPr>
                  <w:tcW w:w="692" w:type="pct"/>
                  <w:vAlign w:val="center"/>
                </w:tcPr>
                <w:p w14:paraId="34D79AF5">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回水</w:t>
                  </w:r>
                </w:p>
              </w:tc>
              <w:tc>
                <w:tcPr>
                  <w:tcW w:w="835" w:type="pct"/>
                  <w:vAlign w:val="center"/>
                </w:tcPr>
                <w:p w14:paraId="110BB2F6">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损耗水量</w:t>
                  </w:r>
                </w:p>
              </w:tc>
              <w:tc>
                <w:tcPr>
                  <w:tcW w:w="733" w:type="pct"/>
                  <w:vAlign w:val="center"/>
                </w:tcPr>
                <w:p w14:paraId="4048F148">
                  <w:pPr>
                    <w:widowControl/>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废水产生量</w:t>
                  </w:r>
                </w:p>
              </w:tc>
            </w:tr>
            <w:tr w14:paraId="6C9E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24" w:type="pct"/>
                  <w:vAlign w:val="center"/>
                </w:tcPr>
                <w:p w14:paraId="6F48A58E">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生活用水</w:t>
                  </w:r>
                </w:p>
              </w:tc>
              <w:tc>
                <w:tcPr>
                  <w:tcW w:w="954" w:type="pct"/>
                  <w:vAlign w:val="center"/>
                </w:tcPr>
                <w:p w14:paraId="786B27A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759" w:type="pct"/>
                  <w:vAlign w:val="center"/>
                </w:tcPr>
                <w:p w14:paraId="7E6A4A1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692" w:type="pct"/>
                  <w:vAlign w:val="center"/>
                </w:tcPr>
                <w:p w14:paraId="796B322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835" w:type="pct"/>
                  <w:vAlign w:val="center"/>
                </w:tcPr>
                <w:p w14:paraId="6A348F5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733" w:type="pct"/>
                  <w:vAlign w:val="center"/>
                </w:tcPr>
                <w:p w14:paraId="7FC06EA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r>
            <w:tr w14:paraId="3557E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24" w:type="pct"/>
                  <w:vAlign w:val="center"/>
                </w:tcPr>
                <w:p w14:paraId="0258DE64">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光伏组件清洗</w:t>
                  </w:r>
                </w:p>
              </w:tc>
              <w:tc>
                <w:tcPr>
                  <w:tcW w:w="954" w:type="pct"/>
                  <w:vAlign w:val="center"/>
                </w:tcPr>
                <w:p w14:paraId="3A65BA2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26.4</w:t>
                  </w:r>
                </w:p>
              </w:tc>
              <w:tc>
                <w:tcPr>
                  <w:tcW w:w="759" w:type="pct"/>
                  <w:vAlign w:val="center"/>
                </w:tcPr>
                <w:p w14:paraId="211DB3B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26.4</w:t>
                  </w:r>
                </w:p>
              </w:tc>
              <w:tc>
                <w:tcPr>
                  <w:tcW w:w="692" w:type="pct"/>
                  <w:vAlign w:val="center"/>
                </w:tcPr>
                <w:p w14:paraId="2B234AF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835" w:type="pct"/>
                  <w:vAlign w:val="center"/>
                </w:tcPr>
                <w:p w14:paraId="5D9F358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2.64</w:t>
                  </w:r>
                </w:p>
              </w:tc>
              <w:tc>
                <w:tcPr>
                  <w:tcW w:w="733" w:type="pct"/>
                  <w:vAlign w:val="center"/>
                </w:tcPr>
                <w:p w14:paraId="0F5B4A9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23.76</w:t>
                  </w:r>
                </w:p>
              </w:tc>
            </w:tr>
            <w:tr w14:paraId="5B23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24" w:type="pct"/>
                  <w:vAlign w:val="center"/>
                </w:tcPr>
                <w:p w14:paraId="7D6B3252">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道路抑尘用水</w:t>
                  </w:r>
                </w:p>
              </w:tc>
              <w:tc>
                <w:tcPr>
                  <w:tcW w:w="954" w:type="pct"/>
                  <w:vAlign w:val="center"/>
                </w:tcPr>
                <w:p w14:paraId="611F2E6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c>
                <w:tcPr>
                  <w:tcW w:w="759" w:type="pct"/>
                  <w:vAlign w:val="center"/>
                </w:tcPr>
                <w:p w14:paraId="4F7F2EB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692" w:type="pct"/>
                  <w:vAlign w:val="center"/>
                </w:tcPr>
                <w:p w14:paraId="1669CA9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c>
                <w:tcPr>
                  <w:tcW w:w="835" w:type="pct"/>
                  <w:vAlign w:val="center"/>
                </w:tcPr>
                <w:p w14:paraId="1EF1DDD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c>
                <w:tcPr>
                  <w:tcW w:w="733" w:type="pct"/>
                  <w:vAlign w:val="center"/>
                </w:tcPr>
                <w:p w14:paraId="28EF226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3337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024" w:type="pct"/>
                  <w:vAlign w:val="center"/>
                </w:tcPr>
                <w:p w14:paraId="7666CADA">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954" w:type="pct"/>
                  <w:vAlign w:val="center"/>
                </w:tcPr>
                <w:p w14:paraId="6BC3DAF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27.3</w:t>
                  </w:r>
                </w:p>
              </w:tc>
              <w:tc>
                <w:tcPr>
                  <w:tcW w:w="759" w:type="pct"/>
                  <w:vAlign w:val="center"/>
                </w:tcPr>
                <w:p w14:paraId="54A5484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26.9</w:t>
                  </w:r>
                </w:p>
              </w:tc>
              <w:tc>
                <w:tcPr>
                  <w:tcW w:w="692" w:type="pct"/>
                  <w:vAlign w:val="center"/>
                </w:tcPr>
                <w:p w14:paraId="46ECF6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w:t>
                  </w:r>
                </w:p>
              </w:tc>
              <w:tc>
                <w:tcPr>
                  <w:tcW w:w="835" w:type="pct"/>
                  <w:vAlign w:val="center"/>
                </w:tcPr>
                <w:p w14:paraId="418601A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3.14</w:t>
                  </w:r>
                </w:p>
              </w:tc>
              <w:tc>
                <w:tcPr>
                  <w:tcW w:w="733" w:type="pct"/>
                  <w:vAlign w:val="center"/>
                </w:tcPr>
                <w:p w14:paraId="237FDCD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24.16</w:t>
                  </w:r>
                </w:p>
              </w:tc>
            </w:tr>
          </w:tbl>
          <w:p w14:paraId="773040D9">
            <w:pPr>
              <w:spacing w:line="440" w:lineRule="exact"/>
              <w:ind w:firstLine="480" w:firstLineChars="200"/>
              <w:rPr>
                <w:color w:val="000000" w:themeColor="text1"/>
                <w:sz w:val="24"/>
                <w:lang w:bidi="ar"/>
                <w14:textFill>
                  <w14:solidFill>
                    <w14:schemeClr w14:val="tx1"/>
                  </w14:solidFill>
                </w14:textFill>
              </w:rPr>
            </w:pPr>
          </w:p>
          <w:p w14:paraId="0127E424">
            <w:pPr>
              <w:spacing w:line="440" w:lineRule="exact"/>
              <w:ind w:firstLine="480" w:firstLineChars="200"/>
              <w:rPr>
                <w:color w:val="000000" w:themeColor="text1"/>
                <w:sz w:val="24"/>
                <w:lang w:bidi="ar"/>
                <w14:textFill>
                  <w14:solidFill>
                    <w14:schemeClr w14:val="tx1"/>
                  </w14:solidFill>
                </w14:textFill>
              </w:rPr>
            </w:pPr>
          </w:p>
          <w:p w14:paraId="3CA0CAFD">
            <w:pPr>
              <w:spacing w:line="440" w:lineRule="exact"/>
              <w:ind w:firstLine="480" w:firstLineChars="200"/>
              <w:rPr>
                <w:color w:val="000000" w:themeColor="text1"/>
                <w:sz w:val="24"/>
                <w:lang w:bidi="ar"/>
                <w14:textFill>
                  <w14:solidFill>
                    <w14:schemeClr w14:val="tx1"/>
                  </w14:solidFill>
                </w14:textFill>
              </w:rPr>
            </w:pPr>
          </w:p>
          <w:p w14:paraId="0C0DA8D5">
            <w:pPr>
              <w:spacing w:line="440" w:lineRule="exact"/>
              <w:ind w:firstLine="480" w:firstLineChars="200"/>
              <w:rPr>
                <w:color w:val="000000" w:themeColor="text1"/>
                <w:sz w:val="24"/>
                <w:lang w:bidi="a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1842770</wp:posOffset>
                      </wp:positionH>
                      <wp:positionV relativeFrom="paragraph">
                        <wp:posOffset>113030</wp:posOffset>
                      </wp:positionV>
                      <wp:extent cx="1167130" cy="271780"/>
                      <wp:effectExtent l="4445" t="5080" r="17145" b="12700"/>
                      <wp:wrapNone/>
                      <wp:docPr id="12" name="文本框 12"/>
                      <wp:cNvGraphicFramePr/>
                      <a:graphic xmlns:a="http://schemas.openxmlformats.org/drawingml/2006/main">
                        <a:graphicData uri="http://schemas.microsoft.com/office/word/2010/wordprocessingShape">
                          <wps:wsp>
                            <wps:cNvSpPr txBox="1"/>
                            <wps:spPr>
                              <a:xfrm>
                                <a:off x="3367405" y="6554470"/>
                                <a:ext cx="1167130"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AFA052">
                                  <w:r>
                                    <w:rPr>
                                      <w:rFonts w:hint="eastAsia"/>
                                    </w:rPr>
                                    <w:t>生活用水（-0.1）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1pt;margin-top:8.9pt;height:21.4pt;width:91.9pt;z-index:251692032;mso-width-relative:page;mso-height-relative:page;" fillcolor="#FFFFFF [3201]" filled="t" stroked="t" coordsize="21600,21600" o:gfxdata="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XvDc/VAAAACQEAAA8AAAAAAAAAAQAgAAAAIgAAAGRycy9kb3ducmV2LnhtbFBLAQIUABQA&#10;AAAIAIdO4kDQ/NVPZQIAAMUEAAAOAAAAAAAAAAEAIAAAACQBAABkcnMvZTJvRG9jLnhtbFBLBQYA&#10;AAAABgAGAFkBAAD7BQAAAAA=&#10;">
                      <v:fill on="t" focussize="0,0"/>
                      <v:stroke weight="0.5pt" color="#000000 [3204]" joinstyle="round"/>
                      <v:imagedata o:title=""/>
                      <o:lock v:ext="edit" aspectratio="f"/>
                      <v:textbox>
                        <w:txbxContent>
                          <w:p w14:paraId="12AFA052">
                            <w:r>
                              <w:rPr>
                                <w:rFonts w:hint="eastAsia"/>
                              </w:rPr>
                              <w:t>生活用水（-0.1）</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1233170</wp:posOffset>
                      </wp:positionH>
                      <wp:positionV relativeFrom="paragraph">
                        <wp:posOffset>36830</wp:posOffset>
                      </wp:positionV>
                      <wp:extent cx="491490" cy="27178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9149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D88E4">
                                  <w:r>
                                    <w:rPr>
                                      <w:rFonts w:hint="eastAsia"/>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2.9pt;height:21.4pt;width:38.7pt;z-index:251695104;mso-width-relative:page;mso-height-relative:page;" filled="f" stroked="f" coordsize="21600,21600" o:gfxdata="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LwtFx2QAAAAgBAAAPAAAAAAAAAAEAIAAAACIAAABkcnMv&#10;ZG93bnJldi54bWxQSwECFAAUAAAACACHTuJACAHgCzsCAABnBAAADgAAAAAAAAABACAAAAAoAQAA&#10;ZHJzL2Uyb0RvYy54bWxQSwUGAAAAAAYABgBZAQAA1QUAAAAA&#10;">
                      <v:fill on="f" focussize="0,0"/>
                      <v:stroke on="f" weight="0.5pt"/>
                      <v:imagedata o:title=""/>
                      <o:lock v:ext="edit" aspectratio="f"/>
                      <v:textbox>
                        <w:txbxContent>
                          <w:p w14:paraId="5DFD88E4">
                            <w:r>
                              <w:rPr>
                                <w:rFonts w:hint="eastAsia"/>
                              </w:rPr>
                              <w:t>0.5</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1073150</wp:posOffset>
                      </wp:positionH>
                      <wp:positionV relativeFrom="paragraph">
                        <wp:posOffset>256540</wp:posOffset>
                      </wp:positionV>
                      <wp:extent cx="770255" cy="0"/>
                      <wp:effectExtent l="0" t="38100" r="6985" b="38100"/>
                      <wp:wrapNone/>
                      <wp:docPr id="11" name="直接箭头连接符 11"/>
                      <wp:cNvGraphicFramePr/>
                      <a:graphic xmlns:a="http://schemas.openxmlformats.org/drawingml/2006/main">
                        <a:graphicData uri="http://schemas.microsoft.com/office/word/2010/wordprocessingShape">
                          <wps:wsp>
                            <wps:cNvCnPr/>
                            <wps:spPr>
                              <a:xfrm>
                                <a:off x="0" y="0"/>
                                <a:ext cx="770255"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4.5pt;margin-top:20.2pt;height:0pt;width:60.65pt;z-index:251691008;mso-width-relative:page;mso-height-relative:page;" filled="f" stroked="t" coordsize="21600,21600" o:gfxdata="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j+vS1gAAAAkBAAAPAAAAAAAAAAEAIAAAACIAAABkcnMv&#10;ZG93bnJldi54bWxQSwECFAAUAAAACACHTuJA6NTk9QUCAADjAwAADgAAAAAAAAABACAAAAAlAQAA&#10;ZHJzL2Uyb0RvYy54bWxQSwUGAAAAAAYABgBZAQAAnAUAAAAA&#10;">
                      <v:fill on="f" focussize="0,0"/>
                      <v:stroke weight="1pt" color="#000000 [3213]" miterlimit="8" joinstyle="miter"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1064260</wp:posOffset>
                      </wp:positionH>
                      <wp:positionV relativeFrom="paragraph">
                        <wp:posOffset>257175</wp:posOffset>
                      </wp:positionV>
                      <wp:extent cx="8890" cy="990600"/>
                      <wp:effectExtent l="6350" t="0" r="15240" b="0"/>
                      <wp:wrapNone/>
                      <wp:docPr id="9" name="直接连接符 9"/>
                      <wp:cNvGraphicFramePr/>
                      <a:graphic xmlns:a="http://schemas.openxmlformats.org/drawingml/2006/main">
                        <a:graphicData uri="http://schemas.microsoft.com/office/word/2010/wordprocessingShape">
                          <wps:wsp>
                            <wps:cNvCnPr/>
                            <wps:spPr>
                              <a:xfrm flipH="1">
                                <a:off x="2630805" y="6715760"/>
                                <a:ext cx="8890" cy="99060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83.8pt;margin-top:20.25pt;height:78pt;width:0.7pt;z-index:251689984;mso-width-relative:page;mso-height-relative:page;" filled="f" stroked="t" coordsize="21600,21600" o:gfxdata="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lJNrWAAAACgEAAA8AAAAAAAAAAQAgAAAAIgAAAGRycy9kb3ducmV2Lnht&#10;bFBLAQIUABQAAAAIAIdO4kB5BZOb+wEAAMoDAAAOAAAAAAAAAAEAIAAAACUBAABkcnMvZTJvRG9j&#10;LnhtbFBLBQYAAAAABgAGAFkBAACSBQAAAAA=&#10;">
                      <v:fill on="f" focussize="0,0"/>
                      <v:stroke weight="1pt" color="#000000 [3213]" miterlimit="8" joinstyle="miter"/>
                      <v:imagedata o:title=""/>
                      <o:lock v:ext="edit" aspectratio="f"/>
                    </v:line>
                  </w:pict>
                </mc:Fallback>
              </mc:AlternateContent>
            </w:r>
          </w:p>
          <w:p w14:paraId="5D797B92">
            <w:pPr>
              <w:spacing w:line="440" w:lineRule="exact"/>
              <w:ind w:firstLine="480" w:firstLineChars="200"/>
              <w:rPr>
                <w:color w:val="000000" w:themeColor="text1"/>
                <w:sz w:val="24"/>
                <w:lang w:bidi="a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2224405</wp:posOffset>
                      </wp:positionH>
                      <wp:positionV relativeFrom="paragraph">
                        <wp:posOffset>104140</wp:posOffset>
                      </wp:positionV>
                      <wp:extent cx="0" cy="229235"/>
                      <wp:effectExtent l="38100" t="0" r="38100" b="14605"/>
                      <wp:wrapNone/>
                      <wp:docPr id="18" name="直接箭头连接符 18"/>
                      <wp:cNvGraphicFramePr/>
                      <a:graphic xmlns:a="http://schemas.openxmlformats.org/drawingml/2006/main">
                        <a:graphicData uri="http://schemas.microsoft.com/office/word/2010/wordprocessingShape">
                          <wps:wsp>
                            <wps:cNvCnPr/>
                            <wps:spPr>
                              <a:xfrm>
                                <a:off x="0" y="0"/>
                                <a:ext cx="0" cy="22923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5.15pt;margin-top:8.2pt;height:18.05pt;width:0pt;z-index:251697152;mso-width-relative:page;mso-height-relative:page;" filled="f" stroked="t" coordsize="21600,21600" o:gfxdata="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UuVZNYAAAAJAQAADwAAAAAAAAABACAAAAAiAAAAZHJzL2Rv&#10;d25yZXYueG1sUEsBAhQAFAAAAAgAh07iQJPShJUDAgAA4wMAAA4AAAAAAAAAAQAgAAAAJQEAAGRy&#10;cy9lMm9Eb2MueG1sUEsFBgAAAAAGAAYAWQEAAJoFAAAAAA==&#10;">
                      <v:fill on="f" focussize="0,0"/>
                      <v:stroke weight="1pt" color="#000000 [3213]" miterlimit="8" joinstyle="miter"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378460</wp:posOffset>
                      </wp:positionH>
                      <wp:positionV relativeFrom="paragraph">
                        <wp:posOffset>155575</wp:posOffset>
                      </wp:positionV>
                      <wp:extent cx="491490" cy="27178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9149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437A5">
                                  <w:r>
                                    <w:rPr>
                                      <w:rFonts w:hint="eastAsia"/>
                                    </w:rPr>
                                    <w:t>26.9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pt;margin-top:12.25pt;height:21.4pt;width:38.7pt;z-index:251703296;mso-width-relative:page;mso-height-relative:page;" filled="f" stroked="f" coordsize="21600,21600" o:gfxdata="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S5oLaAAAACAEAAA8AAAAAAAAAAQAgAAAAIgAAAGRy&#10;cy9kb3ducmV2LnhtbFBLAQIUABQAAAAIAIdO4kADc5xHPAIAAGcEAAAOAAAAAAAAAAEAIAAAACkB&#10;AABkcnMvZTJvRG9jLnhtbFBLBQYAAAAABgAGAFkBAADXBQAAAAA=&#10;">
                      <v:fill on="f" focussize="0,0"/>
                      <v:stroke on="f" weight="0.5pt"/>
                      <v:imagedata o:title=""/>
                      <o:lock v:ext="edit" aspectratio="f"/>
                      <v:textbox>
                        <w:txbxContent>
                          <w:p w14:paraId="6AE437A5">
                            <w:r>
                              <w:rPr>
                                <w:rFonts w:hint="eastAsia"/>
                              </w:rPr>
                              <w:t>26.9</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2190750</wp:posOffset>
                      </wp:positionH>
                      <wp:positionV relativeFrom="paragraph">
                        <wp:posOffset>128905</wp:posOffset>
                      </wp:positionV>
                      <wp:extent cx="491490" cy="27178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9149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8767D">
                                  <w:r>
                                    <w:rPr>
                                      <w:rFonts w:hint="eastAsia"/>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10.15pt;height:21.4pt;width:38.7pt;z-index:251696128;mso-width-relative:page;mso-height-relative:page;" filled="f" stroked="f" coordsize="21600,21600" o:gfxdata="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9Vv1jbAAAACQEAAA8AAAAAAAAAAQAgAAAAIgAAAGRy&#10;cy9kb3ducmV2LnhtbFBLAQIUABQAAAAIAIdO4kBSfiPjOwIAAGcEAAAOAAAAAAAAAAEAIAAAACoB&#10;AABkcnMvZTJvRG9jLnhtbFBLBQYAAAAABgAGAFkBAADXBQAAAAA=&#10;">
                      <v:fill on="f" focussize="0,0"/>
                      <v:stroke on="f" weight="0.5pt"/>
                      <v:imagedata o:title=""/>
                      <o:lock v:ext="edit" aspectratio="f"/>
                      <v:textbox>
                        <w:txbxContent>
                          <w:p w14:paraId="3BE8767D">
                            <w:r>
                              <w:rPr>
                                <w:rFonts w:hint="eastAsia"/>
                              </w:rPr>
                              <w:t>0.4</w:t>
                            </w:r>
                          </w:p>
                        </w:txbxContent>
                      </v:textbox>
                    </v:shape>
                  </w:pict>
                </mc:Fallback>
              </mc:AlternateContent>
            </w:r>
          </w:p>
          <w:p w14:paraId="29B1C0D6">
            <w:pPr>
              <w:spacing w:line="440" w:lineRule="exact"/>
              <w:ind w:firstLine="480" w:firstLineChars="200"/>
              <w:rPr>
                <w:color w:val="000000" w:themeColor="text1"/>
                <w:sz w:val="24"/>
                <w:lang w:bidi="a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1834515</wp:posOffset>
                      </wp:positionH>
                      <wp:positionV relativeFrom="paragraph">
                        <wp:posOffset>45085</wp:posOffset>
                      </wp:positionV>
                      <wp:extent cx="1049655" cy="271780"/>
                      <wp:effectExtent l="4445" t="4445" r="12700" b="13335"/>
                      <wp:wrapNone/>
                      <wp:docPr id="14" name="文本框 14"/>
                      <wp:cNvGraphicFramePr/>
                      <a:graphic xmlns:a="http://schemas.openxmlformats.org/drawingml/2006/main">
                        <a:graphicData uri="http://schemas.microsoft.com/office/word/2010/wordprocessingShape">
                          <wps:wsp>
                            <wps:cNvSpPr txBox="1"/>
                            <wps:spPr>
                              <a:xfrm>
                                <a:off x="0" y="0"/>
                                <a:ext cx="104965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4E7CE8">
                                  <w:r>
                                    <w:rPr>
                                      <w:rFonts w:hint="eastAsia"/>
                                    </w:rPr>
                                    <w:t>道路抑尘用水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45pt;margin-top:3.55pt;height:21.4pt;width:82.65pt;z-index:251693056;mso-width-relative:page;mso-height-relative:page;" fillcolor="#FFFFFF [3201]" filled="t" stroked="t" coordsize="21600,21600" o:gfxdata="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FMTAfW&#10;AAAACAEAAA8AAAAAAAAAAQAgAAAAIgAAAGRycy9kb3ducmV2LnhtbFBLAQIUABQAAAAIAIdO4kCC&#10;G8Y6WwIAALkEAAAOAAAAAAAAAAEAIAAAACUBAABkcnMvZTJvRG9jLnhtbFBLBQYAAAAABgAGAFkB&#10;AADyBQAAAAA=&#10;">
                      <v:fill on="t" focussize="0,0"/>
                      <v:stroke weight="0.5pt" color="#000000 [3204]" joinstyle="round"/>
                      <v:imagedata o:title=""/>
                      <o:lock v:ext="edit" aspectratio="f"/>
                      <v:textbox>
                        <w:txbxContent>
                          <w:p w14:paraId="7F4E7CE8">
                            <w:r>
                              <w:rPr>
                                <w:rFonts w:hint="eastAsia"/>
                              </w:rPr>
                              <w:t>道路抑尘用水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311150</wp:posOffset>
                      </wp:positionH>
                      <wp:positionV relativeFrom="paragraph">
                        <wp:posOffset>146685</wp:posOffset>
                      </wp:positionV>
                      <wp:extent cx="770255" cy="0"/>
                      <wp:effectExtent l="0" t="38100" r="6985" b="38100"/>
                      <wp:wrapNone/>
                      <wp:docPr id="6" name="直接箭头连接符 6"/>
                      <wp:cNvGraphicFramePr/>
                      <a:graphic xmlns:a="http://schemas.openxmlformats.org/drawingml/2006/main">
                        <a:graphicData uri="http://schemas.microsoft.com/office/word/2010/wordprocessingShape">
                          <wps:wsp>
                            <wps:cNvCnPr/>
                            <wps:spPr>
                              <a:xfrm>
                                <a:off x="1877695" y="7164070"/>
                                <a:ext cx="770255"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5pt;margin-top:11.55pt;height:0pt;width:60.65pt;z-index:251688960;mso-width-relative:page;mso-height-relative:page;" filled="f" stroked="t" coordsize="21600,21600" o:gfxdata="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zBgRTWAAAACAEAAA8AAAAAAAAA&#10;AQAgAAAAIgAAAGRycy9kb3ducmV2LnhtbFBLAQIUABQAAAAIAIdO4kD95UGsEwIAAO0DAAAOAAAA&#10;AAAAAAEAIAAAACUBAABkcnMvZTJvRG9jLnhtbFBLBQYAAAAABgAGAFkBAACqBQAAAAA=&#10;">
                      <v:fill on="f" focussize="0,0"/>
                      <v:stroke weight="1pt" color="#000000 [3213]" miterlimit="8" joinstyle="miter" endarrow="block"/>
                      <v:imagedata o:title=""/>
                      <o:lock v:ext="edit" aspectratio="f"/>
                    </v:shape>
                  </w:pict>
                </mc:Fallback>
              </mc:AlternateContent>
            </w:r>
          </w:p>
          <w:p w14:paraId="30F7A2DE">
            <w:pPr>
              <w:spacing w:line="440" w:lineRule="exact"/>
              <w:ind w:firstLine="480" w:firstLineChars="200"/>
              <w:rPr>
                <w:color w:val="000000" w:themeColor="text1"/>
                <w:sz w:val="24"/>
                <w:lang w:bidi="a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1809115</wp:posOffset>
                      </wp:positionH>
                      <wp:positionV relativeFrom="paragraph">
                        <wp:posOffset>247650</wp:posOffset>
                      </wp:positionV>
                      <wp:extent cx="1742440" cy="271780"/>
                      <wp:effectExtent l="4445" t="4445" r="5715" b="13335"/>
                      <wp:wrapNone/>
                      <wp:docPr id="19" name="文本框 19"/>
                      <wp:cNvGraphicFramePr/>
                      <a:graphic xmlns:a="http://schemas.openxmlformats.org/drawingml/2006/main">
                        <a:graphicData uri="http://schemas.microsoft.com/office/word/2010/wordprocessingShape">
                          <wps:wsp>
                            <wps:cNvSpPr txBox="1"/>
                            <wps:spPr>
                              <a:xfrm>
                                <a:off x="0" y="0"/>
                                <a:ext cx="1742440"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A2E8B2">
                                  <w:r>
                                    <w:rPr>
                                      <w:rFonts w:hint="eastAsia"/>
                                    </w:rPr>
                                    <w:t>光伏组件清洗用水（-2.64）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45pt;margin-top:19.5pt;height:21.4pt;width:137.2pt;z-index:251698176;mso-width-relative:page;mso-height-relative:page;" fillcolor="#FFFFFF [3201]" filled="t" stroked="t" coordsize="21600,21600" o:gfxdata="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XEAHtcA&#10;AAAJAQAADwAAAAAAAAABACAAAAAiAAAAZHJzL2Rvd25yZXYueG1sUEsBAhQAFAAAAAgAh07iQAbe&#10;A+lZAgAAuQQAAA4AAAAAAAAAAQAgAAAAJgEAAGRycy9lMm9Eb2MueG1sUEsFBgAAAAAGAAYAWQEA&#10;APEFAAAAAA==&#10;">
                      <v:fill on="t" focussize="0,0"/>
                      <v:stroke weight="0.5pt" color="#000000 [3204]" joinstyle="round"/>
                      <v:imagedata o:title=""/>
                      <o:lock v:ext="edit" aspectratio="f"/>
                      <v:textbox>
                        <w:txbxContent>
                          <w:p w14:paraId="49A2E8B2">
                            <w:r>
                              <w:rPr>
                                <w:rFonts w:hint="eastAsia"/>
                              </w:rPr>
                              <w:t>光伏组件清洗用水（-2.64）</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1233170</wp:posOffset>
                      </wp:positionH>
                      <wp:positionV relativeFrom="paragraph">
                        <wp:posOffset>180975</wp:posOffset>
                      </wp:positionV>
                      <wp:extent cx="491490" cy="27178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49149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1626E">
                                  <w:r>
                                    <w:rPr>
                                      <w:rFonts w:hint="eastAsia"/>
                                    </w:rPr>
                                    <w:t>26.4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14.25pt;height:21.4pt;width:38.7pt;z-index:251699200;mso-width-relative:page;mso-height-relative:page;" filled="f" stroked="f" coordsize="21600,21600" o:gfxdata="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FGQONoAAAAJAQAADwAAAAAAAAABACAAAAAiAAAAZHJz&#10;L2Rvd25yZXYueG1sUEsBAhQAFAAAAAgAh07iQOmCc1I7AgAAZwQAAA4AAAAAAAAAAQAgAAAAKQEA&#10;AGRycy9lMm9Eb2MueG1sUEsFBgAAAAAGAAYAWQEAANYFAAAAAA==&#10;">
                      <v:fill on="f" focussize="0,0"/>
                      <v:stroke on="f" weight="0.5pt"/>
                      <v:imagedata o:title=""/>
                      <o:lock v:ext="edit" aspectratio="f"/>
                      <v:textbox>
                        <w:txbxContent>
                          <w:p w14:paraId="1E71626E">
                            <w:r>
                              <w:rPr>
                                <w:rFonts w:hint="eastAsia"/>
                              </w:rPr>
                              <w:t>26.4</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3959860</wp:posOffset>
                      </wp:positionH>
                      <wp:positionV relativeFrom="paragraph">
                        <wp:posOffset>257810</wp:posOffset>
                      </wp:positionV>
                      <wp:extent cx="965200" cy="271780"/>
                      <wp:effectExtent l="4445" t="4445" r="5715" b="13335"/>
                      <wp:wrapNone/>
                      <wp:docPr id="23" name="文本框 23"/>
                      <wp:cNvGraphicFramePr/>
                      <a:graphic xmlns:a="http://schemas.openxmlformats.org/drawingml/2006/main">
                        <a:graphicData uri="http://schemas.microsoft.com/office/word/2010/wordprocessingShape">
                          <wps:wsp>
                            <wps:cNvSpPr txBox="1"/>
                            <wps:spPr>
                              <a:xfrm>
                                <a:off x="0" y="0"/>
                                <a:ext cx="965200"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0FE742">
                                  <w:r>
                                    <w:rPr>
                                      <w:rFonts w:hint="eastAsia"/>
                                    </w:rPr>
                                    <w:t>地面浇灌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8pt;margin-top:20.3pt;height:21.4pt;width:76pt;z-index:251702272;mso-width-relative:page;mso-height-relative:page;" fillcolor="#FFFFFF [3201]" filled="t" stroked="t" coordsize="21600,21600" o:gfxdata="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8ryRNYA&#10;AAAJAQAADwAAAAAAAAABACAAAAAiAAAAZHJzL2Rvd25yZXYueG1sUEsBAhQAFAAAAAgAh07iQJHI&#10;a4daAgAAuAQAAA4AAAAAAAAAAQAgAAAAJQEAAGRycy9lMm9Eb2MueG1sUEsFBgAAAAAGAAYAWQEA&#10;APEFAAAAAA==&#10;">
                      <v:fill on="t" focussize="0,0"/>
                      <v:stroke weight="0.5pt" color="#000000 [3204]" joinstyle="round"/>
                      <v:imagedata o:title=""/>
                      <o:lock v:ext="edit" aspectratio="f"/>
                      <v:textbox>
                        <w:txbxContent>
                          <w:p w14:paraId="480FE742">
                            <w:r>
                              <w:rPr>
                                <w:rFonts w:hint="eastAsia"/>
                              </w:rPr>
                              <w:t>地面浇灌</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3552825</wp:posOffset>
                      </wp:positionH>
                      <wp:positionV relativeFrom="paragraph">
                        <wp:posOffset>121285</wp:posOffset>
                      </wp:positionV>
                      <wp:extent cx="491490" cy="27178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9149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E41D0">
                                  <w:r>
                                    <w:rPr>
                                      <w:rFonts w:hint="eastAsia"/>
                                    </w:rPr>
                                    <w:t>24.16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75pt;margin-top:9.55pt;height:21.4pt;width:38.7pt;z-index:251700224;mso-width-relative:page;mso-height-relative:page;" filled="f" stroked="f" coordsize="21600,21600" o:gfxdata="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46sF2QAAAAkBAAAPAAAAAAAAAAEAIAAAACIAAABkcnMv&#10;ZG93bnJldi54bWxQSwECFAAUAAAACACHTuJAs/2wujsCAABnBAAADgAAAAAAAAABACAAAAAoAQAA&#10;ZHJzL2Uyb0RvYy54bWxQSwUGAAAAAAYABgBZAQAA1QUAAAAA&#10;">
                      <v:fill on="f" focussize="0,0"/>
                      <v:stroke on="f" weight="0.5pt"/>
                      <v:imagedata o:title=""/>
                      <o:lock v:ext="edit" aspectratio="f"/>
                      <v:textbox>
                        <w:txbxContent>
                          <w:p w14:paraId="019E41D0">
                            <w:r>
                              <w:rPr>
                                <w:rFonts w:hint="eastAsia"/>
                              </w:rPr>
                              <w:t>24.16</w:t>
                            </w:r>
                          </w:p>
                        </w:txbxContent>
                      </v:textbox>
                    </v:shape>
                  </w:pict>
                </mc:Fallback>
              </mc:AlternateContent>
            </w:r>
          </w:p>
          <w:p w14:paraId="0CFD5AD4">
            <w:pPr>
              <w:spacing w:line="440" w:lineRule="exact"/>
              <w:ind w:firstLine="480" w:firstLineChars="200"/>
              <w:rPr>
                <w:color w:val="000000" w:themeColor="text1"/>
                <w:sz w:val="24"/>
                <w:lang w:bidi="ar"/>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3494405</wp:posOffset>
                      </wp:positionH>
                      <wp:positionV relativeFrom="paragraph">
                        <wp:posOffset>104775</wp:posOffset>
                      </wp:positionV>
                      <wp:extent cx="465455" cy="7620"/>
                      <wp:effectExtent l="0" t="36830" r="6985" b="31750"/>
                      <wp:wrapNone/>
                      <wp:docPr id="22" name="直接箭头连接符 22"/>
                      <wp:cNvGraphicFramePr/>
                      <a:graphic xmlns:a="http://schemas.openxmlformats.org/drawingml/2006/main">
                        <a:graphicData uri="http://schemas.microsoft.com/office/word/2010/wordprocessingShape">
                          <wps:wsp>
                            <wps:cNvCnPr/>
                            <wps:spPr>
                              <a:xfrm flipV="1">
                                <a:off x="0" y="0"/>
                                <a:ext cx="465455" cy="762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75.15pt;margin-top:8.25pt;height:0.6pt;width:36.65pt;z-index:251701248;mso-width-relative:page;mso-height-relative:page;" filled="f" stroked="t" coordsize="21600,21600" o:gfxdata="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4Qg+i1gAAAAkBAAAPAAAAAAAAAAEA&#10;IAAAACIAAABkcnMvZG93bnJldi54bWxQSwECFAAUAAAACACHTuJA4U66ZxECAADwAwAADgAAAAAA&#10;AAABACAAAAAlAQAAZHJzL2Uyb0RvYy54bWxQSwUGAAAAAAYABgBZAQAAqAUAAAAA&#10;">
                      <v:fill on="f" focussize="0,0"/>
                      <v:stroke weight="1pt" color="#000000 [3213]" miterlimit="8" joinstyle="miter"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1056640</wp:posOffset>
                      </wp:positionH>
                      <wp:positionV relativeFrom="paragraph">
                        <wp:posOffset>129540</wp:posOffset>
                      </wp:positionV>
                      <wp:extent cx="770255" cy="0"/>
                      <wp:effectExtent l="0" t="38100" r="6985" b="38100"/>
                      <wp:wrapNone/>
                      <wp:docPr id="15" name="直接箭头连接符 15"/>
                      <wp:cNvGraphicFramePr/>
                      <a:graphic xmlns:a="http://schemas.openxmlformats.org/drawingml/2006/main">
                        <a:graphicData uri="http://schemas.microsoft.com/office/word/2010/wordprocessingShape">
                          <wps:wsp>
                            <wps:cNvCnPr/>
                            <wps:spPr>
                              <a:xfrm>
                                <a:off x="0" y="0"/>
                                <a:ext cx="770255"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3.2pt;margin-top:10.2pt;height:0pt;width:60.65pt;z-index:251694080;mso-width-relative:page;mso-height-relative:page;" filled="f" stroked="t" coordsize="21600,21600" o:gfxdata="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rg/R1wAAAAkBAAAPAAAAAAAAAAEAIAAAACIAAABkcnMv&#10;ZG93bnJldi54bWxQSwECFAAUAAAACACHTuJA5V/WKAQCAADjAwAADgAAAAAAAAABACAAAAAmAQAA&#10;ZHJzL2Uyb0RvYy54bWxQSwUGAAAAAAYABgBZAQAAnAUAAAAA&#10;">
                      <v:fill on="f" focussize="0,0"/>
                      <v:stroke weight="1pt" color="#000000 [3213]" miterlimit="8" joinstyle="miter" endarrow="block"/>
                      <v:imagedata o:title=""/>
                      <o:lock v:ext="edit" aspectratio="f"/>
                    </v:shape>
                  </w:pict>
                </mc:Fallback>
              </mc:AlternateContent>
            </w:r>
          </w:p>
          <w:p w14:paraId="6752E98F">
            <w:pPr>
              <w:autoSpaceDE w:val="0"/>
              <w:autoSpaceDN w:val="0"/>
              <w:spacing w:line="440" w:lineRule="exact"/>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图2-3    本项目给排水平衡图</w:t>
            </w:r>
          </w:p>
        </w:tc>
      </w:tr>
      <w:tr w14:paraId="22E950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300" w:type="pct"/>
            <w:vAlign w:val="center"/>
          </w:tcPr>
          <w:p w14:paraId="63F52404">
            <w:pPr>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总平面及现场布置</w:t>
            </w:r>
          </w:p>
        </w:tc>
        <w:tc>
          <w:tcPr>
            <w:tcW w:w="4699" w:type="pct"/>
          </w:tcPr>
          <w:p w14:paraId="1B0CF2E1">
            <w:pPr>
              <w:autoSpaceDE w:val="0"/>
              <w:autoSpaceDN w:val="0"/>
              <w:spacing w:line="440" w:lineRule="exact"/>
              <w:ind w:firstLine="482" w:firstLineChars="200"/>
              <w:rPr>
                <w:color w:val="000000" w:themeColor="text1"/>
                <w14:textFill>
                  <w14:solidFill>
                    <w14:schemeClr w14:val="tx1"/>
                  </w14:solidFill>
                </w14:textFill>
              </w:rPr>
            </w:pPr>
            <w:r>
              <w:rPr>
                <w:rFonts w:hint="eastAsia" w:ascii="宋体" w:hAnsi="宋体" w:cs="宋体"/>
                <w:b/>
                <w:bCs/>
                <w:color w:val="000000" w:themeColor="text1"/>
                <w:kern w:val="0"/>
                <w:sz w:val="24"/>
                <w:lang w:bidi="ar"/>
                <w14:textFill>
                  <w14:solidFill>
                    <w14:schemeClr w14:val="tx1"/>
                  </w14:solidFill>
                </w14:textFill>
              </w:rPr>
              <w:t>一、项目总平面总布置</w:t>
            </w:r>
          </w:p>
          <w:p w14:paraId="2DC89046">
            <w:pPr>
              <w:autoSpaceDE w:val="0"/>
              <w:autoSpaceDN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、总平面布置</w:t>
            </w:r>
          </w:p>
          <w:p w14:paraId="70ED9665">
            <w:pPr>
              <w:spacing w:line="440" w:lineRule="exact"/>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项目占地面积273.3496公顷，建设内容包括光伏场区、升压站及集电线路等。</w:t>
            </w:r>
          </w:p>
          <w:p w14:paraId="0F0B9D92">
            <w:pPr>
              <w:widowControl/>
              <w:spacing w:line="440" w:lineRule="exact"/>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光伏区：本项目光伏场区分为四个区域，共设48个光伏发电单元（包括47个3.15MWp发电单元，1个2.0MWp发电单元）。本项目安装320kW组串式逆变器470台。升压箱变48座。光伏阵列运行方式采用固定倾角式，固定倾角为30°，面向正南向</w:t>
            </w:r>
            <w:r>
              <w:rPr>
                <w:color w:val="000000" w:themeColor="text1"/>
                <w:sz w:val="24"/>
                <w14:textFill>
                  <w14:solidFill>
                    <w14:schemeClr w14:val="tx1"/>
                  </w14:solidFill>
                </w14:textFill>
              </w:rPr>
              <w:t>。</w:t>
            </w:r>
          </w:p>
          <w:p w14:paraId="36BA39A7">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升压站：升压站布置在光伏场东区与西区之间。</w:t>
            </w:r>
          </w:p>
          <w:p w14:paraId="55573162">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2、道路布置</w:t>
            </w:r>
          </w:p>
          <w:p w14:paraId="5FDB71E3">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光伏电站内的施工检修道路主要沿箱变修建。场内道路宽度为4.0m，道路采用碎石路面。道路的纵向坡度结合地形设计，满足设备运输及运行管理的需要。</w:t>
            </w:r>
          </w:p>
          <w:p w14:paraId="5794F50C">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3、升压站平面布置</w:t>
            </w:r>
          </w:p>
          <w:p w14:paraId="5347D930">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升压站主入口向西，升压站站内的主要建（构）筑物有：综合楼、35kV预制舱、二次预制舱、主变压器基础及油池、架构及避雷针、联合泵房及消防蓄水池、污水处理装置等建（构）筑物。</w:t>
            </w:r>
          </w:p>
          <w:p w14:paraId="6FBDABFD">
            <w:pPr>
              <w:autoSpaceDE w:val="0"/>
              <w:autoSpaceDN w:val="0"/>
              <w:spacing w:line="440" w:lineRule="exact"/>
              <w:ind w:firstLine="482" w:firstLineChars="200"/>
              <w:rPr>
                <w:color w:val="000000" w:themeColor="text1"/>
                <w14:textFill>
                  <w14:solidFill>
                    <w14:schemeClr w14:val="tx1"/>
                  </w14:solidFill>
                </w14:textFill>
              </w:rPr>
            </w:pPr>
            <w:r>
              <w:rPr>
                <w:rFonts w:hint="eastAsia" w:ascii="宋体" w:hAnsi="宋体" w:cs="宋体"/>
                <w:b/>
                <w:bCs/>
                <w:color w:val="000000" w:themeColor="text1"/>
                <w:kern w:val="0"/>
                <w:sz w:val="24"/>
                <w:lang w:bidi="ar"/>
                <w14:textFill>
                  <w14:solidFill>
                    <w14:schemeClr w14:val="tx1"/>
                  </w14:solidFill>
                </w14:textFill>
              </w:rPr>
              <w:t>二、施工总布置</w:t>
            </w:r>
          </w:p>
          <w:p w14:paraId="5D695E8D">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1、施工营地</w:t>
            </w:r>
          </w:p>
          <w:p w14:paraId="1AB7CF92">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为便于施工及生产管理，在施工期间靠近升压站处西侧约50m处设置一个施工生活生产管理区以及设备的集中存放场地。施工生活生产管理区分为施工生活区、办公区和生产区。临时租地面积约10000㎡。</w:t>
            </w:r>
          </w:p>
          <w:p w14:paraId="13945718">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设备存放区由两部分组成：升压站设备存放区和光伏场区设备存放区，并主要集中在升压站附近设置。光伏场区设备存放区主要有箱变、逆变器、支架、组件等存放区，临时租地面积大约1500㎡；升压站设备存放区主要由主变、GIS设备、接地变、SVG等存放区，临时租地面积约1000㎡。</w:t>
            </w:r>
          </w:p>
          <w:p w14:paraId="071201B1">
            <w:pPr>
              <w:autoSpaceDE w:val="0"/>
              <w:autoSpaceDN w:val="0"/>
              <w:spacing w:line="440" w:lineRule="exact"/>
              <w:ind w:left="420" w:left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2、砂石料生产系统</w:t>
            </w:r>
          </w:p>
          <w:p w14:paraId="72DE1846">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本项目施工所用砂石料在具有合法手续的沙石料场购买，工程不单独设置石料场及砂场。</w:t>
            </w:r>
          </w:p>
          <w:p w14:paraId="39BA4012">
            <w:pPr>
              <w:autoSpaceDE w:val="0"/>
              <w:autoSpaceDN w:val="0"/>
              <w:spacing w:line="440" w:lineRule="exact"/>
              <w:ind w:left="420" w:left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3、弃渣场</w:t>
            </w:r>
          </w:p>
          <w:p w14:paraId="54BF106F">
            <w:pPr>
              <w:autoSpaceDE w:val="0"/>
              <w:autoSpaceDN w:val="0"/>
              <w:spacing w:line="440" w:lineRule="exact"/>
              <w:ind w:left="420" w:left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本项目施工期挖填平衡，不产生弃渣，不设置弃渣场。</w:t>
            </w:r>
          </w:p>
          <w:p w14:paraId="5C9FED17">
            <w:pPr>
              <w:autoSpaceDE w:val="0"/>
              <w:autoSpaceDN w:val="0"/>
              <w:spacing w:line="440" w:lineRule="exact"/>
              <w:ind w:left="420" w:left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4、取土场</w:t>
            </w:r>
          </w:p>
          <w:p w14:paraId="1DEA9078">
            <w:pPr>
              <w:autoSpaceDE w:val="0"/>
              <w:autoSpaceDN w:val="0"/>
              <w:spacing w:line="440" w:lineRule="exact"/>
              <w:ind w:left="420" w:left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本项目不设置专门取土场。</w:t>
            </w:r>
          </w:p>
          <w:p w14:paraId="1BF4B2B6">
            <w:pPr>
              <w:autoSpaceDE w:val="0"/>
              <w:autoSpaceDN w:val="0"/>
              <w:spacing w:line="440" w:lineRule="exact"/>
              <w:ind w:left="420" w:left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5、表土临时堆场</w:t>
            </w:r>
          </w:p>
          <w:p w14:paraId="4E26DE1D">
            <w:pPr>
              <w:autoSpaceDE w:val="0"/>
              <w:autoSpaceDN w:val="0"/>
              <w:spacing w:line="440" w:lineRule="exact"/>
              <w:ind w:left="420" w:left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本项目不设置专门堆土场。</w:t>
            </w:r>
          </w:p>
          <w:p w14:paraId="4F227A15">
            <w:pPr>
              <w:autoSpaceDE w:val="0"/>
              <w:autoSpaceDN w:val="0"/>
              <w:spacing w:line="440" w:lineRule="exact"/>
              <w:ind w:left="420" w:left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6、临时施工便道</w:t>
            </w:r>
          </w:p>
          <w:p w14:paraId="687EA5B4">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项目施工场外交通依托多条乡村道路，交通运输条件较为便利，无需新建进场道路。升压站规划设计进站道路连通至现有乡道，满足施工运输要求。</w:t>
            </w:r>
          </w:p>
          <w:p w14:paraId="6CF6D305">
            <w:pPr>
              <w:autoSpaceDE w:val="0"/>
              <w:autoSpaceDN w:val="0"/>
              <w:spacing w:line="440" w:lineRule="exact"/>
              <w:ind w:left="420" w:left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7、临时截排水沟</w:t>
            </w:r>
          </w:p>
          <w:p w14:paraId="6D36A50E">
            <w:pPr>
              <w:autoSpaceDE w:val="0"/>
              <w:autoSpaceDN w:val="0"/>
              <w:spacing w:line="440" w:lineRule="exact"/>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施工期沿施工场地四周、临时表土堆场四周、方阵区道路一侧设置排水沟，排水沟末端设置临时沉砂池。</w:t>
            </w:r>
          </w:p>
        </w:tc>
      </w:tr>
      <w:tr w14:paraId="02FEC9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0" w:type="pct"/>
            <w:vAlign w:val="center"/>
          </w:tcPr>
          <w:p w14:paraId="2642B519">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 w:val="24"/>
                <w14:textFill>
                  <w14:solidFill>
                    <w14:schemeClr w14:val="tx1"/>
                  </w14:solidFill>
                </w14:textFill>
              </w:rPr>
              <w:t>施工方案</w:t>
            </w:r>
          </w:p>
        </w:tc>
        <w:tc>
          <w:tcPr>
            <w:tcW w:w="4699" w:type="pct"/>
          </w:tcPr>
          <w:p w14:paraId="688CC80E">
            <w:pPr>
              <w:spacing w:line="440" w:lineRule="exact"/>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施工期工艺流程</w:t>
            </w:r>
          </w:p>
          <w:p w14:paraId="1D93526A">
            <w:pPr>
              <w:spacing w:line="440" w:lineRule="exact"/>
              <w:ind w:firstLine="482" w:firstLineChars="200"/>
              <w:outlineLvl w:val="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1.施工组织</w:t>
            </w:r>
          </w:p>
          <w:p w14:paraId="0818899D">
            <w:pPr>
              <w:autoSpaceDE w:val="0"/>
              <w:autoSpaceDN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本项目建设内容为</w:t>
            </w:r>
            <w:r>
              <w:rPr>
                <w:rFonts w:hint="eastAsia"/>
                <w:color w:val="000000" w:themeColor="text1"/>
                <w:sz w:val="24"/>
                <w14:textFill>
                  <w14:solidFill>
                    <w14:schemeClr w14:val="tx1"/>
                  </w14:solidFill>
                </w14:textFill>
              </w:rPr>
              <w:t>光伏发电系统1套，1座220kV升压站及配套附属设施</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项目施工期为6个月。在施工顺序上，前期以土建为主，安装配合预留、预埋，施工中后期以安装为主，土建配合并为安装创造条件。</w:t>
            </w:r>
          </w:p>
          <w:p w14:paraId="5F6053A8">
            <w:pPr>
              <w:autoSpaceDE w:val="0"/>
              <w:autoSpaceDN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2.交通运输</w:t>
            </w:r>
          </w:p>
          <w:p w14:paraId="50CDC867">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（1）对外交通</w:t>
            </w:r>
          </w:p>
          <w:p w14:paraId="17B14D06">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本项目位于河北省唐山市遵化市，厂区各地块附近都有县乡级道路，电池板、支架等通过交通运输较便利，其他建筑材料可用汽车直接运到工地。</w:t>
            </w:r>
          </w:p>
          <w:p w14:paraId="3E4BF8AD">
            <w:pPr>
              <w:numPr>
                <w:ilvl w:val="0"/>
                <w:numId w:val="10"/>
              </w:num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场内交通</w:t>
            </w:r>
          </w:p>
          <w:p w14:paraId="02037844">
            <w:pPr>
              <w:autoSpaceDE w:val="0"/>
              <w:autoSpaceDN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场区内的道路根据地形及光伏板矩阵布置设置，尽量利用现有道路，道路设置满足厂区交通运输需求，且坡度不宜过大。考虑到光伏设备组件整体尺寸不大，对运输道路要求不高，为节约投资，对道路范围内的场地稍作平整硬化处理</w:t>
            </w:r>
            <w:r>
              <w:rPr>
                <w:rFonts w:hint="eastAsia"/>
                <w:color w:val="000000" w:themeColor="text1"/>
                <w:sz w:val="24"/>
                <w14:textFill>
                  <w14:solidFill>
                    <w14:schemeClr w14:val="tx1"/>
                  </w14:solidFill>
                </w14:textFill>
              </w:rPr>
              <w:t>，路面宽度为4m，最小转弯半径为9m，路面采用20cm厚泥结碎石面层。</w:t>
            </w:r>
          </w:p>
          <w:p w14:paraId="1F627CCF">
            <w:pPr>
              <w:autoSpaceDE w:val="0"/>
              <w:autoSpaceDN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3.施工用水</w:t>
            </w:r>
          </w:p>
          <w:p w14:paraId="379C3F16">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本项目施工用水包括建筑施工用水、施工机械用水，水源从附近村庄拉引至施工场地。</w:t>
            </w:r>
          </w:p>
          <w:p w14:paraId="206BE105">
            <w:pPr>
              <w:autoSpaceDE w:val="0"/>
              <w:autoSpaceDN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4.施工排水</w:t>
            </w:r>
          </w:p>
          <w:p w14:paraId="12206649">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施工车辆冲洗废水经过沉淀处理后重复回用于冲洗等工序。本项目施工人员生活污水设计临时防渗旱厕，定期清掏用作农肥，不外排。</w:t>
            </w:r>
          </w:p>
          <w:p w14:paraId="08F28058">
            <w:pPr>
              <w:autoSpaceDE w:val="0"/>
              <w:autoSpaceDN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5.施工用电</w:t>
            </w:r>
          </w:p>
          <w:p w14:paraId="2871B2E2">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施工电源由附近村电网接入，施工用电设备见表2-9。</w:t>
            </w:r>
          </w:p>
          <w:p w14:paraId="53C1D488">
            <w:pPr>
              <w:autoSpaceDE w:val="0"/>
              <w:autoSpaceDN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表2-9    施工设备一览表</w:t>
            </w:r>
          </w:p>
          <w:tbl>
            <w:tblPr>
              <w:tblStyle w:val="6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358"/>
              <w:gridCol w:w="1850"/>
              <w:gridCol w:w="1657"/>
              <w:gridCol w:w="1657"/>
            </w:tblGrid>
            <w:tr w14:paraId="0A17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12A1DFB0">
                  <w:pPr>
                    <w:spacing w:line="360" w:lineRule="exact"/>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序号</w:t>
                  </w:r>
                </w:p>
              </w:tc>
              <w:tc>
                <w:tcPr>
                  <w:tcW w:w="1421" w:type="pct"/>
                </w:tcPr>
                <w:p w14:paraId="631E10E8">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设备名称</w:t>
                  </w:r>
                </w:p>
              </w:tc>
              <w:tc>
                <w:tcPr>
                  <w:tcW w:w="1116" w:type="pct"/>
                </w:tcPr>
                <w:p w14:paraId="35574E37">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数量</w:t>
                  </w:r>
                </w:p>
              </w:tc>
              <w:tc>
                <w:tcPr>
                  <w:tcW w:w="1000" w:type="pct"/>
                </w:tcPr>
                <w:p w14:paraId="3BE3671B">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单位</w:t>
                  </w:r>
                </w:p>
              </w:tc>
              <w:tc>
                <w:tcPr>
                  <w:tcW w:w="1000" w:type="pct"/>
                </w:tcPr>
                <w:p w14:paraId="08FB5E04">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备注</w:t>
                  </w:r>
                </w:p>
              </w:tc>
            </w:tr>
            <w:tr w14:paraId="2812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3F6E6084">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w:t>
                  </w:r>
                </w:p>
              </w:tc>
              <w:tc>
                <w:tcPr>
                  <w:tcW w:w="1421" w:type="pct"/>
                </w:tcPr>
                <w:p w14:paraId="42D04FED">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混凝土搅拌机</w:t>
                  </w:r>
                </w:p>
              </w:tc>
              <w:tc>
                <w:tcPr>
                  <w:tcW w:w="1116" w:type="pct"/>
                </w:tcPr>
                <w:p w14:paraId="3925B32D">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w:t>
                  </w:r>
                </w:p>
              </w:tc>
              <w:tc>
                <w:tcPr>
                  <w:tcW w:w="1000" w:type="pct"/>
                </w:tcPr>
                <w:p w14:paraId="058D69DF">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000" w:type="pct"/>
                </w:tcPr>
                <w:p w14:paraId="1BA59786">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小型</w:t>
                  </w:r>
                </w:p>
              </w:tc>
            </w:tr>
            <w:tr w14:paraId="3019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6AC88411">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2</w:t>
                  </w:r>
                </w:p>
              </w:tc>
              <w:tc>
                <w:tcPr>
                  <w:tcW w:w="1421" w:type="pct"/>
                </w:tcPr>
                <w:p w14:paraId="0FF7404A">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混凝土插入式振动器</w:t>
                  </w:r>
                </w:p>
              </w:tc>
              <w:tc>
                <w:tcPr>
                  <w:tcW w:w="1116" w:type="pct"/>
                </w:tcPr>
                <w:p w14:paraId="34EAA267">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2</w:t>
                  </w:r>
                </w:p>
              </w:tc>
              <w:tc>
                <w:tcPr>
                  <w:tcW w:w="1000" w:type="pct"/>
                </w:tcPr>
                <w:p w14:paraId="4F4A4E7C">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000" w:type="pct"/>
                </w:tcPr>
                <w:p w14:paraId="7CCEE9E3">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ZX-70</w:t>
                  </w:r>
                </w:p>
              </w:tc>
            </w:tr>
            <w:tr w14:paraId="514A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48646F3E">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3</w:t>
                  </w:r>
                </w:p>
              </w:tc>
              <w:tc>
                <w:tcPr>
                  <w:tcW w:w="1421" w:type="pct"/>
                </w:tcPr>
                <w:p w14:paraId="585ED48C">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挖掘机</w:t>
                  </w:r>
                </w:p>
              </w:tc>
              <w:tc>
                <w:tcPr>
                  <w:tcW w:w="1116" w:type="pct"/>
                </w:tcPr>
                <w:p w14:paraId="7584A4D7">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2</w:t>
                  </w:r>
                </w:p>
              </w:tc>
              <w:tc>
                <w:tcPr>
                  <w:tcW w:w="1000" w:type="pct"/>
                </w:tcPr>
                <w:p w14:paraId="62E8BE7F">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000" w:type="pct"/>
                </w:tcPr>
                <w:p w14:paraId="0B754120">
                  <w:pPr>
                    <w:spacing w:line="360" w:lineRule="exact"/>
                    <w:jc w:val="center"/>
                    <w:rPr>
                      <w:iCs/>
                      <w:snapToGrid w:val="0"/>
                      <w:color w:val="000000" w:themeColor="text1"/>
                      <w:kern w:val="0"/>
                      <w:szCs w:val="21"/>
                      <w:vertAlign w:val="superscript"/>
                      <w14:textFill>
                        <w14:solidFill>
                          <w14:schemeClr w14:val="tx1"/>
                        </w14:solidFill>
                      </w14:textFill>
                    </w:rPr>
                  </w:pPr>
                  <w:r>
                    <w:rPr>
                      <w:rFonts w:hint="eastAsia"/>
                      <w:iCs/>
                      <w:snapToGrid w:val="0"/>
                      <w:color w:val="000000" w:themeColor="text1"/>
                      <w:kern w:val="0"/>
                      <w:szCs w:val="21"/>
                      <w14:textFill>
                        <w14:solidFill>
                          <w14:schemeClr w14:val="tx1"/>
                        </w14:solidFill>
                      </w14:textFill>
                    </w:rPr>
                    <w:t>斗容0.48-1.6m</w:t>
                  </w:r>
                  <w:r>
                    <w:rPr>
                      <w:rFonts w:hint="eastAsia"/>
                      <w:iCs/>
                      <w:snapToGrid w:val="0"/>
                      <w:color w:val="000000" w:themeColor="text1"/>
                      <w:kern w:val="0"/>
                      <w:szCs w:val="21"/>
                      <w:vertAlign w:val="superscript"/>
                      <w14:textFill>
                        <w14:solidFill>
                          <w14:schemeClr w14:val="tx1"/>
                        </w14:solidFill>
                      </w14:textFill>
                    </w:rPr>
                    <w:t>3</w:t>
                  </w:r>
                </w:p>
              </w:tc>
            </w:tr>
            <w:tr w14:paraId="331A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6FEEE4D5">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4</w:t>
                  </w:r>
                </w:p>
              </w:tc>
              <w:tc>
                <w:tcPr>
                  <w:tcW w:w="1421" w:type="pct"/>
                </w:tcPr>
                <w:p w14:paraId="153A6019">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推土机</w:t>
                  </w:r>
                </w:p>
              </w:tc>
              <w:tc>
                <w:tcPr>
                  <w:tcW w:w="1116" w:type="pct"/>
                </w:tcPr>
                <w:p w14:paraId="61589620">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w:t>
                  </w:r>
                </w:p>
              </w:tc>
              <w:tc>
                <w:tcPr>
                  <w:tcW w:w="1000" w:type="pct"/>
                </w:tcPr>
                <w:p w14:paraId="700BAC9A">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辆</w:t>
                  </w:r>
                </w:p>
              </w:tc>
              <w:tc>
                <w:tcPr>
                  <w:tcW w:w="1000" w:type="pct"/>
                </w:tcPr>
                <w:p w14:paraId="0A8831D9">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国产TY200</w:t>
                  </w:r>
                </w:p>
              </w:tc>
            </w:tr>
            <w:tr w14:paraId="614E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6A1E38B7">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5</w:t>
                  </w:r>
                </w:p>
              </w:tc>
              <w:tc>
                <w:tcPr>
                  <w:tcW w:w="1421" w:type="pct"/>
                  <w:vAlign w:val="center"/>
                </w:tcPr>
                <w:p w14:paraId="6CBB7D42">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压路机</w:t>
                  </w:r>
                </w:p>
              </w:tc>
              <w:tc>
                <w:tcPr>
                  <w:tcW w:w="1116" w:type="pct"/>
                  <w:vAlign w:val="center"/>
                </w:tcPr>
                <w:p w14:paraId="338C35E1">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w:t>
                  </w:r>
                </w:p>
              </w:tc>
              <w:tc>
                <w:tcPr>
                  <w:tcW w:w="1000" w:type="pct"/>
                  <w:vAlign w:val="center"/>
                </w:tcPr>
                <w:p w14:paraId="316D6717">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辆</w:t>
                  </w:r>
                </w:p>
              </w:tc>
              <w:tc>
                <w:tcPr>
                  <w:tcW w:w="1000" w:type="pct"/>
                </w:tcPr>
                <w:p w14:paraId="0A13CC43">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15t</w:t>
                  </w:r>
                </w:p>
              </w:tc>
            </w:tr>
            <w:tr w14:paraId="2FB4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06F9C561">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6</w:t>
                  </w:r>
                </w:p>
              </w:tc>
              <w:tc>
                <w:tcPr>
                  <w:tcW w:w="1421" w:type="pct"/>
                </w:tcPr>
                <w:p w14:paraId="40E61A34">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一体式潜孔钻</w:t>
                  </w:r>
                </w:p>
              </w:tc>
              <w:tc>
                <w:tcPr>
                  <w:tcW w:w="1116" w:type="pct"/>
                </w:tcPr>
                <w:p w14:paraId="2F63C58D">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12</w:t>
                  </w:r>
                </w:p>
              </w:tc>
              <w:tc>
                <w:tcPr>
                  <w:tcW w:w="1000" w:type="pct"/>
                </w:tcPr>
                <w:p w14:paraId="3278CAFE">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000" w:type="pct"/>
                </w:tcPr>
                <w:p w14:paraId="054A6ED0">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w:t>
                  </w:r>
                </w:p>
              </w:tc>
            </w:tr>
            <w:tr w14:paraId="2DBF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198E1B92">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7</w:t>
                  </w:r>
                </w:p>
              </w:tc>
              <w:tc>
                <w:tcPr>
                  <w:tcW w:w="1421" w:type="pct"/>
                </w:tcPr>
                <w:p w14:paraId="1EDE4614">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砂浆搅拌机</w:t>
                  </w:r>
                </w:p>
              </w:tc>
              <w:tc>
                <w:tcPr>
                  <w:tcW w:w="1116" w:type="pct"/>
                </w:tcPr>
                <w:p w14:paraId="338174E0">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w:t>
                  </w:r>
                </w:p>
              </w:tc>
              <w:tc>
                <w:tcPr>
                  <w:tcW w:w="1000" w:type="pct"/>
                </w:tcPr>
                <w:p w14:paraId="7EDBA796">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000" w:type="pct"/>
                </w:tcPr>
                <w:p w14:paraId="614A97E2">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容量200L</w:t>
                  </w:r>
                </w:p>
              </w:tc>
            </w:tr>
            <w:tr w14:paraId="7E5A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1CC32596">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8</w:t>
                  </w:r>
                </w:p>
              </w:tc>
              <w:tc>
                <w:tcPr>
                  <w:tcW w:w="1421" w:type="pct"/>
                </w:tcPr>
                <w:p w14:paraId="17E1A576">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振动打夯机</w:t>
                  </w:r>
                </w:p>
              </w:tc>
              <w:tc>
                <w:tcPr>
                  <w:tcW w:w="1116" w:type="pct"/>
                </w:tcPr>
                <w:p w14:paraId="4C2011B5">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2</w:t>
                  </w:r>
                </w:p>
              </w:tc>
              <w:tc>
                <w:tcPr>
                  <w:tcW w:w="1000" w:type="pct"/>
                </w:tcPr>
                <w:p w14:paraId="3F39D324">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000" w:type="pct"/>
                </w:tcPr>
                <w:p w14:paraId="0CB4E60F">
                  <w:pPr>
                    <w:spacing w:line="360" w:lineRule="exact"/>
                    <w:jc w:val="center"/>
                    <w:rPr>
                      <w:iCs/>
                      <w:snapToGrid w:val="0"/>
                      <w:color w:val="000000" w:themeColor="text1"/>
                      <w:kern w:val="0"/>
                      <w:szCs w:val="21"/>
                      <w14:textFill>
                        <w14:solidFill>
                          <w14:schemeClr w14:val="tx1"/>
                        </w14:solidFill>
                      </w14:textFill>
                    </w:rPr>
                  </w:pPr>
                  <w:r>
                    <w:rPr>
                      <w:iCs/>
                      <w:snapToGrid w:val="0"/>
                      <w:color w:val="000000" w:themeColor="text1"/>
                      <w:kern w:val="0"/>
                      <w:szCs w:val="21"/>
                      <w14:textFill>
                        <w14:solidFill>
                          <w14:schemeClr w14:val="tx1"/>
                        </w14:solidFill>
                      </w14:textFill>
                    </w:rPr>
                    <w:t>HZR400</w:t>
                  </w:r>
                </w:p>
              </w:tc>
            </w:tr>
            <w:tr w14:paraId="0771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605DC9AF">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9</w:t>
                  </w:r>
                </w:p>
              </w:tc>
              <w:tc>
                <w:tcPr>
                  <w:tcW w:w="1421" w:type="pct"/>
                </w:tcPr>
                <w:p w14:paraId="210C2F39">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运水车</w:t>
                  </w:r>
                </w:p>
              </w:tc>
              <w:tc>
                <w:tcPr>
                  <w:tcW w:w="1116" w:type="pct"/>
                </w:tcPr>
                <w:p w14:paraId="03492565">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2</w:t>
                  </w:r>
                </w:p>
              </w:tc>
              <w:tc>
                <w:tcPr>
                  <w:tcW w:w="1000" w:type="pct"/>
                </w:tcPr>
                <w:p w14:paraId="44536273">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辆</w:t>
                  </w:r>
                </w:p>
              </w:tc>
              <w:tc>
                <w:tcPr>
                  <w:tcW w:w="1000" w:type="pct"/>
                </w:tcPr>
                <w:p w14:paraId="4718D06F">
                  <w:pPr>
                    <w:spacing w:line="360" w:lineRule="exact"/>
                    <w:jc w:val="center"/>
                    <w:rPr>
                      <w:iCs/>
                      <w:snapToGrid w:val="0"/>
                      <w:color w:val="000000" w:themeColor="text1"/>
                      <w:kern w:val="0"/>
                      <w:szCs w:val="21"/>
                      <w:vertAlign w:val="superscript"/>
                      <w14:textFill>
                        <w14:solidFill>
                          <w14:schemeClr w14:val="tx1"/>
                        </w14:solidFill>
                      </w14:textFill>
                    </w:rPr>
                  </w:pPr>
                  <w:r>
                    <w:rPr>
                      <w:rFonts w:hint="eastAsia"/>
                      <w:iCs/>
                      <w:snapToGrid w:val="0"/>
                      <w:color w:val="000000" w:themeColor="text1"/>
                      <w:kern w:val="0"/>
                      <w:szCs w:val="21"/>
                      <w14:textFill>
                        <w14:solidFill>
                          <w14:schemeClr w14:val="tx1"/>
                        </w14:solidFill>
                      </w14:textFill>
                    </w:rPr>
                    <w:t>10m</w:t>
                  </w:r>
                  <w:r>
                    <w:rPr>
                      <w:rFonts w:hint="eastAsia"/>
                      <w:iCs/>
                      <w:snapToGrid w:val="0"/>
                      <w:color w:val="000000" w:themeColor="text1"/>
                      <w:kern w:val="0"/>
                      <w:szCs w:val="21"/>
                      <w:vertAlign w:val="superscript"/>
                      <w14:textFill>
                        <w14:solidFill>
                          <w14:schemeClr w14:val="tx1"/>
                        </w14:solidFill>
                      </w14:textFill>
                    </w:rPr>
                    <w:t>3</w:t>
                  </w:r>
                </w:p>
              </w:tc>
            </w:tr>
            <w:tr w14:paraId="709B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5558156E">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10</w:t>
                  </w:r>
                </w:p>
              </w:tc>
              <w:tc>
                <w:tcPr>
                  <w:tcW w:w="1421" w:type="pct"/>
                </w:tcPr>
                <w:p w14:paraId="007995FC">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交流电弧焊机</w:t>
                  </w:r>
                </w:p>
              </w:tc>
              <w:tc>
                <w:tcPr>
                  <w:tcW w:w="1116" w:type="pct"/>
                </w:tcPr>
                <w:p w14:paraId="120829DE">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5</w:t>
                  </w:r>
                </w:p>
              </w:tc>
              <w:tc>
                <w:tcPr>
                  <w:tcW w:w="1000" w:type="pct"/>
                </w:tcPr>
                <w:p w14:paraId="4D4B075C">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000" w:type="pct"/>
                </w:tcPr>
                <w:p w14:paraId="531BEC0A">
                  <w:pPr>
                    <w:spacing w:line="360" w:lineRule="exact"/>
                    <w:jc w:val="center"/>
                    <w:rPr>
                      <w:iCs/>
                      <w:snapToGrid w:val="0"/>
                      <w:color w:val="000000" w:themeColor="text1"/>
                      <w:kern w:val="0"/>
                      <w:szCs w:val="21"/>
                      <w14:textFill>
                        <w14:solidFill>
                          <w14:schemeClr w14:val="tx1"/>
                        </w14:solidFill>
                      </w14:textFill>
                    </w:rPr>
                  </w:pPr>
                  <w:r>
                    <w:rPr>
                      <w:iCs/>
                      <w:snapToGrid w:val="0"/>
                      <w:color w:val="000000" w:themeColor="text1"/>
                      <w:kern w:val="0"/>
                      <w:szCs w:val="21"/>
                      <w14:textFill>
                        <w14:solidFill>
                          <w14:schemeClr w14:val="tx1"/>
                        </w14:solidFill>
                      </w14:textFill>
                    </w:rPr>
                    <w:t>ZX7-315</w:t>
                  </w:r>
                </w:p>
              </w:tc>
            </w:tr>
            <w:tr w14:paraId="2D1E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03037623">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11</w:t>
                  </w:r>
                </w:p>
              </w:tc>
              <w:tc>
                <w:tcPr>
                  <w:tcW w:w="1421" w:type="pct"/>
                  <w:shd w:val="clear" w:color="auto" w:fill="auto"/>
                </w:tcPr>
                <w:p w14:paraId="568E5D77">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混凝土罐车</w:t>
                  </w:r>
                </w:p>
              </w:tc>
              <w:tc>
                <w:tcPr>
                  <w:tcW w:w="1116" w:type="pct"/>
                  <w:shd w:val="clear" w:color="auto" w:fill="auto"/>
                </w:tcPr>
                <w:p w14:paraId="49963EA1">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w:t>
                  </w:r>
                </w:p>
              </w:tc>
              <w:tc>
                <w:tcPr>
                  <w:tcW w:w="1000" w:type="pct"/>
                  <w:shd w:val="clear" w:color="auto" w:fill="auto"/>
                </w:tcPr>
                <w:p w14:paraId="1539F10D">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辆</w:t>
                  </w:r>
                </w:p>
              </w:tc>
              <w:tc>
                <w:tcPr>
                  <w:tcW w:w="1000" w:type="pct"/>
                  <w:shd w:val="clear" w:color="auto" w:fill="auto"/>
                </w:tcPr>
                <w:p w14:paraId="1400C402">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w:t>
                  </w:r>
                </w:p>
              </w:tc>
            </w:tr>
            <w:tr w14:paraId="77A3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5A947679">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12</w:t>
                  </w:r>
                </w:p>
              </w:tc>
              <w:tc>
                <w:tcPr>
                  <w:tcW w:w="1421" w:type="pct"/>
                  <w:shd w:val="clear" w:color="auto" w:fill="auto"/>
                </w:tcPr>
                <w:p w14:paraId="2FEF6713">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搅拌车</w:t>
                  </w:r>
                </w:p>
              </w:tc>
              <w:tc>
                <w:tcPr>
                  <w:tcW w:w="1116" w:type="pct"/>
                  <w:shd w:val="clear" w:color="auto" w:fill="auto"/>
                </w:tcPr>
                <w:p w14:paraId="4F9F9D78">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w:t>
                  </w:r>
                </w:p>
              </w:tc>
              <w:tc>
                <w:tcPr>
                  <w:tcW w:w="1000" w:type="pct"/>
                  <w:shd w:val="clear" w:color="auto" w:fill="auto"/>
                </w:tcPr>
                <w:p w14:paraId="5E96C994">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辆</w:t>
                  </w:r>
                </w:p>
              </w:tc>
              <w:tc>
                <w:tcPr>
                  <w:tcW w:w="1000" w:type="pct"/>
                  <w:shd w:val="clear" w:color="auto" w:fill="auto"/>
                </w:tcPr>
                <w:p w14:paraId="77E78C8A">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w:t>
                  </w:r>
                </w:p>
              </w:tc>
            </w:tr>
            <w:tr w14:paraId="7C9E5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6DA0D02F">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13</w:t>
                  </w:r>
                </w:p>
              </w:tc>
              <w:tc>
                <w:tcPr>
                  <w:tcW w:w="1421" w:type="pct"/>
                  <w:shd w:val="clear" w:color="auto" w:fill="auto"/>
                </w:tcPr>
                <w:p w14:paraId="7D610DCC">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牵引机</w:t>
                  </w:r>
                </w:p>
              </w:tc>
              <w:tc>
                <w:tcPr>
                  <w:tcW w:w="1116" w:type="pct"/>
                  <w:shd w:val="clear" w:color="auto" w:fill="auto"/>
                </w:tcPr>
                <w:p w14:paraId="03D9716E">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5</w:t>
                  </w:r>
                </w:p>
              </w:tc>
              <w:tc>
                <w:tcPr>
                  <w:tcW w:w="1000" w:type="pct"/>
                  <w:shd w:val="clear" w:color="auto" w:fill="auto"/>
                </w:tcPr>
                <w:p w14:paraId="79C42B07">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000" w:type="pct"/>
                  <w:shd w:val="clear" w:color="auto" w:fill="auto"/>
                </w:tcPr>
                <w:p w14:paraId="4E293C50">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w:t>
                  </w:r>
                </w:p>
              </w:tc>
            </w:tr>
            <w:tr w14:paraId="487A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4975A388">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14</w:t>
                  </w:r>
                </w:p>
              </w:tc>
              <w:tc>
                <w:tcPr>
                  <w:tcW w:w="1421" w:type="pct"/>
                  <w:shd w:val="clear" w:color="auto" w:fill="auto"/>
                </w:tcPr>
                <w:p w14:paraId="17E23FC8">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张力机</w:t>
                  </w:r>
                </w:p>
              </w:tc>
              <w:tc>
                <w:tcPr>
                  <w:tcW w:w="1116" w:type="pct"/>
                  <w:shd w:val="clear" w:color="auto" w:fill="auto"/>
                </w:tcPr>
                <w:p w14:paraId="08007970">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5</w:t>
                  </w:r>
                </w:p>
              </w:tc>
              <w:tc>
                <w:tcPr>
                  <w:tcW w:w="1000" w:type="pct"/>
                  <w:shd w:val="clear" w:color="auto" w:fill="auto"/>
                </w:tcPr>
                <w:p w14:paraId="3CB096F1">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000" w:type="pct"/>
                  <w:shd w:val="clear" w:color="auto" w:fill="auto"/>
                </w:tcPr>
                <w:p w14:paraId="05CE29E0">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w:t>
                  </w:r>
                </w:p>
              </w:tc>
            </w:tr>
            <w:tr w14:paraId="7BC4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6A7CC174">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15</w:t>
                  </w:r>
                </w:p>
              </w:tc>
              <w:tc>
                <w:tcPr>
                  <w:tcW w:w="1421" w:type="pct"/>
                  <w:shd w:val="clear" w:color="auto" w:fill="auto"/>
                </w:tcPr>
                <w:p w14:paraId="3B152386">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汽车式起重机</w:t>
                  </w:r>
                </w:p>
              </w:tc>
              <w:tc>
                <w:tcPr>
                  <w:tcW w:w="1116" w:type="pct"/>
                  <w:shd w:val="clear" w:color="auto" w:fill="auto"/>
                </w:tcPr>
                <w:p w14:paraId="1050E834">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2</w:t>
                  </w:r>
                </w:p>
              </w:tc>
              <w:tc>
                <w:tcPr>
                  <w:tcW w:w="1000" w:type="pct"/>
                  <w:shd w:val="clear" w:color="auto" w:fill="auto"/>
                </w:tcPr>
                <w:p w14:paraId="0A122212">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辆</w:t>
                  </w:r>
                </w:p>
              </w:tc>
              <w:tc>
                <w:tcPr>
                  <w:tcW w:w="1000" w:type="pct"/>
                  <w:shd w:val="clear" w:color="auto" w:fill="auto"/>
                </w:tcPr>
                <w:p w14:paraId="5B32D69E">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50t</w:t>
                  </w:r>
                </w:p>
              </w:tc>
            </w:tr>
            <w:tr w14:paraId="21EE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79E3FEF4">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16</w:t>
                  </w:r>
                </w:p>
              </w:tc>
              <w:tc>
                <w:tcPr>
                  <w:tcW w:w="1421" w:type="pct"/>
                  <w:shd w:val="clear" w:color="auto" w:fill="auto"/>
                </w:tcPr>
                <w:p w14:paraId="6206DE65">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柴油发电机</w:t>
                  </w:r>
                </w:p>
              </w:tc>
              <w:tc>
                <w:tcPr>
                  <w:tcW w:w="1116" w:type="pct"/>
                  <w:shd w:val="clear" w:color="auto" w:fill="auto"/>
                </w:tcPr>
                <w:p w14:paraId="2EAF41C5">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2</w:t>
                  </w:r>
                </w:p>
              </w:tc>
              <w:tc>
                <w:tcPr>
                  <w:tcW w:w="1000" w:type="pct"/>
                  <w:shd w:val="clear" w:color="auto" w:fill="auto"/>
                </w:tcPr>
                <w:p w14:paraId="64CEB0C3">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000" w:type="pct"/>
                  <w:shd w:val="clear" w:color="auto" w:fill="auto"/>
                </w:tcPr>
                <w:p w14:paraId="00D951FE">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120kw</w:t>
                  </w:r>
                </w:p>
              </w:tc>
            </w:tr>
            <w:tr w14:paraId="7E59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19D3C693">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17</w:t>
                  </w:r>
                </w:p>
              </w:tc>
              <w:tc>
                <w:tcPr>
                  <w:tcW w:w="1421" w:type="pct"/>
                  <w:shd w:val="clear" w:color="auto" w:fill="auto"/>
                </w:tcPr>
                <w:p w14:paraId="15C06EF6">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叉车</w:t>
                  </w:r>
                </w:p>
              </w:tc>
              <w:tc>
                <w:tcPr>
                  <w:tcW w:w="1116" w:type="pct"/>
                  <w:shd w:val="clear" w:color="auto" w:fill="auto"/>
                </w:tcPr>
                <w:p w14:paraId="56BBB0A4">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w:t>
                  </w:r>
                </w:p>
              </w:tc>
              <w:tc>
                <w:tcPr>
                  <w:tcW w:w="1000" w:type="pct"/>
                  <w:shd w:val="clear" w:color="auto" w:fill="auto"/>
                </w:tcPr>
                <w:p w14:paraId="7B2DB94D">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000" w:type="pct"/>
                  <w:shd w:val="clear" w:color="auto" w:fill="auto"/>
                </w:tcPr>
                <w:p w14:paraId="03A8535D">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2t</w:t>
                  </w:r>
                </w:p>
              </w:tc>
            </w:tr>
            <w:tr w14:paraId="5FCD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61ED5735">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18</w:t>
                  </w:r>
                </w:p>
              </w:tc>
              <w:tc>
                <w:tcPr>
                  <w:tcW w:w="2355" w:type="dxa"/>
                  <w:shd w:val="clear" w:color="auto" w:fill="auto"/>
                  <w:vAlign w:val="center"/>
                </w:tcPr>
                <w:p w14:paraId="04FADDFB">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钢筋调直机</w:t>
                  </w:r>
                </w:p>
              </w:tc>
              <w:tc>
                <w:tcPr>
                  <w:tcW w:w="1116" w:type="pct"/>
                  <w:shd w:val="clear" w:color="auto" w:fill="auto"/>
                </w:tcPr>
                <w:p w14:paraId="32BEB487">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w:t>
                  </w:r>
                </w:p>
              </w:tc>
              <w:tc>
                <w:tcPr>
                  <w:tcW w:w="1658" w:type="dxa"/>
                  <w:shd w:val="clear" w:color="auto" w:fill="auto"/>
                </w:tcPr>
                <w:p w14:paraId="1FE2CB74">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658" w:type="dxa"/>
                  <w:shd w:val="clear" w:color="auto" w:fill="auto"/>
                  <w:vAlign w:val="center"/>
                </w:tcPr>
                <w:p w14:paraId="591D91BA">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Ø14内</w:t>
                  </w:r>
                </w:p>
              </w:tc>
            </w:tr>
            <w:tr w14:paraId="65C9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6CE38988">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19</w:t>
                  </w:r>
                </w:p>
              </w:tc>
              <w:tc>
                <w:tcPr>
                  <w:tcW w:w="2355" w:type="dxa"/>
                  <w:shd w:val="clear" w:color="auto" w:fill="auto"/>
                  <w:vAlign w:val="center"/>
                </w:tcPr>
                <w:p w14:paraId="42BF6831">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钢筋切割机</w:t>
                  </w:r>
                </w:p>
              </w:tc>
              <w:tc>
                <w:tcPr>
                  <w:tcW w:w="1116" w:type="pct"/>
                  <w:shd w:val="clear" w:color="auto" w:fill="auto"/>
                </w:tcPr>
                <w:p w14:paraId="48E0ABA0">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w:t>
                  </w:r>
                </w:p>
              </w:tc>
              <w:tc>
                <w:tcPr>
                  <w:tcW w:w="1658" w:type="dxa"/>
                  <w:shd w:val="clear" w:color="auto" w:fill="auto"/>
                </w:tcPr>
                <w:p w14:paraId="509AEC6D">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658" w:type="dxa"/>
                  <w:shd w:val="clear" w:color="auto" w:fill="auto"/>
                  <w:vAlign w:val="center"/>
                </w:tcPr>
                <w:p w14:paraId="61FB1FF1">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Ø40内</w:t>
                  </w:r>
                </w:p>
              </w:tc>
            </w:tr>
            <w:tr w14:paraId="7F60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45A8CF50">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20</w:t>
                  </w:r>
                </w:p>
              </w:tc>
              <w:tc>
                <w:tcPr>
                  <w:tcW w:w="2355" w:type="dxa"/>
                  <w:shd w:val="clear" w:color="auto" w:fill="auto"/>
                  <w:vAlign w:val="center"/>
                </w:tcPr>
                <w:p w14:paraId="005AD7A6">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钢筋弯曲机</w:t>
                  </w:r>
                </w:p>
              </w:tc>
              <w:tc>
                <w:tcPr>
                  <w:tcW w:w="1116" w:type="pct"/>
                  <w:shd w:val="clear" w:color="auto" w:fill="auto"/>
                </w:tcPr>
                <w:p w14:paraId="792AC0A7">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w:t>
                  </w:r>
                </w:p>
              </w:tc>
              <w:tc>
                <w:tcPr>
                  <w:tcW w:w="1658" w:type="dxa"/>
                  <w:shd w:val="clear" w:color="auto" w:fill="auto"/>
                </w:tcPr>
                <w:p w14:paraId="2D3F4DEE">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台</w:t>
                  </w:r>
                </w:p>
              </w:tc>
              <w:tc>
                <w:tcPr>
                  <w:tcW w:w="1658" w:type="dxa"/>
                  <w:shd w:val="clear" w:color="auto" w:fill="auto"/>
                  <w:vAlign w:val="center"/>
                </w:tcPr>
                <w:p w14:paraId="78A9B38C">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Ø40内</w:t>
                  </w:r>
                </w:p>
              </w:tc>
            </w:tr>
            <w:tr w14:paraId="084C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61" w:type="pct"/>
                </w:tcPr>
                <w:p w14:paraId="64BA7B3D">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21</w:t>
                  </w:r>
                </w:p>
              </w:tc>
              <w:tc>
                <w:tcPr>
                  <w:tcW w:w="2355" w:type="dxa"/>
                  <w:shd w:val="clear" w:color="auto" w:fill="auto"/>
                  <w:vAlign w:val="center"/>
                </w:tcPr>
                <w:p w14:paraId="55694C6C">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装载机</w:t>
                  </w:r>
                </w:p>
              </w:tc>
              <w:tc>
                <w:tcPr>
                  <w:tcW w:w="1116" w:type="pct"/>
                  <w:shd w:val="clear" w:color="auto" w:fill="auto"/>
                </w:tcPr>
                <w:p w14:paraId="3B726BDC">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1</w:t>
                  </w:r>
                </w:p>
              </w:tc>
              <w:tc>
                <w:tcPr>
                  <w:tcW w:w="1658" w:type="dxa"/>
                  <w:shd w:val="clear" w:color="auto" w:fill="auto"/>
                </w:tcPr>
                <w:p w14:paraId="43471718">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辆</w:t>
                  </w:r>
                </w:p>
              </w:tc>
              <w:tc>
                <w:tcPr>
                  <w:tcW w:w="1658" w:type="dxa"/>
                  <w:shd w:val="clear" w:color="auto" w:fill="auto"/>
                  <w:vAlign w:val="center"/>
                </w:tcPr>
                <w:p w14:paraId="5B20A9DA">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w:t>
                  </w:r>
                </w:p>
              </w:tc>
            </w:tr>
          </w:tbl>
          <w:p w14:paraId="60331A2B">
            <w:pPr>
              <w:autoSpaceDE w:val="0"/>
              <w:autoSpaceDN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6.建筑材料来源</w:t>
            </w:r>
          </w:p>
          <w:p w14:paraId="3DBFA0B7">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所需碎石、石灰、砖、砂、水泥等地方建筑材料，在遵化市及其周围地区可以满足供应。本项目主要在光伏支架基础、升压站建构筑物、箱式变压器及施工临时设施施工基础时采用混凝土。鉴于项目区距离铁厂镇较近，本项目混凝土一部分采用商品混凝土，一部分采用自制混凝土。</w:t>
            </w:r>
          </w:p>
          <w:p w14:paraId="718FA9A4">
            <w:pPr>
              <w:autoSpaceDE w:val="0"/>
              <w:autoSpaceDN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7.施工工期</w:t>
            </w:r>
          </w:p>
          <w:p w14:paraId="0B6B8DB3">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本项目预计在2024年10月开工，施工期6个月，2025年4月投产。</w:t>
            </w:r>
          </w:p>
          <w:p w14:paraId="3EB2AC4F">
            <w:pPr>
              <w:autoSpaceDE w:val="0"/>
              <w:autoSpaceDN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8.施工工艺</w:t>
            </w:r>
          </w:p>
          <w:p w14:paraId="154EE614">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本项目主体工程施工主要包括：光伏阵列基础及支架安装、逆变器安装、箱式变压器基础及安装，电力电缆和光缆敷设，升压站土建施工与设备安装等。</w:t>
            </w:r>
          </w:p>
          <w:p w14:paraId="58D545CB">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（1）光伏阵列施工</w:t>
            </w:r>
          </w:p>
          <w:p w14:paraId="338C0283">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光伏阵列支架采用钢结构，采用工厂化生产，运至施工现场进行安装，现场仅进行少量的钢构件加工，支架均采用螺栓连接。支架基础拟采用微孔灌注桩基础。</w:t>
            </w:r>
          </w:p>
          <w:p w14:paraId="45DD7FB0">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灌注桩桩径150mm，桩顶标高高出场区地坪0.2m，桩身长≥1.8m，混凝土等级C30。基础桩桩顶居中预留埋件。光伏阵列支架柱与基础桩预留埋件采用螺栓连接。基础施工顺序：放线定位→钻孔→放入钢筋笼→浇筑混凝土→验收。本项目太阳电池组件全部采用固定式安装，待太阳电池组件基础验收合格后，进行太阳电池组件的安装，太阳电池组件的安装分为两部分：支架安装、太阳电池组件安装。</w:t>
            </w:r>
          </w:p>
          <w:p w14:paraId="55CA0FC6">
            <w:pPr>
              <w:autoSpaceDE w:val="0"/>
              <w:autoSpaceDN w:val="0"/>
              <w:spacing w:line="440" w:lineRule="exact"/>
              <w:ind w:firstLine="420" w:firstLineChars="200"/>
              <w:rPr>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86912" behindDoc="0" locked="0" layoutInCell="1" allowOverlap="1">
                  <wp:simplePos x="0" y="0"/>
                  <wp:positionH relativeFrom="column">
                    <wp:posOffset>909320</wp:posOffset>
                  </wp:positionH>
                  <wp:positionV relativeFrom="paragraph">
                    <wp:posOffset>812165</wp:posOffset>
                  </wp:positionV>
                  <wp:extent cx="3940175" cy="1673225"/>
                  <wp:effectExtent l="0" t="0" r="6985" b="317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3940175" cy="1673225"/>
                          </a:xfrm>
                          <a:prstGeom prst="rect">
                            <a:avLst/>
                          </a:prstGeom>
                          <a:noFill/>
                          <a:ln>
                            <a:noFill/>
                          </a:ln>
                        </pic:spPr>
                      </pic:pic>
                    </a:graphicData>
                  </a:graphic>
                </wp:anchor>
              </w:drawing>
            </w:r>
            <w:r>
              <w:rPr>
                <w:rFonts w:hint="eastAsia"/>
                <w:color w:val="000000" w:themeColor="text1"/>
                <w:sz w:val="24"/>
                <w14:textFill>
                  <w14:solidFill>
                    <w14:schemeClr w14:val="tx1"/>
                  </w14:solidFill>
                </w14:textFill>
              </w:rPr>
              <w:t>光伏阵列支架表面应平整，固定太阳电池组件的支架面必须调整在同一平面，各组件应对整齐并成一直线，倾角必须符合设计要求，构件连接螺栓必须加防松垫片并拧紧。太阳电池组件支架安装工艺如下图所示：</w:t>
            </w:r>
          </w:p>
          <w:p w14:paraId="2C48C6D9">
            <w:pPr>
              <w:autoSpaceDE w:val="0"/>
              <w:autoSpaceDN w:val="0"/>
              <w:spacing w:line="440" w:lineRule="exact"/>
              <w:ind w:firstLine="420" w:firstLineChars="200"/>
              <w:rPr>
                <w:color w:val="000000" w:themeColor="text1"/>
                <w14:textFill>
                  <w14:solidFill>
                    <w14:schemeClr w14:val="tx1"/>
                  </w14:solidFill>
                </w14:textFill>
              </w:rPr>
            </w:pPr>
          </w:p>
          <w:p w14:paraId="3724DF10">
            <w:pPr>
              <w:autoSpaceDE w:val="0"/>
              <w:autoSpaceDN w:val="0"/>
              <w:spacing w:line="440" w:lineRule="exact"/>
              <w:ind w:firstLine="420" w:firstLineChars="200"/>
              <w:rPr>
                <w:color w:val="000000" w:themeColor="text1"/>
                <w14:textFill>
                  <w14:solidFill>
                    <w14:schemeClr w14:val="tx1"/>
                  </w14:solidFill>
                </w14:textFill>
              </w:rPr>
            </w:pPr>
          </w:p>
          <w:p w14:paraId="65D3A188">
            <w:pPr>
              <w:autoSpaceDE w:val="0"/>
              <w:autoSpaceDN w:val="0"/>
              <w:spacing w:line="440" w:lineRule="exact"/>
              <w:ind w:firstLine="420" w:firstLineChars="200"/>
              <w:rPr>
                <w:color w:val="000000" w:themeColor="text1"/>
                <w14:textFill>
                  <w14:solidFill>
                    <w14:schemeClr w14:val="tx1"/>
                  </w14:solidFill>
                </w14:textFill>
              </w:rPr>
            </w:pPr>
          </w:p>
          <w:p w14:paraId="1BFC2472">
            <w:pPr>
              <w:autoSpaceDE w:val="0"/>
              <w:autoSpaceDN w:val="0"/>
              <w:spacing w:line="440" w:lineRule="exact"/>
              <w:ind w:firstLine="420" w:firstLineChars="200"/>
              <w:rPr>
                <w:color w:val="000000" w:themeColor="text1"/>
                <w14:textFill>
                  <w14:solidFill>
                    <w14:schemeClr w14:val="tx1"/>
                  </w14:solidFill>
                </w14:textFill>
              </w:rPr>
            </w:pPr>
          </w:p>
          <w:p w14:paraId="5BF4FDF1">
            <w:pPr>
              <w:autoSpaceDE w:val="0"/>
              <w:autoSpaceDN w:val="0"/>
              <w:spacing w:line="440" w:lineRule="exact"/>
              <w:ind w:firstLine="420" w:firstLineChars="200"/>
              <w:rPr>
                <w:color w:val="000000" w:themeColor="text1"/>
                <w14:textFill>
                  <w14:solidFill>
                    <w14:schemeClr w14:val="tx1"/>
                  </w14:solidFill>
                </w14:textFill>
              </w:rPr>
            </w:pPr>
          </w:p>
          <w:p w14:paraId="511604A5">
            <w:pPr>
              <w:autoSpaceDE w:val="0"/>
              <w:autoSpaceDN w:val="0"/>
              <w:spacing w:line="440" w:lineRule="exact"/>
              <w:ind w:firstLine="420" w:firstLineChars="200"/>
              <w:rPr>
                <w:color w:val="000000" w:themeColor="text1"/>
                <w14:textFill>
                  <w14:solidFill>
                    <w14:schemeClr w14:val="tx1"/>
                  </w14:solidFill>
                </w14:textFill>
              </w:rPr>
            </w:pPr>
          </w:p>
          <w:p w14:paraId="1C3BFB4A">
            <w:pPr>
              <w:pStyle w:val="46"/>
              <w:spacing w:line="440" w:lineRule="exact"/>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图2-4    光伏区运营期工艺流程及产污环节示意图</w:t>
            </w:r>
          </w:p>
          <w:p w14:paraId="633F76F8">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（2）场内道路施工</w:t>
            </w:r>
          </w:p>
          <w:p w14:paraId="7E18465E">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路基施工的施工工序为：清除植被→推土机整平→压路机压实→路基填筑、开挖→路基防护。</w:t>
            </w:r>
          </w:p>
          <w:p w14:paraId="0B9D7078">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①路基工程</w:t>
            </w:r>
          </w:p>
          <w:p w14:paraId="7BCCE05A">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填筑路基施工中，一般采用水平分层填筑施工，即按照横断面全宽分成水平层次逐层向上填筑。如原地面不平，应由最低处分层填起，每填一层，经过压实并符合压实度规定要求后，再填上一层。填筑过程中，每层完成路面应形成4%的横坡以便排水良好。</w:t>
            </w:r>
          </w:p>
          <w:p w14:paraId="7ACE5814">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路堑边坡开挖以机械开挖为主，边坡防护以人工为主。为确保边坡的稳定和防护达到预期的效果，开挖方式应从上而下进行，边开挖边防护。设有挡墙的开挖边坡应采用间隔开挖，间隔施工挡墙，以免造成滑坡或坍塌。</w:t>
            </w:r>
          </w:p>
          <w:p w14:paraId="5B992FF0">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②路面工程</w:t>
            </w:r>
          </w:p>
          <w:p w14:paraId="13E1AF6A">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升压站路面采用水泥硬化路面，场内连接道路采用碎石铺垫路面。路面工程由专业队伍承担，基层混合料应以机械集中拌合，摊铺机分层摊铺、压路机压实、自卸汽车及时运输至工点摊铺成型，各项工序必须环环相扣，确保路面质量。</w:t>
            </w:r>
          </w:p>
          <w:p w14:paraId="4441A29A">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③排水及防护工程</w:t>
            </w:r>
          </w:p>
          <w:p w14:paraId="5A14065F">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排水设施主要有边沟及混凝土排水沟等。其分布范围广，与路基路面工程紧密联系，在施工中既受到路基工程的影响，又被本身工序所制约。</w:t>
            </w:r>
          </w:p>
          <w:p w14:paraId="5DC744B7">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防护工程的工期与排水工程的工期安排相结合，对半填半挖有挡墙及防护路段，优先路基开工，对填方路段的挡墙，先砌筑一定高度，再把路基填筑到一定高度。对于路堑段，土石方开挖优先挖出边坡线，适时的安排挡土墙，截排水及边坡防护在路面开工前完成。</w:t>
            </w:r>
          </w:p>
          <w:p w14:paraId="2B1063D7">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（3）升压站施工工艺</w:t>
            </w:r>
          </w:p>
          <w:p w14:paraId="75426B7A">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本项目升压站的主要建筑物有综合楼、一体化消防泵站、主变压器、一体化污水处理设施等设施。</w:t>
            </w:r>
          </w:p>
          <w:p w14:paraId="460C5D50">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升压站的施工顺序大致为：施工准备→场地平整、碾压→基础开挖→基础混凝土浇筑→混凝土框架浇筑→地板及顶板混凝土浇筑→砖墙垒起→电气管线敷设及室内外装修→电气设备入室→室内外装修及给排水系统施工。</w:t>
            </w:r>
          </w:p>
          <w:p w14:paraId="5A7417DE">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升压站施工时，首先对场地进行清理。场地清理后按设计标高进行场地平整，场地平整均采用5t自卸车运土，推土机施工，开挖的土石方全部用于自身的回填，回填土石方采用推土机施工，分层回填，振动碾压密实后，再进行下一层回填，直到达到场地设计场平标高。</w:t>
            </w:r>
          </w:p>
          <w:p w14:paraId="6372A707">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升压站开挖侧边坡采用喷浆护坡的形式进行防护，施工时序为测量放线→钻孔→注浆→打入挂网钢筋→清扫坡面→挂网喷浆→养护；回填侧浆砌石挡墙的施工时序为施工放线→放坡开挖基槽→验槽→挡土墙施工→墙后回填料分层碾压至坡顶。</w:t>
            </w:r>
          </w:p>
          <w:p w14:paraId="268F5A8C">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升压站内所有建筑物的基础开挖，均采用小型挖掘机配人工开挖清理（包括基础之间的地下电缆沟）。人工清槽后、经验槽合格方可进行后续施工。基础混凝土浇筑和地下电缆沟墙的砌筑、封盖及土方回填施工。当升压站内所有建筑物封顶、大型设备就位后，进行围墙施工。围墙为240mm厚的砖体砌筑墙，采用人工砌筑。</w:t>
            </w:r>
          </w:p>
          <w:p w14:paraId="04B9AAAF">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（4）逆变器及箱式变压器施工</w:t>
            </w:r>
          </w:p>
          <w:p w14:paraId="2458FE78">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逆变器采用钢支架通过抱箍和螺栓连接方式固定于光伏支架上，无需单独设置基础。基础开挖：因箱式变基础施工面较小、且较为分散，基础开挖主要采取人工开挖。</w:t>
            </w:r>
          </w:p>
          <w:p w14:paraId="0B88D279">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逆变器安装：逆变器和配套电气设备由汽车运至场地，采用吊车吊到配电间门口，采用液压升降小车推至安装位置；安装程序为：钢固→调整基础槽钢水平→固定逆变器→安装接线。</w:t>
            </w:r>
          </w:p>
          <w:p w14:paraId="1262DB8D">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箱式变安装：箱式变由汽车运至场地，采用10t汽车吊就位，安装程序为：设备安装→引下线安装→接地系统安装→电缆敷设接线→整体调试。</w:t>
            </w:r>
          </w:p>
          <w:p w14:paraId="2A25D497">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（5）集电线路施工</w:t>
            </w:r>
          </w:p>
          <w:p w14:paraId="11287A3F">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本项目集电线路采用直埋电缆+架空方式。</w:t>
            </w:r>
          </w:p>
          <w:p w14:paraId="1724A9BE">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①直埋电缆施工</w:t>
            </w:r>
          </w:p>
          <w:p w14:paraId="1DC98AED">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直埋电缆工程施工分四个阶段：沟槽开挖→基底处理→电缆埋设→电缆沟回填。</w:t>
            </w:r>
          </w:p>
          <w:p w14:paraId="7164670E">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沟槽开挖：电缆沟直接在原地面进行开挖，埋深在0.4~1.0m左右，采用机械开挖，预留10cm~20cm进行人工清底，以防超挖。堆放在沟槽两侧的堆土高度应控制在1.5m以内。电缆沟开挖规格为：宽度1.0m、深度1.0m。</w:t>
            </w:r>
          </w:p>
          <w:p w14:paraId="29489180">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基底处理：在基底开挖后，视地下水情况应预留10cm~15cm的深度采用人工修整，必要时在浇筑垫层砼之前用碎石或石粉渣铺填一层后再施工垫层砼。</w:t>
            </w:r>
          </w:p>
          <w:p w14:paraId="5C04DDD4">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电缆埋设：集电线路采用分段开挖和敷设，采用随挖随敷设的方式。</w:t>
            </w:r>
          </w:p>
          <w:p w14:paraId="01573FFF">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电缆沟回填：在进行各项试验合格后，可对电缆沟进行回填，回填时，先将干砂填至电缆沟上部30cm处，用人工打夯、密实后方可开始填土，填土应分层。</w:t>
            </w:r>
          </w:p>
          <w:p w14:paraId="2C9C8B6E">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②架空集电线路施工</w:t>
            </w:r>
          </w:p>
          <w:p w14:paraId="26938815">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A、塔基基础施工</w:t>
            </w:r>
          </w:p>
          <w:p w14:paraId="33D78781">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基面处理：全线基础，不开基面的，分坑后直接开挖；需开基面的，铁塔基础开挖前需降基面的必须全部降至符合设计要求。基坑的四周必须操平。同时各坑之间应尽量操平，如遇泥水等特殊困难时，其操平度可在+100~-50mm之间，并作好记录。基坑开挖至接近设计深度时，在基坑底部钉立基坑中心桩，边挖边检查尺寸，其与设计值的允许偏差为+100mm~-50mm。铁塔基础平台开挖前，首先由测量初步放出开挖边线，再预留一定距离保护开挖面。铁塔基础平台采用人工配合小型挖机进行。基面开挖后再分坑开挖基础。</w:t>
            </w:r>
          </w:p>
          <w:p w14:paraId="37421E1B">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土方开挖：掏挖式基础采用人工开挖，土方尽量在周边回填利用，基础土体为碎石土质，渗水性较强、水汇集较快时，应边挖边排水，基坑开挖时基坑底部时，放一定的坡度便于渗水汇集到集水井，基坑也根据土质情况适当放坡，防止塌方。</w:t>
            </w:r>
          </w:p>
          <w:p w14:paraId="72AD1D0C">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垫层浇筑：基坑经验收合格后，及时采用木模支立基础垫层混凝土模板，并进行可靠固定，基础垫层混凝土采用C30混凝土，对于搅拌车能够到达的基础，混凝土为外购，混凝土罐车运至现场自流入仓，人工整平。</w:t>
            </w:r>
          </w:p>
          <w:p w14:paraId="447400EC">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钢筋绑扎：垫层浇筑24小时以后，可拆除模板，测量进行基础放样定位，立即组织钢筋工进行铁塔基础钢筋绑扎施工。扎筋与装模前，应清除坑内垫层表面浮土，测量放出点位。基础钢筋在钢筋厂集中加工制作，完成后按需运至各个施工点进行现场绑扎和安装。根据基础配筋情况安排绑扎钢筋与支模的操作顺序。一般顺序是：将底板钢筋扎好，同时留出主柱主筋的插入位置→将主柱钢筋均匀插入并进行绑扎→安装铁支架，支撑立柱模板（铁支架由加工厂统一加工）→安装主柱模板→调整主柱模板→安装地脚螺栓。</w:t>
            </w:r>
          </w:p>
          <w:p w14:paraId="12315CD6">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B、导线架设</w:t>
            </w:r>
          </w:p>
          <w:p w14:paraId="18218F43">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挂导线采用牵引机、张力机，牵张场地应满足牵引机、张力机能直接运达到位，地形应平坦，能满足布置牵张设备、布置导线及施工操作等要求。张力放线后应尽快进行架线，一般以张力放线施工段作紧线段，以直线塔为紧线操作塔。紧线完毕后应尽快进行耐张塔的附件安装和直线塔的线夹安装、防振金具和间隔棒的安装。</w:t>
            </w:r>
          </w:p>
          <w:p w14:paraId="497929EA">
            <w:pPr>
              <w:adjustRightInd w:val="0"/>
              <w:snapToGrid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9、土石方平衡</w:t>
            </w:r>
          </w:p>
          <w:p w14:paraId="04A4734D">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剥离表土全部用于项目植被恢复覆土回填，回填表土临时堆存于项目区占地范围内。</w:t>
            </w:r>
          </w:p>
          <w:p w14:paraId="25A9B8FE">
            <w:pPr>
              <w:adjustRightInd w:val="0"/>
              <w:snapToGrid w:val="0"/>
              <w:spacing w:line="440" w:lineRule="exact"/>
              <w:ind w:firstLine="482" w:firstLineChars="200"/>
              <w:jc w:val="left"/>
              <w:rPr>
                <w:b/>
                <w:bCs/>
                <w:color w:val="000000" w:themeColor="text1"/>
                <w:sz w:val="24"/>
                <w:highlight w:val="yellow"/>
                <w14:textFill>
                  <w14:solidFill>
                    <w14:schemeClr w14:val="tx1"/>
                  </w14:solidFill>
                </w14:textFill>
              </w:rPr>
            </w:pPr>
            <w:r>
              <w:rPr>
                <w:rFonts w:hint="eastAsia" w:cs="宋体"/>
                <w:b/>
                <w:bCs/>
                <w:color w:val="000000" w:themeColor="text1"/>
                <w:sz w:val="24"/>
                <w:lang w:bidi="ar"/>
                <w14:textFill>
                  <w14:solidFill>
                    <w14:schemeClr w14:val="tx1"/>
                  </w14:solidFill>
                </w14:textFill>
              </w:rPr>
              <w:t>表</w:t>
            </w:r>
            <w:r>
              <w:rPr>
                <w:rFonts w:hint="eastAsia"/>
                <w:b/>
                <w:bCs/>
                <w:color w:val="000000" w:themeColor="text1"/>
                <w:sz w:val="24"/>
                <w:lang w:bidi="ar"/>
                <w14:textFill>
                  <w14:solidFill>
                    <w14:schemeClr w14:val="tx1"/>
                  </w14:solidFill>
                </w14:textFill>
              </w:rPr>
              <w:t>2</w:t>
            </w:r>
            <w:r>
              <w:rPr>
                <w:b/>
                <w:bCs/>
                <w:color w:val="000000" w:themeColor="text1"/>
                <w:sz w:val="24"/>
                <w:lang w:bidi="ar"/>
                <w14:textFill>
                  <w14:solidFill>
                    <w14:schemeClr w14:val="tx1"/>
                  </w14:solidFill>
                </w14:textFill>
              </w:rPr>
              <w:t>-</w:t>
            </w:r>
            <w:r>
              <w:rPr>
                <w:rFonts w:hint="eastAsia"/>
                <w:b/>
                <w:bCs/>
                <w:color w:val="000000" w:themeColor="text1"/>
                <w:sz w:val="24"/>
                <w:lang w:bidi="ar"/>
                <w14:textFill>
                  <w14:solidFill>
                    <w14:schemeClr w14:val="tx1"/>
                  </w14:solidFill>
                </w14:textFill>
              </w:rPr>
              <w:t xml:space="preserve">10    </w:t>
            </w:r>
            <w:r>
              <w:rPr>
                <w:rFonts w:hint="eastAsia" w:cs="宋体"/>
                <w:b/>
                <w:bCs/>
                <w:color w:val="000000" w:themeColor="text1"/>
                <w:sz w:val="24"/>
                <w:lang w:bidi="ar"/>
                <w14:textFill>
                  <w14:solidFill>
                    <w14:schemeClr w14:val="tx1"/>
                  </w14:solidFill>
                </w14:textFill>
              </w:rPr>
              <w:t>土石方平衡分析表</w:t>
            </w:r>
          </w:p>
          <w:tbl>
            <w:tblPr>
              <w:tblStyle w:val="66"/>
              <w:tblW w:w="8290" w:type="dxa"/>
              <w:jc w:val="center"/>
              <w:tblLayout w:type="fixed"/>
              <w:tblCellMar>
                <w:top w:w="0" w:type="dxa"/>
                <w:left w:w="51" w:type="dxa"/>
                <w:bottom w:w="0" w:type="dxa"/>
                <w:right w:w="51" w:type="dxa"/>
              </w:tblCellMar>
            </w:tblPr>
            <w:tblGrid>
              <w:gridCol w:w="820"/>
              <w:gridCol w:w="953"/>
              <w:gridCol w:w="961"/>
              <w:gridCol w:w="1082"/>
              <w:gridCol w:w="894"/>
              <w:gridCol w:w="895"/>
              <w:gridCol w:w="638"/>
              <w:gridCol w:w="585"/>
              <w:gridCol w:w="784"/>
              <w:gridCol w:w="678"/>
            </w:tblGrid>
            <w:tr w14:paraId="506A46A1">
              <w:tblPrEx>
                <w:tblCellMar>
                  <w:top w:w="0" w:type="dxa"/>
                  <w:left w:w="51" w:type="dxa"/>
                  <w:bottom w:w="0" w:type="dxa"/>
                  <w:right w:w="51" w:type="dxa"/>
                </w:tblCellMar>
              </w:tblPrEx>
              <w:trPr>
                <w:trHeight w:val="90" w:hRule="atLeast"/>
                <w:jc w:val="center"/>
              </w:trPr>
              <w:tc>
                <w:tcPr>
                  <w:tcW w:w="1068" w:type="pct"/>
                  <w:gridSpan w:val="2"/>
                  <w:vMerge w:val="restart"/>
                  <w:tcBorders>
                    <w:top w:val="single" w:color="auto" w:sz="4" w:space="0"/>
                    <w:left w:val="single" w:color="auto" w:sz="4" w:space="0"/>
                    <w:right w:val="single" w:color="auto" w:sz="4" w:space="0"/>
                  </w:tcBorders>
                  <w:vAlign w:val="center"/>
                </w:tcPr>
                <w:p w14:paraId="0DC200D6">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剥离区域</w:t>
                  </w:r>
                </w:p>
              </w:tc>
              <w:tc>
                <w:tcPr>
                  <w:tcW w:w="1231" w:type="pct"/>
                  <w:gridSpan w:val="2"/>
                  <w:tcBorders>
                    <w:top w:val="single" w:color="auto" w:sz="4" w:space="0"/>
                    <w:left w:val="nil"/>
                    <w:bottom w:val="single" w:color="auto" w:sz="4" w:space="0"/>
                    <w:right w:val="single" w:color="auto" w:sz="4" w:space="0"/>
                  </w:tcBorders>
                  <w:shd w:val="clear" w:color="auto" w:fill="auto"/>
                  <w:vAlign w:val="center"/>
                </w:tcPr>
                <w:p w14:paraId="074B4529">
                  <w:pPr>
                    <w:spacing w:line="360" w:lineRule="exact"/>
                    <w:jc w:val="center"/>
                    <w:rPr>
                      <w:rFonts w:cs="宋体"/>
                      <w:color w:val="000000" w:themeColor="text1"/>
                      <w:spacing w:val="-20"/>
                      <w:szCs w:val="21"/>
                      <w:lang w:bidi="ar"/>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剥离面积及数量</w:t>
                  </w:r>
                </w:p>
              </w:tc>
              <w:tc>
                <w:tcPr>
                  <w:tcW w:w="1079" w:type="pct"/>
                  <w:gridSpan w:val="2"/>
                  <w:tcBorders>
                    <w:top w:val="single" w:color="auto" w:sz="4" w:space="0"/>
                    <w:left w:val="nil"/>
                    <w:bottom w:val="single" w:color="auto" w:sz="4" w:space="0"/>
                    <w:right w:val="single" w:color="auto" w:sz="4" w:space="0"/>
                  </w:tcBorders>
                  <w:shd w:val="clear" w:color="auto" w:fill="auto"/>
                  <w:vAlign w:val="center"/>
                </w:tcPr>
                <w:p w14:paraId="7A81ABB0">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覆土总量（</w:t>
                  </w:r>
                  <w:r>
                    <w:rPr>
                      <w:color w:val="000000" w:themeColor="text1"/>
                      <w:spacing w:val="-20"/>
                      <w:szCs w:val="21"/>
                      <w:lang w:bidi="ar"/>
                      <w14:textFill>
                        <w14:solidFill>
                          <w14:schemeClr w14:val="tx1"/>
                        </w14:solidFill>
                      </w14:textFill>
                    </w:rPr>
                    <w:t>m</w:t>
                  </w:r>
                  <w:r>
                    <w:rPr>
                      <w:color w:val="000000" w:themeColor="text1"/>
                      <w:spacing w:val="-20"/>
                      <w:szCs w:val="21"/>
                      <w:vertAlign w:val="superscript"/>
                      <w:lang w:bidi="ar"/>
                      <w14:textFill>
                        <w14:solidFill>
                          <w14:schemeClr w14:val="tx1"/>
                        </w14:solidFill>
                      </w14:textFill>
                    </w:rPr>
                    <w:t>3</w:t>
                  </w:r>
                  <w:r>
                    <w:rPr>
                      <w:rFonts w:hint="eastAsia" w:cs="宋体"/>
                      <w:color w:val="000000" w:themeColor="text1"/>
                      <w:spacing w:val="-20"/>
                      <w:szCs w:val="21"/>
                      <w:lang w:bidi="ar"/>
                      <w14:textFill>
                        <w14:solidFill>
                          <w14:schemeClr w14:val="tx1"/>
                        </w14:solidFill>
                      </w14:textFill>
                    </w:rPr>
                    <w:t>）</w:t>
                  </w:r>
                </w:p>
              </w:tc>
              <w:tc>
                <w:tcPr>
                  <w:tcW w:w="738" w:type="pct"/>
                  <w:gridSpan w:val="2"/>
                  <w:tcBorders>
                    <w:top w:val="single" w:color="auto" w:sz="4" w:space="0"/>
                    <w:left w:val="nil"/>
                    <w:bottom w:val="single" w:color="auto" w:sz="4" w:space="0"/>
                    <w:right w:val="single" w:color="auto" w:sz="4" w:space="0"/>
                  </w:tcBorders>
                  <w:shd w:val="clear" w:color="auto" w:fill="auto"/>
                  <w:vAlign w:val="center"/>
                </w:tcPr>
                <w:p w14:paraId="74DB9BC6">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调出</w:t>
                  </w:r>
                </w:p>
              </w:tc>
              <w:tc>
                <w:tcPr>
                  <w:tcW w:w="882" w:type="pct"/>
                  <w:gridSpan w:val="2"/>
                  <w:tcBorders>
                    <w:top w:val="single" w:color="auto" w:sz="4" w:space="0"/>
                    <w:left w:val="nil"/>
                    <w:bottom w:val="single" w:color="auto" w:sz="4" w:space="0"/>
                    <w:right w:val="single" w:color="auto" w:sz="4" w:space="0"/>
                  </w:tcBorders>
                  <w:shd w:val="clear" w:color="auto" w:fill="auto"/>
                  <w:vAlign w:val="center"/>
                </w:tcPr>
                <w:p w14:paraId="73077BD6">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调入</w:t>
                  </w:r>
                </w:p>
              </w:tc>
            </w:tr>
            <w:tr w14:paraId="1B12CFC0">
              <w:tblPrEx>
                <w:tblCellMar>
                  <w:top w:w="0" w:type="dxa"/>
                  <w:left w:w="51" w:type="dxa"/>
                  <w:bottom w:w="0" w:type="dxa"/>
                  <w:right w:w="51" w:type="dxa"/>
                </w:tblCellMar>
              </w:tblPrEx>
              <w:trPr>
                <w:trHeight w:val="90" w:hRule="atLeast"/>
                <w:jc w:val="center"/>
              </w:trPr>
              <w:tc>
                <w:tcPr>
                  <w:tcW w:w="1068" w:type="pct"/>
                  <w:gridSpan w:val="2"/>
                  <w:vMerge w:val="continue"/>
                  <w:tcBorders>
                    <w:left w:val="single" w:color="auto" w:sz="4" w:space="0"/>
                    <w:bottom w:val="single" w:color="auto" w:sz="4" w:space="0"/>
                    <w:right w:val="single" w:color="auto" w:sz="4" w:space="0"/>
                  </w:tcBorders>
                  <w:vAlign w:val="center"/>
                </w:tcPr>
                <w:p w14:paraId="057B1A8E">
                  <w:pPr>
                    <w:spacing w:line="360" w:lineRule="exact"/>
                    <w:jc w:val="center"/>
                    <w:rPr>
                      <w:color w:val="000000" w:themeColor="text1"/>
                      <w:spacing w:val="-20"/>
                      <w:szCs w:val="21"/>
                      <w14:textFill>
                        <w14:solidFill>
                          <w14:schemeClr w14:val="tx1"/>
                        </w14:solidFill>
                      </w14:textFill>
                    </w:rPr>
                  </w:pPr>
                </w:p>
              </w:tc>
              <w:tc>
                <w:tcPr>
                  <w:tcW w:w="579" w:type="pct"/>
                  <w:tcBorders>
                    <w:top w:val="nil"/>
                    <w:left w:val="single" w:color="auto" w:sz="4" w:space="0"/>
                    <w:bottom w:val="single" w:color="auto" w:sz="4" w:space="0"/>
                    <w:right w:val="single" w:color="auto" w:sz="4" w:space="0"/>
                  </w:tcBorders>
                  <w:shd w:val="clear" w:color="auto" w:fill="auto"/>
                  <w:vAlign w:val="center"/>
                </w:tcPr>
                <w:p w14:paraId="22B3E3DE">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挖方量（</w:t>
                  </w:r>
                  <w:r>
                    <w:rPr>
                      <w:color w:val="000000" w:themeColor="text1"/>
                      <w:spacing w:val="-20"/>
                      <w:szCs w:val="21"/>
                      <w:lang w:bidi="ar"/>
                      <w14:textFill>
                        <w14:solidFill>
                          <w14:schemeClr w14:val="tx1"/>
                        </w14:solidFill>
                      </w14:textFill>
                    </w:rPr>
                    <w:t>m</w:t>
                  </w:r>
                  <w:r>
                    <w:rPr>
                      <w:color w:val="000000" w:themeColor="text1"/>
                      <w:spacing w:val="-20"/>
                      <w:szCs w:val="21"/>
                      <w:vertAlign w:val="superscript"/>
                      <w:lang w:bidi="ar"/>
                      <w14:textFill>
                        <w14:solidFill>
                          <w14:schemeClr w14:val="tx1"/>
                        </w14:solidFill>
                      </w14:textFill>
                    </w:rPr>
                    <w:t>3</w:t>
                  </w:r>
                  <w:r>
                    <w:rPr>
                      <w:rFonts w:hint="eastAsia" w:cs="宋体"/>
                      <w:color w:val="000000" w:themeColor="text1"/>
                      <w:spacing w:val="-20"/>
                      <w:szCs w:val="21"/>
                      <w:lang w:bidi="ar"/>
                      <w14:textFill>
                        <w14:solidFill>
                          <w14:schemeClr w14:val="tx1"/>
                        </w14:solidFill>
                      </w14:textFill>
                    </w:rPr>
                    <w:t>）</w:t>
                  </w:r>
                </w:p>
              </w:tc>
              <w:tc>
                <w:tcPr>
                  <w:tcW w:w="651" w:type="pct"/>
                  <w:tcBorders>
                    <w:top w:val="nil"/>
                    <w:left w:val="single" w:color="auto" w:sz="4" w:space="0"/>
                    <w:bottom w:val="single" w:color="auto" w:sz="4" w:space="0"/>
                    <w:right w:val="single" w:color="auto" w:sz="4" w:space="0"/>
                  </w:tcBorders>
                  <w:shd w:val="clear" w:color="auto" w:fill="auto"/>
                  <w:vAlign w:val="center"/>
                </w:tcPr>
                <w:p w14:paraId="255AA804">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实际剥离量（</w:t>
                  </w:r>
                  <w:r>
                    <w:rPr>
                      <w:color w:val="000000" w:themeColor="text1"/>
                      <w:spacing w:val="-20"/>
                      <w:szCs w:val="21"/>
                      <w:lang w:bidi="ar"/>
                      <w14:textFill>
                        <w14:solidFill>
                          <w14:schemeClr w14:val="tx1"/>
                        </w14:solidFill>
                      </w14:textFill>
                    </w:rPr>
                    <w:t>m</w:t>
                  </w:r>
                  <w:r>
                    <w:rPr>
                      <w:color w:val="000000" w:themeColor="text1"/>
                      <w:spacing w:val="-20"/>
                      <w:szCs w:val="21"/>
                      <w:vertAlign w:val="superscript"/>
                      <w:lang w:bidi="ar"/>
                      <w14:textFill>
                        <w14:solidFill>
                          <w14:schemeClr w14:val="tx1"/>
                        </w14:solidFill>
                      </w14:textFill>
                    </w:rPr>
                    <w:t>3</w:t>
                  </w:r>
                  <w:r>
                    <w:rPr>
                      <w:rFonts w:hint="eastAsia" w:cs="宋体"/>
                      <w:color w:val="000000" w:themeColor="text1"/>
                      <w:spacing w:val="-20"/>
                      <w:szCs w:val="21"/>
                      <w:lang w:bidi="ar"/>
                      <w14:textFill>
                        <w14:solidFill>
                          <w14:schemeClr w14:val="tx1"/>
                        </w14:solidFill>
                      </w14:textFill>
                    </w:rPr>
                    <w:t>）</w:t>
                  </w:r>
                </w:p>
              </w:tc>
              <w:tc>
                <w:tcPr>
                  <w:tcW w:w="539" w:type="pct"/>
                  <w:tcBorders>
                    <w:top w:val="nil"/>
                    <w:left w:val="single" w:color="auto" w:sz="4" w:space="0"/>
                    <w:bottom w:val="single" w:color="auto" w:sz="4" w:space="0"/>
                    <w:right w:val="single" w:color="auto" w:sz="4" w:space="0"/>
                  </w:tcBorders>
                  <w:shd w:val="clear" w:color="auto" w:fill="auto"/>
                  <w:vAlign w:val="center"/>
                </w:tcPr>
                <w:p w14:paraId="02D18BB9">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覆土量小计</w:t>
                  </w:r>
                </w:p>
              </w:tc>
              <w:tc>
                <w:tcPr>
                  <w:tcW w:w="540" w:type="pct"/>
                  <w:tcBorders>
                    <w:top w:val="nil"/>
                    <w:left w:val="single" w:color="auto" w:sz="4" w:space="0"/>
                    <w:bottom w:val="single" w:color="auto" w:sz="4" w:space="0"/>
                    <w:right w:val="single" w:color="auto" w:sz="4" w:space="0"/>
                  </w:tcBorders>
                  <w:shd w:val="clear" w:color="auto" w:fill="auto"/>
                  <w:vAlign w:val="center"/>
                </w:tcPr>
                <w:p w14:paraId="4CF134DA">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植被恢复及绿化</w:t>
                  </w:r>
                </w:p>
              </w:tc>
              <w:tc>
                <w:tcPr>
                  <w:tcW w:w="385" w:type="pct"/>
                  <w:tcBorders>
                    <w:top w:val="nil"/>
                    <w:left w:val="single" w:color="auto" w:sz="4" w:space="0"/>
                    <w:bottom w:val="single" w:color="auto" w:sz="4" w:space="0"/>
                    <w:right w:val="single" w:color="auto" w:sz="4" w:space="0"/>
                  </w:tcBorders>
                  <w:shd w:val="clear" w:color="auto" w:fill="auto"/>
                  <w:vAlign w:val="center"/>
                </w:tcPr>
                <w:p w14:paraId="5BC8E52D">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数量</w:t>
                  </w:r>
                </w:p>
              </w:tc>
              <w:tc>
                <w:tcPr>
                  <w:tcW w:w="352" w:type="pct"/>
                  <w:tcBorders>
                    <w:top w:val="nil"/>
                    <w:left w:val="single" w:color="auto" w:sz="4" w:space="0"/>
                    <w:bottom w:val="single" w:color="auto" w:sz="4" w:space="0"/>
                    <w:right w:val="single" w:color="auto" w:sz="4" w:space="0"/>
                  </w:tcBorders>
                  <w:shd w:val="clear" w:color="auto" w:fill="auto"/>
                  <w:vAlign w:val="center"/>
                </w:tcPr>
                <w:p w14:paraId="2DB200C1">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去向</w:t>
                  </w:r>
                </w:p>
              </w:tc>
              <w:tc>
                <w:tcPr>
                  <w:tcW w:w="473" w:type="pct"/>
                  <w:tcBorders>
                    <w:top w:val="nil"/>
                    <w:left w:val="single" w:color="auto" w:sz="4" w:space="0"/>
                    <w:bottom w:val="single" w:color="auto" w:sz="4" w:space="0"/>
                    <w:right w:val="single" w:color="auto" w:sz="4" w:space="0"/>
                  </w:tcBorders>
                  <w:shd w:val="clear" w:color="auto" w:fill="auto"/>
                  <w:vAlign w:val="center"/>
                </w:tcPr>
                <w:p w14:paraId="492DD3C0">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数量</w:t>
                  </w:r>
                </w:p>
              </w:tc>
              <w:tc>
                <w:tcPr>
                  <w:tcW w:w="409" w:type="pct"/>
                  <w:tcBorders>
                    <w:top w:val="nil"/>
                    <w:left w:val="single" w:color="auto" w:sz="4" w:space="0"/>
                    <w:bottom w:val="single" w:color="auto" w:sz="4" w:space="0"/>
                    <w:right w:val="single" w:color="auto" w:sz="4" w:space="0"/>
                  </w:tcBorders>
                  <w:shd w:val="clear" w:color="auto" w:fill="auto"/>
                  <w:vAlign w:val="center"/>
                </w:tcPr>
                <w:p w14:paraId="405141F1">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来源</w:t>
                  </w:r>
                </w:p>
              </w:tc>
            </w:tr>
            <w:tr w14:paraId="10308222">
              <w:tblPrEx>
                <w:tblCellMar>
                  <w:top w:w="0" w:type="dxa"/>
                  <w:left w:w="51" w:type="dxa"/>
                  <w:bottom w:w="0" w:type="dxa"/>
                  <w:right w:w="51" w:type="dxa"/>
                </w:tblCellMar>
              </w:tblPrEx>
              <w:trPr>
                <w:trHeight w:val="90" w:hRule="atLeast"/>
                <w:jc w:val="center"/>
              </w:trPr>
              <w:tc>
                <w:tcPr>
                  <w:tcW w:w="494" w:type="pct"/>
                  <w:vMerge w:val="restart"/>
                  <w:tcBorders>
                    <w:top w:val="single" w:color="auto" w:sz="4" w:space="0"/>
                    <w:left w:val="single" w:color="auto" w:sz="4" w:space="0"/>
                    <w:right w:val="single" w:color="auto" w:sz="4" w:space="0"/>
                  </w:tcBorders>
                  <w:vAlign w:val="center"/>
                </w:tcPr>
                <w:p w14:paraId="2AD4BF28">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发电场工程区（光伏区）</w:t>
                  </w:r>
                </w:p>
              </w:tc>
              <w:tc>
                <w:tcPr>
                  <w:tcW w:w="573" w:type="pct"/>
                  <w:tcBorders>
                    <w:top w:val="single" w:color="auto" w:sz="4" w:space="0"/>
                    <w:left w:val="single" w:color="auto" w:sz="4" w:space="0"/>
                    <w:bottom w:val="single" w:color="auto" w:sz="4" w:space="0"/>
                    <w:right w:val="single" w:color="auto" w:sz="4" w:space="0"/>
                  </w:tcBorders>
                  <w:shd w:val="clear" w:color="auto" w:fill="auto"/>
                  <w:vAlign w:val="center"/>
                </w:tcPr>
                <w:p w14:paraId="58D22000">
                  <w:pPr>
                    <w:spacing w:line="360" w:lineRule="exact"/>
                    <w:jc w:val="center"/>
                    <w:rPr>
                      <w:color w:val="000000" w:themeColor="text1"/>
                      <w:spacing w:val="-20"/>
                      <w:szCs w:val="21"/>
                      <w14:textFill>
                        <w14:solidFill>
                          <w14:schemeClr w14:val="tx1"/>
                        </w14:solidFill>
                      </w14:textFill>
                    </w:rPr>
                  </w:pPr>
                  <w:r>
                    <w:rPr>
                      <w:color w:val="000000" w:themeColor="text1"/>
                      <w:spacing w:val="-20"/>
                      <w:szCs w:val="21"/>
                      <w14:textFill>
                        <w14:solidFill>
                          <w14:schemeClr w14:val="tx1"/>
                        </w14:solidFill>
                      </w14:textFill>
                    </w:rPr>
                    <w:t>局部场地平整</w:t>
                  </w:r>
                </w:p>
              </w:tc>
              <w:tc>
                <w:tcPr>
                  <w:tcW w:w="579" w:type="pct"/>
                  <w:tcBorders>
                    <w:top w:val="nil"/>
                    <w:left w:val="single" w:color="auto" w:sz="4" w:space="0"/>
                    <w:bottom w:val="single" w:color="auto" w:sz="4" w:space="0"/>
                    <w:right w:val="single" w:color="auto" w:sz="4" w:space="0"/>
                  </w:tcBorders>
                  <w:shd w:val="clear" w:color="auto" w:fill="auto"/>
                  <w:vAlign w:val="center"/>
                </w:tcPr>
                <w:p w14:paraId="24D6A2F3">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33548</w:t>
                  </w:r>
                </w:p>
              </w:tc>
              <w:tc>
                <w:tcPr>
                  <w:tcW w:w="651" w:type="pct"/>
                  <w:tcBorders>
                    <w:top w:val="nil"/>
                    <w:left w:val="single" w:color="auto" w:sz="4" w:space="0"/>
                    <w:bottom w:val="single" w:color="auto" w:sz="4" w:space="0"/>
                    <w:right w:val="single" w:color="auto" w:sz="4" w:space="0"/>
                  </w:tcBorders>
                  <w:shd w:val="clear" w:color="auto" w:fill="auto"/>
                  <w:vAlign w:val="center"/>
                </w:tcPr>
                <w:p w14:paraId="68A9DC4C">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33548</w:t>
                  </w:r>
                </w:p>
              </w:tc>
              <w:tc>
                <w:tcPr>
                  <w:tcW w:w="539" w:type="pct"/>
                  <w:tcBorders>
                    <w:top w:val="nil"/>
                    <w:left w:val="single" w:color="auto" w:sz="4" w:space="0"/>
                    <w:bottom w:val="single" w:color="auto" w:sz="4" w:space="0"/>
                    <w:right w:val="single" w:color="auto" w:sz="4" w:space="0"/>
                  </w:tcBorders>
                  <w:shd w:val="clear" w:color="auto" w:fill="auto"/>
                  <w:vAlign w:val="center"/>
                </w:tcPr>
                <w:p w14:paraId="2C8A9427">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33548</w:t>
                  </w:r>
                </w:p>
              </w:tc>
              <w:tc>
                <w:tcPr>
                  <w:tcW w:w="540" w:type="pct"/>
                  <w:tcBorders>
                    <w:top w:val="nil"/>
                    <w:left w:val="single" w:color="auto" w:sz="4" w:space="0"/>
                    <w:bottom w:val="single" w:color="auto" w:sz="4" w:space="0"/>
                    <w:right w:val="single" w:color="auto" w:sz="4" w:space="0"/>
                  </w:tcBorders>
                  <w:shd w:val="clear" w:color="auto" w:fill="auto"/>
                  <w:vAlign w:val="center"/>
                </w:tcPr>
                <w:p w14:paraId="232158FF">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385" w:type="pct"/>
                  <w:tcBorders>
                    <w:top w:val="nil"/>
                    <w:left w:val="single" w:color="auto" w:sz="4" w:space="0"/>
                    <w:bottom w:val="single" w:color="auto" w:sz="4" w:space="0"/>
                    <w:right w:val="single" w:color="auto" w:sz="4" w:space="0"/>
                  </w:tcBorders>
                  <w:shd w:val="clear" w:color="auto" w:fill="auto"/>
                  <w:vAlign w:val="center"/>
                </w:tcPr>
                <w:p w14:paraId="67D2009F">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352" w:type="pct"/>
                  <w:tcBorders>
                    <w:top w:val="nil"/>
                    <w:left w:val="single" w:color="auto" w:sz="4" w:space="0"/>
                    <w:bottom w:val="single" w:color="auto" w:sz="4" w:space="0"/>
                    <w:right w:val="single" w:color="auto" w:sz="4" w:space="0"/>
                  </w:tcBorders>
                  <w:shd w:val="clear" w:color="auto" w:fill="auto"/>
                  <w:vAlign w:val="center"/>
                </w:tcPr>
                <w:p w14:paraId="324A753F">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473" w:type="pct"/>
                  <w:tcBorders>
                    <w:top w:val="nil"/>
                    <w:left w:val="single" w:color="auto" w:sz="4" w:space="0"/>
                    <w:bottom w:val="single" w:color="auto" w:sz="4" w:space="0"/>
                    <w:right w:val="single" w:color="auto" w:sz="4" w:space="0"/>
                  </w:tcBorders>
                  <w:shd w:val="clear" w:color="auto" w:fill="auto"/>
                  <w:vAlign w:val="center"/>
                </w:tcPr>
                <w:p w14:paraId="0C20F753">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409" w:type="pct"/>
                  <w:tcBorders>
                    <w:top w:val="nil"/>
                    <w:left w:val="single" w:color="auto" w:sz="4" w:space="0"/>
                    <w:bottom w:val="single" w:color="auto" w:sz="4" w:space="0"/>
                    <w:right w:val="single" w:color="auto" w:sz="4" w:space="0"/>
                  </w:tcBorders>
                  <w:shd w:val="clear" w:color="auto" w:fill="auto"/>
                  <w:vAlign w:val="center"/>
                </w:tcPr>
                <w:p w14:paraId="3341ECCC">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r>
            <w:tr w14:paraId="0DB487BF">
              <w:tblPrEx>
                <w:tblCellMar>
                  <w:top w:w="0" w:type="dxa"/>
                  <w:left w:w="51" w:type="dxa"/>
                  <w:bottom w:w="0" w:type="dxa"/>
                  <w:right w:w="51" w:type="dxa"/>
                </w:tblCellMar>
              </w:tblPrEx>
              <w:trPr>
                <w:trHeight w:val="90" w:hRule="atLeast"/>
                <w:jc w:val="center"/>
              </w:trPr>
              <w:tc>
                <w:tcPr>
                  <w:tcW w:w="494" w:type="pct"/>
                  <w:vMerge w:val="continue"/>
                  <w:tcBorders>
                    <w:top w:val="single" w:color="auto" w:sz="4" w:space="0"/>
                    <w:left w:val="single" w:color="auto" w:sz="4" w:space="0"/>
                    <w:right w:val="single" w:color="auto" w:sz="4" w:space="0"/>
                  </w:tcBorders>
                  <w:vAlign w:val="center"/>
                </w:tcPr>
                <w:p w14:paraId="796578C4">
                  <w:pPr>
                    <w:spacing w:line="360" w:lineRule="exact"/>
                    <w:jc w:val="center"/>
                    <w:rPr>
                      <w:rFonts w:cs="宋体"/>
                      <w:color w:val="000000" w:themeColor="text1"/>
                      <w:spacing w:val="-20"/>
                      <w:szCs w:val="21"/>
                      <w:lang w:bidi="ar"/>
                      <w14:textFill>
                        <w14:solidFill>
                          <w14:schemeClr w14:val="tx1"/>
                        </w14:solidFill>
                      </w14:textFill>
                    </w:rPr>
                  </w:pPr>
                </w:p>
              </w:tc>
              <w:tc>
                <w:tcPr>
                  <w:tcW w:w="573" w:type="pct"/>
                  <w:tcBorders>
                    <w:top w:val="single" w:color="auto" w:sz="4" w:space="0"/>
                    <w:left w:val="single" w:color="auto" w:sz="4" w:space="0"/>
                    <w:bottom w:val="single" w:color="auto" w:sz="4" w:space="0"/>
                    <w:right w:val="single" w:color="auto" w:sz="4" w:space="0"/>
                  </w:tcBorders>
                  <w:shd w:val="clear" w:color="auto" w:fill="auto"/>
                  <w:vAlign w:val="center"/>
                </w:tcPr>
                <w:p w14:paraId="64DADC25">
                  <w:pPr>
                    <w:spacing w:line="360" w:lineRule="exact"/>
                    <w:jc w:val="center"/>
                    <w:rPr>
                      <w:color w:val="000000" w:themeColor="text1"/>
                      <w:spacing w:val="-20"/>
                      <w:szCs w:val="21"/>
                      <w14:textFill>
                        <w14:solidFill>
                          <w14:schemeClr w14:val="tx1"/>
                        </w14:solidFill>
                      </w14:textFill>
                    </w:rPr>
                  </w:pPr>
                  <w:r>
                    <w:rPr>
                      <w:color w:val="000000" w:themeColor="text1"/>
                      <w:spacing w:val="-20"/>
                      <w:szCs w:val="21"/>
                      <w14:textFill>
                        <w14:solidFill>
                          <w14:schemeClr w14:val="tx1"/>
                        </w14:solidFill>
                      </w14:textFill>
                    </w:rPr>
                    <w:t>电缆沟</w:t>
                  </w:r>
                </w:p>
              </w:tc>
              <w:tc>
                <w:tcPr>
                  <w:tcW w:w="579" w:type="pct"/>
                  <w:tcBorders>
                    <w:top w:val="nil"/>
                    <w:left w:val="single" w:color="auto" w:sz="4" w:space="0"/>
                    <w:bottom w:val="single" w:color="auto" w:sz="4" w:space="0"/>
                    <w:right w:val="single" w:color="auto" w:sz="4" w:space="0"/>
                  </w:tcBorders>
                  <w:shd w:val="clear" w:color="auto" w:fill="auto"/>
                  <w:vAlign w:val="center"/>
                </w:tcPr>
                <w:p w14:paraId="780772EE">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9434.4</w:t>
                  </w:r>
                </w:p>
              </w:tc>
              <w:tc>
                <w:tcPr>
                  <w:tcW w:w="651" w:type="pct"/>
                  <w:tcBorders>
                    <w:top w:val="nil"/>
                    <w:left w:val="single" w:color="auto" w:sz="4" w:space="0"/>
                    <w:bottom w:val="single" w:color="auto" w:sz="4" w:space="0"/>
                    <w:right w:val="single" w:color="auto" w:sz="4" w:space="0"/>
                  </w:tcBorders>
                  <w:shd w:val="clear" w:color="auto" w:fill="auto"/>
                  <w:vAlign w:val="center"/>
                </w:tcPr>
                <w:p w14:paraId="70E33677">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9434.4</w:t>
                  </w:r>
                </w:p>
              </w:tc>
              <w:tc>
                <w:tcPr>
                  <w:tcW w:w="539" w:type="pct"/>
                  <w:tcBorders>
                    <w:top w:val="nil"/>
                    <w:left w:val="single" w:color="auto" w:sz="4" w:space="0"/>
                    <w:bottom w:val="single" w:color="auto" w:sz="4" w:space="0"/>
                    <w:right w:val="single" w:color="auto" w:sz="4" w:space="0"/>
                  </w:tcBorders>
                  <w:shd w:val="clear" w:color="auto" w:fill="auto"/>
                  <w:vAlign w:val="center"/>
                </w:tcPr>
                <w:p w14:paraId="776EB9F1">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7759.64</w:t>
                  </w:r>
                </w:p>
              </w:tc>
              <w:tc>
                <w:tcPr>
                  <w:tcW w:w="540" w:type="pct"/>
                  <w:tcBorders>
                    <w:top w:val="nil"/>
                    <w:left w:val="single" w:color="auto" w:sz="4" w:space="0"/>
                    <w:bottom w:val="single" w:color="auto" w:sz="4" w:space="0"/>
                    <w:right w:val="single" w:color="auto" w:sz="4" w:space="0"/>
                  </w:tcBorders>
                  <w:shd w:val="clear" w:color="auto" w:fill="auto"/>
                  <w:vAlign w:val="center"/>
                </w:tcPr>
                <w:p w14:paraId="025AF71E">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1674.76</w:t>
                  </w:r>
                </w:p>
              </w:tc>
              <w:tc>
                <w:tcPr>
                  <w:tcW w:w="385" w:type="pct"/>
                  <w:tcBorders>
                    <w:top w:val="nil"/>
                    <w:left w:val="single" w:color="auto" w:sz="4" w:space="0"/>
                    <w:bottom w:val="single" w:color="auto" w:sz="4" w:space="0"/>
                    <w:right w:val="single" w:color="auto" w:sz="4" w:space="0"/>
                  </w:tcBorders>
                  <w:shd w:val="clear" w:color="auto" w:fill="auto"/>
                  <w:vAlign w:val="center"/>
                </w:tcPr>
                <w:p w14:paraId="35F5B54E">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352" w:type="pct"/>
                  <w:tcBorders>
                    <w:top w:val="nil"/>
                    <w:left w:val="single" w:color="auto" w:sz="4" w:space="0"/>
                    <w:bottom w:val="single" w:color="auto" w:sz="4" w:space="0"/>
                    <w:right w:val="single" w:color="auto" w:sz="4" w:space="0"/>
                  </w:tcBorders>
                  <w:shd w:val="clear" w:color="auto" w:fill="auto"/>
                  <w:vAlign w:val="center"/>
                </w:tcPr>
                <w:p w14:paraId="350E543D">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473" w:type="pct"/>
                  <w:tcBorders>
                    <w:top w:val="nil"/>
                    <w:left w:val="single" w:color="auto" w:sz="4" w:space="0"/>
                    <w:bottom w:val="single" w:color="auto" w:sz="4" w:space="0"/>
                    <w:right w:val="single" w:color="auto" w:sz="4" w:space="0"/>
                  </w:tcBorders>
                  <w:shd w:val="clear" w:color="auto" w:fill="auto"/>
                  <w:vAlign w:val="center"/>
                </w:tcPr>
                <w:p w14:paraId="2D7F5AB8">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409" w:type="pct"/>
                  <w:tcBorders>
                    <w:top w:val="nil"/>
                    <w:left w:val="single" w:color="auto" w:sz="4" w:space="0"/>
                    <w:bottom w:val="single" w:color="auto" w:sz="4" w:space="0"/>
                    <w:right w:val="single" w:color="auto" w:sz="4" w:space="0"/>
                  </w:tcBorders>
                  <w:shd w:val="clear" w:color="auto" w:fill="auto"/>
                  <w:vAlign w:val="center"/>
                </w:tcPr>
                <w:p w14:paraId="552FC053">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r>
            <w:tr w14:paraId="606C1EF7">
              <w:tblPrEx>
                <w:tblCellMar>
                  <w:top w:w="0" w:type="dxa"/>
                  <w:left w:w="51" w:type="dxa"/>
                  <w:bottom w:w="0" w:type="dxa"/>
                  <w:right w:w="51" w:type="dxa"/>
                </w:tblCellMar>
              </w:tblPrEx>
              <w:trPr>
                <w:trHeight w:val="90" w:hRule="atLeast"/>
                <w:jc w:val="center"/>
              </w:trPr>
              <w:tc>
                <w:tcPr>
                  <w:tcW w:w="494" w:type="pct"/>
                  <w:vMerge w:val="continue"/>
                  <w:tcBorders>
                    <w:left w:val="single" w:color="auto" w:sz="4" w:space="0"/>
                    <w:bottom w:val="single" w:color="auto" w:sz="4" w:space="0"/>
                    <w:right w:val="single" w:color="auto" w:sz="4" w:space="0"/>
                  </w:tcBorders>
                  <w:vAlign w:val="center"/>
                </w:tcPr>
                <w:p w14:paraId="4EADF3F1">
                  <w:pPr>
                    <w:spacing w:line="360" w:lineRule="exact"/>
                    <w:jc w:val="center"/>
                    <w:rPr>
                      <w:rFonts w:cs="宋体"/>
                      <w:color w:val="000000" w:themeColor="text1"/>
                      <w:spacing w:val="-20"/>
                      <w:szCs w:val="21"/>
                      <w:lang w:bidi="ar"/>
                      <w14:textFill>
                        <w14:solidFill>
                          <w14:schemeClr w14:val="tx1"/>
                        </w14:solidFill>
                      </w14:textFill>
                    </w:rPr>
                  </w:pPr>
                </w:p>
              </w:tc>
              <w:tc>
                <w:tcPr>
                  <w:tcW w:w="573" w:type="pct"/>
                  <w:tcBorders>
                    <w:top w:val="single" w:color="auto" w:sz="4" w:space="0"/>
                    <w:left w:val="single" w:color="auto" w:sz="4" w:space="0"/>
                    <w:bottom w:val="single" w:color="auto" w:sz="4" w:space="0"/>
                    <w:right w:val="single" w:color="auto" w:sz="4" w:space="0"/>
                  </w:tcBorders>
                  <w:shd w:val="clear" w:color="auto" w:fill="auto"/>
                  <w:vAlign w:val="center"/>
                </w:tcPr>
                <w:p w14:paraId="218E5B1F">
                  <w:pPr>
                    <w:spacing w:line="360" w:lineRule="exact"/>
                    <w:jc w:val="center"/>
                    <w:rPr>
                      <w:color w:val="000000" w:themeColor="text1"/>
                      <w:spacing w:val="-20"/>
                      <w:szCs w:val="21"/>
                      <w14:textFill>
                        <w14:solidFill>
                          <w14:schemeClr w14:val="tx1"/>
                        </w14:solidFill>
                      </w14:textFill>
                    </w:rPr>
                  </w:pPr>
                  <w:r>
                    <w:rPr>
                      <w:color w:val="000000" w:themeColor="text1"/>
                      <w:spacing w:val="-20"/>
                      <w:szCs w:val="21"/>
                      <w14:textFill>
                        <w14:solidFill>
                          <w14:schemeClr w14:val="tx1"/>
                        </w14:solidFill>
                      </w14:textFill>
                    </w:rPr>
                    <w:t>箱变施工</w:t>
                  </w:r>
                </w:p>
              </w:tc>
              <w:tc>
                <w:tcPr>
                  <w:tcW w:w="579" w:type="pct"/>
                  <w:tcBorders>
                    <w:top w:val="nil"/>
                    <w:left w:val="single" w:color="auto" w:sz="4" w:space="0"/>
                    <w:bottom w:val="single" w:color="auto" w:sz="4" w:space="0"/>
                    <w:right w:val="single" w:color="auto" w:sz="4" w:space="0"/>
                  </w:tcBorders>
                  <w:shd w:val="clear" w:color="auto" w:fill="auto"/>
                  <w:vAlign w:val="center"/>
                </w:tcPr>
                <w:p w14:paraId="1D1F54EB">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3070.56</w:t>
                  </w:r>
                </w:p>
              </w:tc>
              <w:tc>
                <w:tcPr>
                  <w:tcW w:w="651" w:type="pct"/>
                  <w:tcBorders>
                    <w:top w:val="nil"/>
                    <w:left w:val="single" w:color="auto" w:sz="4" w:space="0"/>
                    <w:bottom w:val="single" w:color="auto" w:sz="4" w:space="0"/>
                    <w:right w:val="single" w:color="auto" w:sz="4" w:space="0"/>
                  </w:tcBorders>
                  <w:shd w:val="clear" w:color="auto" w:fill="auto"/>
                  <w:vAlign w:val="center"/>
                </w:tcPr>
                <w:p w14:paraId="27C0E6DD">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3070.56</w:t>
                  </w:r>
                </w:p>
              </w:tc>
              <w:tc>
                <w:tcPr>
                  <w:tcW w:w="539" w:type="pct"/>
                  <w:tcBorders>
                    <w:top w:val="nil"/>
                    <w:left w:val="single" w:color="auto" w:sz="4" w:space="0"/>
                    <w:bottom w:val="single" w:color="auto" w:sz="4" w:space="0"/>
                    <w:right w:val="single" w:color="auto" w:sz="4" w:space="0"/>
                  </w:tcBorders>
                  <w:shd w:val="clear" w:color="auto" w:fill="auto"/>
                  <w:vAlign w:val="center"/>
                </w:tcPr>
                <w:p w14:paraId="0BF9E059">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2044.8</w:t>
                  </w:r>
                </w:p>
              </w:tc>
              <w:tc>
                <w:tcPr>
                  <w:tcW w:w="540" w:type="pct"/>
                  <w:tcBorders>
                    <w:top w:val="nil"/>
                    <w:left w:val="single" w:color="auto" w:sz="4" w:space="0"/>
                    <w:bottom w:val="single" w:color="auto" w:sz="4" w:space="0"/>
                    <w:right w:val="single" w:color="auto" w:sz="4" w:space="0"/>
                  </w:tcBorders>
                  <w:shd w:val="clear" w:color="auto" w:fill="auto"/>
                  <w:vAlign w:val="center"/>
                </w:tcPr>
                <w:p w14:paraId="60CC465C">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1025.76</w:t>
                  </w:r>
                </w:p>
              </w:tc>
              <w:tc>
                <w:tcPr>
                  <w:tcW w:w="385" w:type="pct"/>
                  <w:tcBorders>
                    <w:top w:val="nil"/>
                    <w:left w:val="single" w:color="auto" w:sz="4" w:space="0"/>
                    <w:bottom w:val="single" w:color="auto" w:sz="4" w:space="0"/>
                    <w:right w:val="single" w:color="auto" w:sz="4" w:space="0"/>
                  </w:tcBorders>
                  <w:shd w:val="clear" w:color="auto" w:fill="auto"/>
                  <w:vAlign w:val="center"/>
                </w:tcPr>
                <w:p w14:paraId="08829578">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352" w:type="pct"/>
                  <w:tcBorders>
                    <w:top w:val="nil"/>
                    <w:left w:val="single" w:color="auto" w:sz="4" w:space="0"/>
                    <w:bottom w:val="single" w:color="auto" w:sz="4" w:space="0"/>
                    <w:right w:val="single" w:color="auto" w:sz="4" w:space="0"/>
                  </w:tcBorders>
                  <w:shd w:val="clear" w:color="auto" w:fill="auto"/>
                  <w:vAlign w:val="center"/>
                </w:tcPr>
                <w:p w14:paraId="5FA466C7">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473" w:type="pct"/>
                  <w:tcBorders>
                    <w:top w:val="nil"/>
                    <w:left w:val="single" w:color="auto" w:sz="4" w:space="0"/>
                    <w:bottom w:val="single" w:color="auto" w:sz="4" w:space="0"/>
                    <w:right w:val="single" w:color="auto" w:sz="4" w:space="0"/>
                  </w:tcBorders>
                  <w:shd w:val="clear" w:color="auto" w:fill="auto"/>
                  <w:vAlign w:val="center"/>
                </w:tcPr>
                <w:p w14:paraId="75F347AB">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409" w:type="pct"/>
                  <w:tcBorders>
                    <w:top w:val="nil"/>
                    <w:left w:val="single" w:color="auto" w:sz="4" w:space="0"/>
                    <w:bottom w:val="single" w:color="auto" w:sz="4" w:space="0"/>
                    <w:right w:val="single" w:color="auto" w:sz="4" w:space="0"/>
                  </w:tcBorders>
                  <w:shd w:val="clear" w:color="auto" w:fill="auto"/>
                  <w:vAlign w:val="center"/>
                </w:tcPr>
                <w:p w14:paraId="63ABD208">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r>
            <w:tr w14:paraId="4260C9EB">
              <w:tblPrEx>
                <w:tblCellMar>
                  <w:top w:w="0" w:type="dxa"/>
                  <w:left w:w="51" w:type="dxa"/>
                  <w:bottom w:w="0" w:type="dxa"/>
                  <w:right w:w="51" w:type="dxa"/>
                </w:tblCellMar>
              </w:tblPrEx>
              <w:trPr>
                <w:trHeight w:val="90" w:hRule="atLeast"/>
                <w:jc w:val="center"/>
              </w:trPr>
              <w:tc>
                <w:tcPr>
                  <w:tcW w:w="1068" w:type="pct"/>
                  <w:gridSpan w:val="2"/>
                  <w:tcBorders>
                    <w:top w:val="nil"/>
                    <w:left w:val="single" w:color="auto" w:sz="4" w:space="0"/>
                    <w:bottom w:val="single" w:color="auto" w:sz="4" w:space="0"/>
                    <w:right w:val="single" w:color="auto" w:sz="4" w:space="0"/>
                  </w:tcBorders>
                  <w:vAlign w:val="center"/>
                </w:tcPr>
                <w:p w14:paraId="1E802455">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升压站区</w:t>
                  </w:r>
                </w:p>
              </w:tc>
              <w:tc>
                <w:tcPr>
                  <w:tcW w:w="579" w:type="pct"/>
                  <w:tcBorders>
                    <w:top w:val="nil"/>
                    <w:left w:val="nil"/>
                    <w:bottom w:val="single" w:color="auto" w:sz="4" w:space="0"/>
                    <w:right w:val="single" w:color="auto" w:sz="4" w:space="0"/>
                  </w:tcBorders>
                  <w:shd w:val="clear" w:color="auto" w:fill="auto"/>
                  <w:vAlign w:val="center"/>
                </w:tcPr>
                <w:p w14:paraId="56C50649">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lang w:bidi="ar"/>
                      <w14:textFill>
                        <w14:solidFill>
                          <w14:schemeClr w14:val="tx1"/>
                        </w14:solidFill>
                      </w14:textFill>
                    </w:rPr>
                    <w:t>123060</w:t>
                  </w:r>
                </w:p>
              </w:tc>
              <w:tc>
                <w:tcPr>
                  <w:tcW w:w="651" w:type="pct"/>
                  <w:tcBorders>
                    <w:top w:val="nil"/>
                    <w:left w:val="nil"/>
                    <w:bottom w:val="single" w:color="auto" w:sz="4" w:space="0"/>
                    <w:right w:val="single" w:color="auto" w:sz="4" w:space="0"/>
                  </w:tcBorders>
                  <w:shd w:val="clear" w:color="auto" w:fill="auto"/>
                  <w:vAlign w:val="center"/>
                </w:tcPr>
                <w:p w14:paraId="633AAF33">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lang w:bidi="ar"/>
                      <w14:textFill>
                        <w14:solidFill>
                          <w14:schemeClr w14:val="tx1"/>
                        </w14:solidFill>
                      </w14:textFill>
                    </w:rPr>
                    <w:t>123060</w:t>
                  </w:r>
                </w:p>
              </w:tc>
              <w:tc>
                <w:tcPr>
                  <w:tcW w:w="539" w:type="pct"/>
                  <w:tcBorders>
                    <w:top w:val="nil"/>
                    <w:left w:val="nil"/>
                    <w:bottom w:val="single" w:color="auto" w:sz="4" w:space="0"/>
                    <w:right w:val="single" w:color="auto" w:sz="4" w:space="0"/>
                  </w:tcBorders>
                  <w:shd w:val="clear" w:color="auto" w:fill="auto"/>
                  <w:vAlign w:val="center"/>
                </w:tcPr>
                <w:p w14:paraId="3BCEBD30">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lang w:bidi="ar"/>
                      <w14:textFill>
                        <w14:solidFill>
                          <w14:schemeClr w14:val="tx1"/>
                        </w14:solidFill>
                      </w14:textFill>
                    </w:rPr>
                    <w:t>94200</w:t>
                  </w:r>
                </w:p>
              </w:tc>
              <w:tc>
                <w:tcPr>
                  <w:tcW w:w="540" w:type="pct"/>
                  <w:tcBorders>
                    <w:top w:val="nil"/>
                    <w:left w:val="nil"/>
                    <w:bottom w:val="single" w:color="auto" w:sz="4" w:space="0"/>
                    <w:right w:val="single" w:color="auto" w:sz="4" w:space="0"/>
                  </w:tcBorders>
                  <w:shd w:val="clear" w:color="auto" w:fill="auto"/>
                  <w:vAlign w:val="center"/>
                </w:tcPr>
                <w:p w14:paraId="351FFC72">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200</w:t>
                  </w:r>
                </w:p>
              </w:tc>
              <w:tc>
                <w:tcPr>
                  <w:tcW w:w="385" w:type="pct"/>
                  <w:tcBorders>
                    <w:top w:val="nil"/>
                    <w:left w:val="nil"/>
                    <w:bottom w:val="single" w:color="auto" w:sz="4" w:space="0"/>
                    <w:right w:val="single" w:color="auto" w:sz="4" w:space="0"/>
                  </w:tcBorders>
                  <w:shd w:val="clear" w:color="auto" w:fill="auto"/>
                  <w:vAlign w:val="center"/>
                </w:tcPr>
                <w:p w14:paraId="1E633CD2">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28860</w:t>
                  </w:r>
                </w:p>
              </w:tc>
              <w:tc>
                <w:tcPr>
                  <w:tcW w:w="352" w:type="pct"/>
                  <w:tcBorders>
                    <w:top w:val="nil"/>
                    <w:left w:val="nil"/>
                    <w:bottom w:val="single" w:color="auto" w:sz="4" w:space="0"/>
                    <w:right w:val="single" w:color="auto" w:sz="4" w:space="0"/>
                  </w:tcBorders>
                  <w:shd w:val="clear" w:color="auto" w:fill="auto"/>
                  <w:vAlign w:val="center"/>
                </w:tcPr>
                <w:p w14:paraId="1EDED99A">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473" w:type="pct"/>
                  <w:tcBorders>
                    <w:top w:val="nil"/>
                    <w:left w:val="nil"/>
                    <w:bottom w:val="single" w:color="auto" w:sz="4" w:space="0"/>
                    <w:right w:val="single" w:color="auto" w:sz="4" w:space="0"/>
                  </w:tcBorders>
                  <w:shd w:val="clear" w:color="auto" w:fill="auto"/>
                  <w:vAlign w:val="center"/>
                </w:tcPr>
                <w:p w14:paraId="3955ACDE">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lang w:bidi="ar"/>
                      <w14:textFill>
                        <w14:solidFill>
                          <w14:schemeClr w14:val="tx1"/>
                        </w14:solidFill>
                      </w14:textFill>
                    </w:rPr>
                    <w:t>200</w:t>
                  </w:r>
                </w:p>
              </w:tc>
              <w:tc>
                <w:tcPr>
                  <w:tcW w:w="409" w:type="pct"/>
                  <w:tcBorders>
                    <w:top w:val="nil"/>
                    <w:left w:val="nil"/>
                    <w:bottom w:val="single" w:color="auto" w:sz="4" w:space="0"/>
                    <w:right w:val="single" w:color="auto" w:sz="4" w:space="0"/>
                  </w:tcBorders>
                  <w:shd w:val="clear" w:color="auto" w:fill="auto"/>
                  <w:vAlign w:val="center"/>
                </w:tcPr>
                <w:p w14:paraId="7DB71F53">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外购</w:t>
                  </w:r>
                </w:p>
              </w:tc>
            </w:tr>
            <w:tr w14:paraId="1667E7F0">
              <w:tblPrEx>
                <w:tblCellMar>
                  <w:top w:w="0" w:type="dxa"/>
                  <w:left w:w="51" w:type="dxa"/>
                  <w:bottom w:w="0" w:type="dxa"/>
                  <w:right w:w="51" w:type="dxa"/>
                </w:tblCellMar>
              </w:tblPrEx>
              <w:trPr>
                <w:trHeight w:val="90" w:hRule="atLeast"/>
                <w:jc w:val="center"/>
              </w:trPr>
              <w:tc>
                <w:tcPr>
                  <w:tcW w:w="494" w:type="pct"/>
                  <w:tcBorders>
                    <w:top w:val="nil"/>
                    <w:left w:val="single" w:color="auto" w:sz="4" w:space="0"/>
                    <w:bottom w:val="single" w:color="auto" w:sz="4" w:space="0"/>
                    <w:right w:val="single" w:color="auto" w:sz="4" w:space="0"/>
                  </w:tcBorders>
                  <w:vAlign w:val="center"/>
                </w:tcPr>
                <w:p w14:paraId="4E1FD047">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交通工程</w:t>
                  </w:r>
                </w:p>
              </w:tc>
              <w:tc>
                <w:tcPr>
                  <w:tcW w:w="573" w:type="pct"/>
                  <w:tcBorders>
                    <w:top w:val="nil"/>
                    <w:left w:val="single" w:color="auto" w:sz="4" w:space="0"/>
                    <w:bottom w:val="single" w:color="auto" w:sz="4" w:space="0"/>
                    <w:right w:val="single" w:color="auto" w:sz="4" w:space="0"/>
                  </w:tcBorders>
                  <w:shd w:val="clear" w:color="auto" w:fill="auto"/>
                  <w:vAlign w:val="center"/>
                </w:tcPr>
                <w:p w14:paraId="6E15B3F6">
                  <w:pPr>
                    <w:spacing w:line="360" w:lineRule="exact"/>
                    <w:jc w:val="center"/>
                    <w:rPr>
                      <w:color w:val="000000" w:themeColor="text1"/>
                      <w:spacing w:val="-20"/>
                      <w:szCs w:val="21"/>
                      <w14:textFill>
                        <w14:solidFill>
                          <w14:schemeClr w14:val="tx1"/>
                        </w14:solidFill>
                      </w14:textFill>
                    </w:rPr>
                  </w:pPr>
                  <w:r>
                    <w:rPr>
                      <w:color w:val="000000" w:themeColor="text1"/>
                      <w:spacing w:val="-20"/>
                      <w:szCs w:val="21"/>
                      <w14:textFill>
                        <w14:solidFill>
                          <w14:schemeClr w14:val="tx1"/>
                        </w14:solidFill>
                      </w14:textFill>
                    </w:rPr>
                    <w:t>进站道路</w:t>
                  </w:r>
                </w:p>
              </w:tc>
              <w:tc>
                <w:tcPr>
                  <w:tcW w:w="579" w:type="pct"/>
                  <w:tcBorders>
                    <w:top w:val="nil"/>
                    <w:left w:val="nil"/>
                    <w:bottom w:val="single" w:color="auto" w:sz="4" w:space="0"/>
                    <w:right w:val="single" w:color="auto" w:sz="4" w:space="0"/>
                  </w:tcBorders>
                  <w:shd w:val="clear" w:color="auto" w:fill="auto"/>
                  <w:vAlign w:val="center"/>
                </w:tcPr>
                <w:p w14:paraId="60405AAB">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651" w:type="pct"/>
                  <w:tcBorders>
                    <w:top w:val="nil"/>
                    <w:left w:val="nil"/>
                    <w:bottom w:val="single" w:color="auto" w:sz="4" w:space="0"/>
                    <w:right w:val="single" w:color="auto" w:sz="4" w:space="0"/>
                  </w:tcBorders>
                  <w:shd w:val="clear" w:color="auto" w:fill="auto"/>
                  <w:vAlign w:val="center"/>
                </w:tcPr>
                <w:p w14:paraId="5799CBF7">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539" w:type="pct"/>
                  <w:tcBorders>
                    <w:top w:val="nil"/>
                    <w:left w:val="nil"/>
                    <w:bottom w:val="single" w:color="auto" w:sz="4" w:space="0"/>
                    <w:right w:val="single" w:color="auto" w:sz="4" w:space="0"/>
                  </w:tcBorders>
                  <w:shd w:val="clear" w:color="auto" w:fill="auto"/>
                  <w:vAlign w:val="center"/>
                </w:tcPr>
                <w:p w14:paraId="0CDB802E">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28860</w:t>
                  </w:r>
                </w:p>
              </w:tc>
              <w:tc>
                <w:tcPr>
                  <w:tcW w:w="540" w:type="pct"/>
                  <w:tcBorders>
                    <w:top w:val="nil"/>
                    <w:left w:val="nil"/>
                    <w:bottom w:val="single" w:color="auto" w:sz="4" w:space="0"/>
                    <w:right w:val="single" w:color="auto" w:sz="4" w:space="0"/>
                  </w:tcBorders>
                  <w:shd w:val="clear" w:color="auto" w:fill="auto"/>
                  <w:vAlign w:val="center"/>
                </w:tcPr>
                <w:p w14:paraId="43B91F49">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385" w:type="pct"/>
                  <w:tcBorders>
                    <w:top w:val="nil"/>
                    <w:left w:val="nil"/>
                    <w:bottom w:val="single" w:color="auto" w:sz="4" w:space="0"/>
                    <w:right w:val="single" w:color="auto" w:sz="4" w:space="0"/>
                  </w:tcBorders>
                  <w:shd w:val="clear" w:color="auto" w:fill="auto"/>
                  <w:vAlign w:val="center"/>
                </w:tcPr>
                <w:p w14:paraId="18D91C26">
                  <w:pPr>
                    <w:spacing w:line="360" w:lineRule="exact"/>
                    <w:jc w:val="center"/>
                    <w:rPr>
                      <w:color w:val="000000" w:themeColor="text1"/>
                      <w:spacing w:val="-20"/>
                      <w:szCs w:val="21"/>
                      <w14:textFill>
                        <w14:solidFill>
                          <w14:schemeClr w14:val="tx1"/>
                        </w14:solidFill>
                      </w14:textFill>
                    </w:rPr>
                  </w:pPr>
                  <w:r>
                    <w:rPr>
                      <w:color w:val="000000" w:themeColor="text1"/>
                      <w:spacing w:val="-20"/>
                      <w:szCs w:val="21"/>
                      <w:lang w:bidi="ar"/>
                      <w14:textFill>
                        <w14:solidFill>
                          <w14:schemeClr w14:val="tx1"/>
                        </w14:solidFill>
                      </w14:textFill>
                    </w:rPr>
                    <w:t>0.00</w:t>
                  </w:r>
                </w:p>
              </w:tc>
              <w:tc>
                <w:tcPr>
                  <w:tcW w:w="352" w:type="pct"/>
                  <w:tcBorders>
                    <w:top w:val="nil"/>
                    <w:left w:val="nil"/>
                    <w:bottom w:val="single" w:color="auto" w:sz="4" w:space="0"/>
                    <w:right w:val="single" w:color="auto" w:sz="4" w:space="0"/>
                  </w:tcBorders>
                  <w:shd w:val="clear" w:color="auto" w:fill="auto"/>
                  <w:vAlign w:val="center"/>
                </w:tcPr>
                <w:p w14:paraId="63882FA5">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473" w:type="pct"/>
                  <w:tcBorders>
                    <w:top w:val="nil"/>
                    <w:left w:val="nil"/>
                    <w:bottom w:val="single" w:color="auto" w:sz="4" w:space="0"/>
                    <w:right w:val="single" w:color="auto" w:sz="4" w:space="0"/>
                  </w:tcBorders>
                  <w:shd w:val="clear" w:color="auto" w:fill="auto"/>
                  <w:vAlign w:val="center"/>
                </w:tcPr>
                <w:p w14:paraId="4D985B6F">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28600</w:t>
                  </w:r>
                </w:p>
              </w:tc>
              <w:tc>
                <w:tcPr>
                  <w:tcW w:w="409" w:type="pct"/>
                  <w:tcBorders>
                    <w:top w:val="nil"/>
                    <w:left w:val="nil"/>
                    <w:bottom w:val="single" w:color="auto" w:sz="4" w:space="0"/>
                    <w:right w:val="single" w:color="auto" w:sz="4" w:space="0"/>
                  </w:tcBorders>
                  <w:shd w:val="clear" w:color="auto" w:fill="auto"/>
                  <w:vAlign w:val="center"/>
                </w:tcPr>
                <w:p w14:paraId="1AB68BAF">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w:t>
                  </w:r>
                </w:p>
              </w:tc>
            </w:tr>
            <w:tr w14:paraId="61279269">
              <w:tblPrEx>
                <w:tblCellMar>
                  <w:top w:w="0" w:type="dxa"/>
                  <w:left w:w="51" w:type="dxa"/>
                  <w:bottom w:w="0" w:type="dxa"/>
                  <w:right w:w="51" w:type="dxa"/>
                </w:tblCellMar>
              </w:tblPrEx>
              <w:trPr>
                <w:trHeight w:val="90" w:hRule="atLeast"/>
                <w:jc w:val="center"/>
              </w:trPr>
              <w:tc>
                <w:tcPr>
                  <w:tcW w:w="1068" w:type="pct"/>
                  <w:gridSpan w:val="2"/>
                  <w:tcBorders>
                    <w:top w:val="nil"/>
                    <w:left w:val="single" w:color="auto" w:sz="4" w:space="0"/>
                    <w:bottom w:val="single" w:color="auto" w:sz="4" w:space="0"/>
                    <w:right w:val="single" w:color="auto" w:sz="4" w:space="0"/>
                  </w:tcBorders>
                  <w:vAlign w:val="center"/>
                </w:tcPr>
                <w:p w14:paraId="00233BE7">
                  <w:pPr>
                    <w:spacing w:line="360" w:lineRule="exact"/>
                    <w:jc w:val="center"/>
                    <w:rPr>
                      <w:b/>
                      <w:bCs/>
                      <w:color w:val="000000" w:themeColor="text1"/>
                      <w:spacing w:val="-20"/>
                      <w:szCs w:val="21"/>
                      <w14:textFill>
                        <w14:solidFill>
                          <w14:schemeClr w14:val="tx1"/>
                        </w14:solidFill>
                      </w14:textFill>
                    </w:rPr>
                  </w:pPr>
                  <w:r>
                    <w:rPr>
                      <w:rFonts w:hint="eastAsia" w:cs="宋体"/>
                      <w:b/>
                      <w:bCs/>
                      <w:color w:val="000000" w:themeColor="text1"/>
                      <w:spacing w:val="-20"/>
                      <w:szCs w:val="21"/>
                      <w:lang w:bidi="ar"/>
                      <w14:textFill>
                        <w14:solidFill>
                          <w14:schemeClr w14:val="tx1"/>
                        </w14:solidFill>
                      </w14:textFill>
                    </w:rPr>
                    <w:t>合计</w:t>
                  </w:r>
                </w:p>
              </w:tc>
              <w:tc>
                <w:tcPr>
                  <w:tcW w:w="579" w:type="pct"/>
                  <w:tcBorders>
                    <w:top w:val="nil"/>
                    <w:left w:val="nil"/>
                    <w:bottom w:val="single" w:color="auto" w:sz="4" w:space="0"/>
                    <w:right w:val="single" w:color="auto" w:sz="4" w:space="0"/>
                  </w:tcBorders>
                  <w:shd w:val="clear" w:color="auto" w:fill="auto"/>
                  <w:vAlign w:val="center"/>
                </w:tcPr>
                <w:p w14:paraId="5BDC8628">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14:textFill>
                        <w14:solidFill>
                          <w14:schemeClr w14:val="tx1"/>
                        </w14:solidFill>
                      </w14:textFill>
                    </w:rPr>
                    <w:t>169112.96</w:t>
                  </w:r>
                </w:p>
              </w:tc>
              <w:tc>
                <w:tcPr>
                  <w:tcW w:w="651" w:type="pct"/>
                  <w:tcBorders>
                    <w:top w:val="nil"/>
                    <w:left w:val="nil"/>
                    <w:bottom w:val="single" w:color="auto" w:sz="4" w:space="0"/>
                    <w:right w:val="single" w:color="auto" w:sz="4" w:space="0"/>
                  </w:tcBorders>
                  <w:shd w:val="clear" w:color="auto" w:fill="auto"/>
                  <w:vAlign w:val="center"/>
                </w:tcPr>
                <w:p w14:paraId="7151034A">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14:textFill>
                        <w14:solidFill>
                          <w14:schemeClr w14:val="tx1"/>
                        </w14:solidFill>
                      </w14:textFill>
                    </w:rPr>
                    <w:t>169112.96</w:t>
                  </w:r>
                </w:p>
              </w:tc>
              <w:tc>
                <w:tcPr>
                  <w:tcW w:w="539" w:type="pct"/>
                  <w:tcBorders>
                    <w:top w:val="nil"/>
                    <w:left w:val="nil"/>
                    <w:bottom w:val="single" w:color="auto" w:sz="4" w:space="0"/>
                    <w:right w:val="single" w:color="auto" w:sz="4" w:space="0"/>
                  </w:tcBorders>
                  <w:shd w:val="clear" w:color="auto" w:fill="auto"/>
                  <w:vAlign w:val="center"/>
                </w:tcPr>
                <w:p w14:paraId="57623CAD">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14:textFill>
                        <w14:solidFill>
                          <w14:schemeClr w14:val="tx1"/>
                        </w14:solidFill>
                      </w14:textFill>
                    </w:rPr>
                    <w:t>166412.44</w:t>
                  </w:r>
                </w:p>
              </w:tc>
              <w:tc>
                <w:tcPr>
                  <w:tcW w:w="540" w:type="pct"/>
                  <w:tcBorders>
                    <w:top w:val="nil"/>
                    <w:left w:val="nil"/>
                    <w:bottom w:val="single" w:color="auto" w:sz="4" w:space="0"/>
                    <w:right w:val="single" w:color="auto" w:sz="4" w:space="0"/>
                  </w:tcBorders>
                  <w:shd w:val="clear" w:color="auto" w:fill="auto"/>
                  <w:vAlign w:val="center"/>
                </w:tcPr>
                <w:p w14:paraId="2AA62066">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14:textFill>
                        <w14:solidFill>
                          <w14:schemeClr w14:val="tx1"/>
                        </w14:solidFill>
                      </w14:textFill>
                    </w:rPr>
                    <w:t>2900.52</w:t>
                  </w:r>
                </w:p>
              </w:tc>
              <w:tc>
                <w:tcPr>
                  <w:tcW w:w="385" w:type="pct"/>
                  <w:tcBorders>
                    <w:top w:val="nil"/>
                    <w:left w:val="nil"/>
                    <w:bottom w:val="single" w:color="auto" w:sz="4" w:space="0"/>
                    <w:right w:val="single" w:color="auto" w:sz="4" w:space="0"/>
                  </w:tcBorders>
                  <w:shd w:val="clear" w:color="auto" w:fill="auto"/>
                  <w:vAlign w:val="center"/>
                </w:tcPr>
                <w:p w14:paraId="7C4D9351">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lang w:bidi="ar"/>
                      <w14:textFill>
                        <w14:solidFill>
                          <w14:schemeClr w14:val="tx1"/>
                        </w14:solidFill>
                      </w14:textFill>
                    </w:rPr>
                    <w:t>2</w:t>
                  </w:r>
                  <w:r>
                    <w:rPr>
                      <w:b/>
                      <w:bCs/>
                      <w:color w:val="000000" w:themeColor="text1"/>
                      <w:spacing w:val="-20"/>
                      <w:szCs w:val="21"/>
                      <w:lang w:bidi="ar"/>
                      <w14:textFill>
                        <w14:solidFill>
                          <w14:schemeClr w14:val="tx1"/>
                        </w14:solidFill>
                      </w14:textFill>
                    </w:rPr>
                    <w:t>8860</w:t>
                  </w:r>
                </w:p>
              </w:tc>
              <w:tc>
                <w:tcPr>
                  <w:tcW w:w="352" w:type="pct"/>
                  <w:tcBorders>
                    <w:top w:val="nil"/>
                    <w:left w:val="nil"/>
                    <w:bottom w:val="single" w:color="auto" w:sz="4" w:space="0"/>
                    <w:right w:val="single" w:color="auto" w:sz="4" w:space="0"/>
                  </w:tcBorders>
                  <w:shd w:val="clear" w:color="auto" w:fill="auto"/>
                  <w:vAlign w:val="center"/>
                </w:tcPr>
                <w:p w14:paraId="614ACD95">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14:textFill>
                        <w14:solidFill>
                          <w14:schemeClr w14:val="tx1"/>
                        </w14:solidFill>
                      </w14:textFill>
                    </w:rPr>
                    <w:t>--</w:t>
                  </w:r>
                </w:p>
              </w:tc>
              <w:tc>
                <w:tcPr>
                  <w:tcW w:w="473" w:type="pct"/>
                  <w:tcBorders>
                    <w:top w:val="nil"/>
                    <w:left w:val="nil"/>
                    <w:bottom w:val="single" w:color="auto" w:sz="4" w:space="0"/>
                    <w:right w:val="single" w:color="auto" w:sz="4" w:space="0"/>
                  </w:tcBorders>
                  <w:shd w:val="clear" w:color="auto" w:fill="auto"/>
                  <w:vAlign w:val="center"/>
                </w:tcPr>
                <w:p w14:paraId="64C13C41">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lang w:bidi="ar"/>
                      <w14:textFill>
                        <w14:solidFill>
                          <w14:schemeClr w14:val="tx1"/>
                        </w14:solidFill>
                      </w14:textFill>
                    </w:rPr>
                    <w:t>29060</w:t>
                  </w:r>
                </w:p>
              </w:tc>
              <w:tc>
                <w:tcPr>
                  <w:tcW w:w="409" w:type="pct"/>
                  <w:tcBorders>
                    <w:top w:val="nil"/>
                    <w:left w:val="nil"/>
                    <w:bottom w:val="single" w:color="auto" w:sz="4" w:space="0"/>
                    <w:right w:val="single" w:color="auto" w:sz="4" w:space="0"/>
                  </w:tcBorders>
                  <w:shd w:val="clear" w:color="auto" w:fill="auto"/>
                  <w:vAlign w:val="center"/>
                </w:tcPr>
                <w:p w14:paraId="6E42D1ED">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r>
          </w:tbl>
          <w:p w14:paraId="171B24D1">
            <w:pPr>
              <w:pStyle w:val="46"/>
              <w:rPr>
                <w:color w:val="000000" w:themeColor="text1"/>
                <w:sz w:val="24"/>
                <w14:textFill>
                  <w14:solidFill>
                    <w14:schemeClr w14:val="tx1"/>
                  </w14:solidFill>
                </w14:textFill>
              </w:rPr>
            </w:pPr>
          </w:p>
        </w:tc>
      </w:tr>
      <w:tr w14:paraId="70164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9" w:hRule="atLeast"/>
          <w:jc w:val="center"/>
        </w:trPr>
        <w:tc>
          <w:tcPr>
            <w:tcW w:w="300" w:type="pct"/>
            <w:vAlign w:val="center"/>
          </w:tcPr>
          <w:p w14:paraId="4A439048">
            <w:pPr>
              <w:adjustRightInd w:val="0"/>
              <w:snapToGrid w:val="0"/>
              <w:rPr>
                <w:color w:val="000000" w:themeColor="text1"/>
                <w:kern w:val="0"/>
                <w:szCs w:val="21"/>
                <w14:textFill>
                  <w14:solidFill>
                    <w14:schemeClr w14:val="tx1"/>
                  </w14:solidFill>
                </w14:textFill>
              </w:rPr>
            </w:pPr>
            <w:r>
              <w:rPr>
                <w:rFonts w:hint="eastAsia"/>
                <w:color w:val="000000" w:themeColor="text1"/>
                <w:kern w:val="0"/>
                <w:sz w:val="24"/>
                <w14:textFill>
                  <w14:solidFill>
                    <w14:schemeClr w14:val="tx1"/>
                  </w14:solidFill>
                </w14:textFill>
              </w:rPr>
              <w:t>运营期工艺流程</w:t>
            </w:r>
          </w:p>
        </w:tc>
        <w:tc>
          <w:tcPr>
            <w:tcW w:w="4699" w:type="pct"/>
            <w:vAlign w:val="center"/>
          </w:tcPr>
          <w:p w14:paraId="1CED6DDC">
            <w:pPr>
              <w:pStyle w:val="46"/>
              <w:spacing w:line="440" w:lineRule="exac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1、光伏区运营期工艺流程图</w:t>
            </w:r>
          </w:p>
          <w:p w14:paraId="5528DDC0">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太阳能光伏组件中太阳能电池在有光照（无论是太阳光，还是其它发光体产生的光照）情况下，电池吸收光能，电池两端出现异号电荷的积累，即产生“光生电压”，这就是“光生伏特效应”。在光生伏特效应的作用下，太阳能电池的两端产生电动势，将光能转化为直流电，光伏组串通过直流汇流箱并联接入直流配电柜，汇流后接入逆变器直流输入端，将直流电转变为交流电，逆变器交流输出端接入交流配电柜，再经配变电器升压并接入电网。</w:t>
            </w:r>
          </w:p>
          <w:p w14:paraId="772709E6">
            <w:pPr>
              <w:autoSpaceDE w:val="0"/>
              <w:autoSpaceDN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运行过程中会产生废旧光伏组件、废矿物油、事故油、废电池、生活垃圾、生活污水、光伏清洗废水、设备噪声等。</w:t>
            </w:r>
          </w:p>
          <w:p w14:paraId="79C53C0A">
            <w:pPr>
              <w:autoSpaceDE w:val="0"/>
              <w:autoSpaceDN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本项目发电系统主要工艺流程见下图。升压站电磁辐射及送出线路影响不在本次评价内容内，将另行环评。</w:t>
            </w:r>
          </w:p>
          <w:p w14:paraId="04CA77DA">
            <w:pPr>
              <w:pStyle w:val="2"/>
              <w:ind w:firstLine="482"/>
              <w:rPr>
                <w:rFonts w:hint="eastAsia"/>
                <w:b/>
                <w:color w:val="000000" w:themeColor="text1"/>
                <w:sz w:val="24"/>
                <w14:textFill>
                  <w14:solidFill>
                    <w14:schemeClr w14:val="tx1"/>
                  </w14:solidFill>
                </w14:textFill>
              </w:rPr>
            </w:pPr>
          </w:p>
          <w:p w14:paraId="5F2E7B81">
            <w:pPr>
              <w:pStyle w:val="3"/>
              <w:ind w:firstLine="560"/>
              <w:rPr>
                <w:color w:val="000000" w:themeColor="text1"/>
                <w14:textFill>
                  <w14:solidFill>
                    <w14:schemeClr w14:val="tx1"/>
                  </w14:solidFill>
                </w14:textFill>
              </w:rPr>
            </w:pPr>
          </w:p>
          <w:p w14:paraId="5F2DA017">
            <w:pPr>
              <w:pStyle w:val="3"/>
              <w:ind w:firstLine="482"/>
              <w:rPr>
                <w:b/>
                <w:bCs/>
                <w:color w:val="000000" w:themeColor="text1"/>
                <w:sz w:val="24"/>
                <w14:textFill>
                  <w14:solidFill>
                    <w14:schemeClr w14:val="tx1"/>
                  </w14:solidFill>
                </w14:textFill>
              </w:rPr>
            </w:pPr>
          </w:p>
          <w:p w14:paraId="6A1008A2">
            <w:pPr>
              <w:rPr>
                <w:b/>
                <w:bCs/>
                <w:color w:val="000000" w:themeColor="text1"/>
                <w:sz w:val="24"/>
                <w14:textFill>
                  <w14:solidFill>
                    <w14:schemeClr w14:val="tx1"/>
                  </w14:solidFill>
                </w14:textFill>
              </w:rPr>
            </w:pPr>
          </w:p>
          <w:p w14:paraId="43748A53">
            <w:pPr>
              <w:pStyle w:val="2"/>
              <w:ind w:firstLine="482"/>
              <w:rPr>
                <w:b/>
                <w:color w:val="000000" w:themeColor="text1"/>
                <w:sz w:val="24"/>
                <w14:textFill>
                  <w14:solidFill>
                    <w14:schemeClr w14:val="tx1"/>
                  </w14:solidFill>
                </w14:textFill>
              </w:rPr>
            </w:pPr>
          </w:p>
          <w:p w14:paraId="64DB224F">
            <w:pPr>
              <w:pStyle w:val="3"/>
              <w:ind w:firstLine="560"/>
              <w:rPr>
                <w:color w:val="000000" w:themeColor="text1"/>
                <w14:textFill>
                  <w14:solidFill>
                    <w14:schemeClr w14:val="tx1"/>
                  </w14:solidFill>
                </w14:textFill>
              </w:rPr>
            </w:pPr>
          </w:p>
          <w:p w14:paraId="47B6BE4C">
            <w:pPr>
              <w:pStyle w:val="46"/>
              <w:spacing w:line="440" w:lineRule="exact"/>
              <w:jc w:val="center"/>
              <w:rPr>
                <w:b/>
                <w:bCs/>
                <w:color w:val="000000" w:themeColor="text1"/>
                <w:sz w:val="24"/>
                <w:szCs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630555</wp:posOffset>
                      </wp:positionH>
                      <wp:positionV relativeFrom="paragraph">
                        <wp:posOffset>83820</wp:posOffset>
                      </wp:positionV>
                      <wp:extent cx="704850" cy="27622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70485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89645A">
                                  <w:r>
                                    <w:rPr>
                                      <w:rFonts w:hint="eastAsia"/>
                                    </w:rPr>
                                    <w:t>太阳光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65pt;margin-top:6.6pt;height:21.75pt;width:55.5pt;z-index:251669504;mso-width-relative:page;mso-height-relative:page;" filled="f" stroked="f" coordsize="21600,21600" o:gfxdata="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EBN+L2QAAAAgBAAAPAAAAAAAAAAEAIAAAACIAAABkcnMv&#10;ZG93bnJldi54bWxQSwECFAAUAAAACACHTuJAv4wkdTsCAABnBAAADgAAAAAAAAABACAAAAAoAQAA&#10;ZHJzL2Uyb0RvYy54bWxQSwUGAAAAAAYABgBZAQAA1QUAAAAA&#10;">
                      <v:fill on="f" focussize="0,0"/>
                      <v:stroke on="f" weight="0.5pt"/>
                      <v:imagedata o:title=""/>
                      <o:lock v:ext="edit" aspectratio="f"/>
                      <v:textbox>
                        <w:txbxContent>
                          <w:p w14:paraId="5C89645A">
                            <w:r>
                              <w:rPr>
                                <w:rFonts w:hint="eastAsia"/>
                              </w:rPr>
                              <w:t>太阳光</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706755</wp:posOffset>
                      </wp:positionH>
                      <wp:positionV relativeFrom="paragraph">
                        <wp:posOffset>36195</wp:posOffset>
                      </wp:positionV>
                      <wp:extent cx="0" cy="304800"/>
                      <wp:effectExtent l="38100" t="0" r="38100" b="0"/>
                      <wp:wrapNone/>
                      <wp:docPr id="25" name="直接箭头连接符 25"/>
                      <wp:cNvGraphicFramePr/>
                      <a:graphic xmlns:a="http://schemas.openxmlformats.org/drawingml/2006/main">
                        <a:graphicData uri="http://schemas.microsoft.com/office/word/2010/wordprocessingShape">
                          <wps:wsp>
                            <wps:cNvCnPr/>
                            <wps:spPr>
                              <a:xfrm>
                                <a:off x="1844040" y="3548380"/>
                                <a:ext cx="0" cy="30480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5.65pt;margin-top:2.85pt;height:24pt;width:0pt;z-index:251668480;mso-width-relative:page;mso-height-relative:page;" filled="f" stroked="t" coordsize="21600,21600" o:gfxdata="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TpT1&#10;0wAAAAgBAAAPAAAAAAAAAAEAIAAAACIAAABkcnMvZG93bnJldi54bWxQSwECFAAUAAAACACHTuJA&#10;bzee+CYCAAAZBAAADgAAAAAAAAABACAAAAAiAQAAZHJzL2Uyb0RvYy54bWxQSwUGAAAAAAYABgBZ&#10;AQAAugUAAAAA&#10;">
                      <v:fill on="f" focussize="0,0"/>
                      <v:stroke weight="1pt" color="#000000 [3213]" miterlimit="8" joinstyle="miter" endarrow="block"/>
                      <v:imagedata o:title=""/>
                      <o:lock v:ext="edit" aspectratio="f"/>
                    </v:shape>
                  </w:pict>
                </mc:Fallback>
              </mc:AlternateContent>
            </w:r>
          </w:p>
          <w:p w14:paraId="3A07FA51">
            <w:pPr>
              <w:pStyle w:val="46"/>
              <w:spacing w:line="440" w:lineRule="exact"/>
              <w:jc w:val="center"/>
              <w:rPr>
                <w:b/>
                <w:bCs/>
                <w:color w:val="000000" w:themeColor="text1"/>
                <w:sz w:val="24"/>
                <w:szCs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3592830</wp:posOffset>
                      </wp:positionH>
                      <wp:positionV relativeFrom="paragraph">
                        <wp:posOffset>61595</wp:posOffset>
                      </wp:positionV>
                      <wp:extent cx="657225" cy="276225"/>
                      <wp:effectExtent l="4445" t="4445" r="8890" b="8890"/>
                      <wp:wrapNone/>
                      <wp:docPr id="45" name="文本框 45"/>
                      <wp:cNvGraphicFramePr/>
                      <a:graphic xmlns:a="http://schemas.openxmlformats.org/drawingml/2006/main">
                        <a:graphicData uri="http://schemas.microsoft.com/office/word/2010/wordprocessingShape">
                          <wps:wsp>
                            <wps:cNvSpPr txBox="1"/>
                            <wps:spPr>
                              <a:xfrm>
                                <a:off x="0" y="0"/>
                                <a:ext cx="65722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FDE713">
                                  <w:r>
                                    <w:rPr>
                                      <w:rFonts w:hint="eastAsia"/>
                                    </w:rPr>
                                    <w:t>逆变器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9pt;margin-top:4.85pt;height:21.75pt;width:51.75pt;z-index:251677696;mso-width-relative:page;mso-height-relative:page;" fillcolor="#FFFFFF [3201]" filled="t" stroked="t" coordsize="21600,21600" o:gfxdata="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WBY711QAAAAgBAAAP&#10;AAAAAAAAAAEAIAAAACIAAABkcnMvZG93bnJldi54bWxQSwECFAAUAAAACACHTuJAmHEKrVQCAAC4&#10;BAAADgAAAAAAAAABACAAAAAkAQAAZHJzL2Uyb0RvYy54bWxQSwUGAAAAAAYABgBZAQAA6gUAAAAA&#10;">
                      <v:fill on="t" focussize="0,0"/>
                      <v:stroke weight="0.5pt" color="#000000 [3204]" joinstyle="round"/>
                      <v:imagedata o:title=""/>
                      <o:lock v:ext="edit" aspectratio="f"/>
                      <v:textbox>
                        <w:txbxContent>
                          <w:p w14:paraId="7BFDE713">
                            <w:r>
                              <w:rPr>
                                <w:rFonts w:hint="eastAsia"/>
                              </w:rPr>
                              <w:t>逆变器</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3288030</wp:posOffset>
                      </wp:positionH>
                      <wp:positionV relativeFrom="paragraph">
                        <wp:posOffset>189865</wp:posOffset>
                      </wp:positionV>
                      <wp:extent cx="316230" cy="5080"/>
                      <wp:effectExtent l="0" t="36830" r="3810" b="34290"/>
                      <wp:wrapNone/>
                      <wp:docPr id="44" name="直接箭头连接符 44"/>
                      <wp:cNvGraphicFramePr/>
                      <a:graphic xmlns:a="http://schemas.openxmlformats.org/drawingml/2006/main">
                        <a:graphicData uri="http://schemas.microsoft.com/office/word/2010/wordprocessingShape">
                          <wps:wsp>
                            <wps:cNvCnPr/>
                            <wps:spPr>
                              <a:xfrm flipV="1">
                                <a:off x="0" y="0"/>
                                <a:ext cx="316230" cy="508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58.9pt;margin-top:14.95pt;height:0.4pt;width:24.9pt;z-index:251676672;mso-width-relative:page;mso-height-relative:page;" filled="f" stroked="t" coordsize="21600,21600" o:gfxdata="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L&#10;BFPWAAAACQEAAA8AAAAAAAAAAQAgAAAAIgAAAGRycy9kb3ducmV2LnhtbFBLAQIUABQAAAAIAIdO&#10;4kDUKpCyJQIAABoEAAAOAAAAAAAAAAEAIAAAACUBAABkcnMvZTJvRG9jLnhtbFBLBQYAAAAABgAG&#10;AFkBAAC8BQAAAAA=&#10;">
                      <v:fill on="f" focussize="0,0"/>
                      <v:stroke weight="1pt" color="#000000 [3213]" miterlimit="8" joinstyle="miter"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2621280</wp:posOffset>
                      </wp:positionH>
                      <wp:positionV relativeFrom="paragraph">
                        <wp:posOffset>52070</wp:posOffset>
                      </wp:positionV>
                      <wp:extent cx="657225" cy="276225"/>
                      <wp:effectExtent l="4445" t="4445" r="8890" b="8890"/>
                      <wp:wrapNone/>
                      <wp:docPr id="35" name="文本框 35"/>
                      <wp:cNvGraphicFramePr/>
                      <a:graphic xmlns:a="http://schemas.openxmlformats.org/drawingml/2006/main">
                        <a:graphicData uri="http://schemas.microsoft.com/office/word/2010/wordprocessingShape">
                          <wps:wsp>
                            <wps:cNvSpPr txBox="1"/>
                            <wps:spPr>
                              <a:xfrm>
                                <a:off x="0" y="0"/>
                                <a:ext cx="65722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F1B5DD">
                                  <w:r>
                                    <w:rPr>
                                      <w:rFonts w:hint="eastAsia"/>
                                    </w:rPr>
                                    <w:t>汇流箱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4pt;margin-top:4.1pt;height:21.75pt;width:51.75pt;z-index:251675648;mso-width-relative:page;mso-height-relative:page;" fillcolor="#FFFFFF [3201]" filled="t" stroked="t" coordsize="21600,21600" o:gfxdata="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4tWrm1QAAAAgBAAAP&#10;AAAAAAAAAAEAIAAAACIAAABkcnMvZG93bnJldi54bWxQSwECFAAUAAAACACHTuJAa11qIVQCAAC4&#10;BAAADgAAAAAAAAABACAAAAAkAQAAZHJzL2Uyb0RvYy54bWxQSwUGAAAAAAYABgBZAQAA6gUAAAAA&#10;">
                      <v:fill on="t" focussize="0,0"/>
                      <v:stroke weight="0.5pt" color="#000000 [3204]" joinstyle="round"/>
                      <v:imagedata o:title=""/>
                      <o:lock v:ext="edit" aspectratio="f"/>
                      <v:textbox>
                        <w:txbxContent>
                          <w:p w14:paraId="00F1B5DD">
                            <w:r>
                              <w:rPr>
                                <w:rFonts w:hint="eastAsia"/>
                              </w:rPr>
                              <w:t>汇流箱</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2306955</wp:posOffset>
                      </wp:positionH>
                      <wp:positionV relativeFrom="paragraph">
                        <wp:posOffset>189865</wp:posOffset>
                      </wp:positionV>
                      <wp:extent cx="316230" cy="5080"/>
                      <wp:effectExtent l="0" t="36830" r="3810" b="34290"/>
                      <wp:wrapNone/>
                      <wp:docPr id="31" name="直接箭头连接符 31"/>
                      <wp:cNvGraphicFramePr/>
                      <a:graphic xmlns:a="http://schemas.openxmlformats.org/drawingml/2006/main">
                        <a:graphicData uri="http://schemas.microsoft.com/office/word/2010/wordprocessingShape">
                          <wps:wsp>
                            <wps:cNvCnPr/>
                            <wps:spPr>
                              <a:xfrm flipV="1">
                                <a:off x="0" y="0"/>
                                <a:ext cx="316230" cy="508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81.65pt;margin-top:14.95pt;height:0.4pt;width:24.9pt;z-index:251674624;mso-width-relative:page;mso-height-relative:page;" filled="f" stroked="t" coordsize="21600,21600" o:gfxdata="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zOlW&#10;1QAAAAkBAAAPAAAAAAAAAAEAIAAAACIAAABkcnMvZG93bnJldi54bWxQSwECFAAUAAAACACHTuJA&#10;vJDiQCQCAAAaBAAADgAAAAAAAAABACAAAAAkAQAAZHJzL2Uyb0RvYy54bWxQSwUGAAAAAAYABgBZ&#10;AQAAugUAAAAA&#10;">
                      <v:fill on="f" focussize="0,0"/>
                      <v:stroke weight="1pt" color="#000000 [3213]" miterlimit="8" joinstyle="miter"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1564005</wp:posOffset>
                      </wp:positionH>
                      <wp:positionV relativeFrom="paragraph">
                        <wp:posOffset>52070</wp:posOffset>
                      </wp:positionV>
                      <wp:extent cx="752475" cy="276225"/>
                      <wp:effectExtent l="4445" t="4445" r="5080" b="8890"/>
                      <wp:wrapNone/>
                      <wp:docPr id="30" name="文本框 30"/>
                      <wp:cNvGraphicFramePr/>
                      <a:graphic xmlns:a="http://schemas.openxmlformats.org/drawingml/2006/main">
                        <a:graphicData uri="http://schemas.microsoft.com/office/word/2010/wordprocessingShape">
                          <wps:wsp>
                            <wps:cNvSpPr txBox="1"/>
                            <wps:spPr>
                              <a:xfrm>
                                <a:off x="0" y="0"/>
                                <a:ext cx="75247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E7EB6B">
                                  <w:r>
                                    <w:rPr>
                                      <w:rFonts w:hint="eastAsia"/>
                                    </w:rPr>
                                    <w:t>集电线路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15pt;margin-top:4.1pt;height:21.75pt;width:59.25pt;z-index:251673600;mso-width-relative:page;mso-height-relative:page;" fillcolor="#FFFFFF [3201]" filled="t" stroked="t" coordsize="21600,21600" o:gfxdata="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xsMkDWAAAA&#10;CAEAAA8AAAAAAAAAAQAgAAAAIgAAAGRycy9kb3ducmV2LnhtbFBLAQIUABQAAAAIAIdO4kDGRL2H&#10;WAIAALgEAAAOAAAAAAAAAAEAIAAAACUBAABkcnMvZTJvRG9jLnhtbFBLBQYAAAAABgAGAFkBAADv&#10;BQAAAAA=&#10;">
                      <v:fill on="t" focussize="0,0"/>
                      <v:stroke weight="0.5pt" color="#000000 [3204]" joinstyle="round"/>
                      <v:imagedata o:title=""/>
                      <o:lock v:ext="edit" aspectratio="f"/>
                      <v:textbox>
                        <w:txbxContent>
                          <w:p w14:paraId="24E7EB6B">
                            <w:r>
                              <w:rPr>
                                <w:rFonts w:hint="eastAsia"/>
                              </w:rPr>
                              <w:t>集电线路</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1230630</wp:posOffset>
                      </wp:positionH>
                      <wp:positionV relativeFrom="paragraph">
                        <wp:posOffset>204470</wp:posOffset>
                      </wp:positionV>
                      <wp:extent cx="335280" cy="4445"/>
                      <wp:effectExtent l="0" t="34925" r="0" b="36830"/>
                      <wp:wrapNone/>
                      <wp:docPr id="29" name="直接箭头连接符 29"/>
                      <wp:cNvGraphicFramePr/>
                      <a:graphic xmlns:a="http://schemas.openxmlformats.org/drawingml/2006/main">
                        <a:graphicData uri="http://schemas.microsoft.com/office/word/2010/wordprocessingShape">
                          <wps:wsp>
                            <wps:cNvCnPr/>
                            <wps:spPr>
                              <a:xfrm>
                                <a:off x="0" y="0"/>
                                <a:ext cx="335280" cy="4445"/>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6.9pt;margin-top:16.1pt;height:0.35pt;width:26.4pt;z-index:251672576;mso-width-relative:page;mso-height-relative:page;" filled="f" stroked="t" coordsize="21600,21600" o:gfxdata="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ww11wAAAAkB&#10;AAAPAAAAAAAAAAEAIAAAACIAAABkcnMvZG93bnJldi54bWxQSwECFAAUAAAACACHTuJAV4TH4RwC&#10;AAAQBAAADgAAAAAAAAABACAAAAAmAQAAZHJzL2Uyb0RvYy54bWxQSwUGAAAAAAYABgBZAQAAtAUA&#10;AAAA&#10;">
                      <v:fill on="f" focussize="0,0"/>
                      <v:stroke weight="1pt" color="#000000 [3213]" miterlimit="8" joinstyle="miter"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201930</wp:posOffset>
                      </wp:positionH>
                      <wp:positionV relativeFrom="paragraph">
                        <wp:posOffset>61595</wp:posOffset>
                      </wp:positionV>
                      <wp:extent cx="1009015" cy="276225"/>
                      <wp:effectExtent l="4445" t="5080" r="7620" b="8255"/>
                      <wp:wrapNone/>
                      <wp:docPr id="13" name="文本框 13"/>
                      <wp:cNvGraphicFramePr/>
                      <a:graphic xmlns:a="http://schemas.openxmlformats.org/drawingml/2006/main">
                        <a:graphicData uri="http://schemas.microsoft.com/office/word/2010/wordprocessingShape">
                          <wps:wsp>
                            <wps:cNvSpPr txBox="1"/>
                            <wps:spPr>
                              <a:xfrm>
                                <a:off x="1577340" y="3796030"/>
                                <a:ext cx="100901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DE0719">
                                  <w:r>
                                    <w:rPr>
                                      <w:rFonts w:hint="eastAsia"/>
                                    </w:rPr>
                                    <w:t>太阳能电池板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pt;margin-top:4.85pt;height:21.75pt;width:79.45pt;z-index:251667456;mso-width-relative:page;mso-height-relative:page;" fillcolor="#FFFFFF [3201]" filled="t" stroked="t" coordsize="21600,21600" o:gfxdata="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v/9dMAAAAHAQAADwAAAAAAAAABACAAAAAiAAAAZHJzL2Rvd25yZXYueG1sUEsBAhQAFAAAAAgA&#10;h07iQMdj0UxjAgAAxQQAAA4AAAAAAAAAAQAgAAAAIgEAAGRycy9lMm9Eb2MueG1sUEsFBgAAAAAG&#10;AAYAWQEAAPcFAAAAAA==&#10;">
                      <v:fill on="t" focussize="0,0"/>
                      <v:stroke weight="0.5pt" color="#000000 [3204]" joinstyle="round"/>
                      <v:imagedata o:title=""/>
                      <o:lock v:ext="edit" aspectratio="f"/>
                      <v:textbox>
                        <w:txbxContent>
                          <w:p w14:paraId="7DDE0719">
                            <w:r>
                              <w:rPr>
                                <w:rFonts w:hint="eastAsia"/>
                              </w:rPr>
                              <w:t>太阳能电池板</w:t>
                            </w:r>
                          </w:p>
                        </w:txbxContent>
                      </v:textbox>
                    </v:shape>
                  </w:pict>
                </mc:Fallback>
              </mc:AlternateContent>
            </w:r>
          </w:p>
          <w:p w14:paraId="759FDFA1">
            <w:pPr>
              <w:pStyle w:val="46"/>
              <w:spacing w:line="440" w:lineRule="exact"/>
              <w:jc w:val="center"/>
              <w:rPr>
                <w:b/>
                <w:bCs/>
                <w:color w:val="000000" w:themeColor="text1"/>
                <w:sz w:val="24"/>
                <w:szCs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1468755</wp:posOffset>
                      </wp:positionH>
                      <wp:positionV relativeFrom="paragraph">
                        <wp:posOffset>277495</wp:posOffset>
                      </wp:positionV>
                      <wp:extent cx="504190" cy="276225"/>
                      <wp:effectExtent l="4445" t="5080" r="9525" b="8255"/>
                      <wp:wrapNone/>
                      <wp:docPr id="51" name="文本框 51"/>
                      <wp:cNvGraphicFramePr/>
                      <a:graphic xmlns:a="http://schemas.openxmlformats.org/drawingml/2006/main">
                        <a:graphicData uri="http://schemas.microsoft.com/office/word/2010/wordprocessingShape">
                          <wps:wsp>
                            <wps:cNvSpPr txBox="1"/>
                            <wps:spPr>
                              <a:xfrm>
                                <a:off x="0" y="0"/>
                                <a:ext cx="50419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CBC3EE">
                                  <w:r>
                                    <w:rPr>
                                      <w:rFonts w:hint="eastAsia"/>
                                    </w:rPr>
                                    <w:t>并网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65pt;margin-top:21.85pt;height:21.75pt;width:39.7pt;z-index:251683840;mso-width-relative:page;mso-height-relative:page;" fillcolor="#FFFFFF [3201]" filled="t" stroked="t" coordsize="21600,21600" o:gfxdata="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LBXTtYAAAAJ&#10;AQAADwAAAAAAAAABACAAAAAiAAAAZHJzL2Rvd25yZXYueG1sUEsBAhQAFAAAAAgAh07iQIy03rVX&#10;AgAAuAQAAA4AAAAAAAAAAQAgAAAAJQEAAGRycy9lMm9Eb2MueG1sUEsFBgAAAAAGAAYAWQEAAO4F&#10;AAAAAA==&#10;">
                      <v:fill on="t" focussize="0,0"/>
                      <v:stroke weight="0.5pt" color="#000000 [3204]" joinstyle="round"/>
                      <v:imagedata o:title=""/>
                      <o:lock v:ext="edit" aspectratio="f"/>
                      <v:textbox>
                        <w:txbxContent>
                          <w:p w14:paraId="76CBC3EE">
                            <w:r>
                              <w:rPr>
                                <w:rFonts w:hint="eastAsia"/>
                              </w:rPr>
                              <w:t>并网</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2221865</wp:posOffset>
                      </wp:positionH>
                      <wp:positionV relativeFrom="paragraph">
                        <wp:posOffset>277495</wp:posOffset>
                      </wp:positionV>
                      <wp:extent cx="998855" cy="276225"/>
                      <wp:effectExtent l="4445" t="4445" r="17780" b="8890"/>
                      <wp:wrapNone/>
                      <wp:docPr id="49" name="文本框 49"/>
                      <wp:cNvGraphicFramePr/>
                      <a:graphic xmlns:a="http://schemas.openxmlformats.org/drawingml/2006/main">
                        <a:graphicData uri="http://schemas.microsoft.com/office/word/2010/wordprocessingShape">
                          <wps:wsp>
                            <wps:cNvSpPr txBox="1"/>
                            <wps:spPr>
                              <a:xfrm>
                                <a:off x="0" y="0"/>
                                <a:ext cx="99885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DB01F2">
                                  <w:r>
                                    <w:rPr>
                                      <w:rFonts w:hint="eastAsia"/>
                                    </w:rPr>
                                    <w:t>220kV变压器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95pt;margin-top:21.85pt;height:21.75pt;width:78.65pt;z-index:251681792;mso-width-relative:page;mso-height-relative:page;" fillcolor="#FFFFFF [3201]" filled="t" stroked="t" coordsize="21600,21600" o:gfxdata="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iLJKDY&#10;AAAACQEAAA8AAAAAAAAAAQAgAAAAIgAAAGRycy9kb3ducmV2LnhtbFBLAQIUABQAAAAIAIdO4kBR&#10;AK7YWQIAALgEAAAOAAAAAAAAAAEAIAAAACcBAABkcnMvZTJvRG9jLnhtbFBLBQYAAAAABgAGAFkB&#10;AADyBQAAAAA=&#10;">
                      <v:fill on="t" focussize="0,0"/>
                      <v:stroke weight="0.5pt" color="#000000 [3204]" joinstyle="round"/>
                      <v:imagedata o:title=""/>
                      <o:lock v:ext="edit" aspectratio="f"/>
                      <v:textbox>
                        <w:txbxContent>
                          <w:p w14:paraId="4DDB01F2">
                            <w:r>
                              <w:rPr>
                                <w:rFonts w:hint="eastAsia"/>
                              </w:rPr>
                              <w:t>220kV变压器</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3488055</wp:posOffset>
                      </wp:positionH>
                      <wp:positionV relativeFrom="paragraph">
                        <wp:posOffset>277495</wp:posOffset>
                      </wp:positionV>
                      <wp:extent cx="942340" cy="276225"/>
                      <wp:effectExtent l="4445" t="4445" r="13335" b="8890"/>
                      <wp:wrapNone/>
                      <wp:docPr id="47" name="文本框 47"/>
                      <wp:cNvGraphicFramePr/>
                      <a:graphic xmlns:a="http://schemas.openxmlformats.org/drawingml/2006/main">
                        <a:graphicData uri="http://schemas.microsoft.com/office/word/2010/wordprocessingShape">
                          <wps:wsp>
                            <wps:cNvSpPr txBox="1"/>
                            <wps:spPr>
                              <a:xfrm>
                                <a:off x="0" y="0"/>
                                <a:ext cx="94234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02156C9">
                                  <w:r>
                                    <w:rPr>
                                      <w:rFonts w:hint="eastAsia"/>
                                    </w:rPr>
                                    <w:t>35kV变压器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65pt;margin-top:21.85pt;height:21.75pt;width:74.2pt;z-index:251679744;mso-width-relative:page;mso-height-relative:page;" fillcolor="#FFFFFF [3201]" filled="t" stroked="t" coordsize="21600,21600" o:gfxdata="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hKlFTXAAAA&#10;CQEAAA8AAAAAAAAAAQAgAAAAIgAAAGRycy9kb3ducmV2LnhtbFBLAQIUABQAAAAIAIdO4kAMdRrr&#10;VwIAALgEAAAOAAAAAAAAAAEAIAAAACYBAABkcnMvZTJvRG9jLnhtbFBLBQYAAAAABgAGAFkBAADv&#10;BQAAAAA=&#10;">
                      <v:fill on="t" focussize="0,0"/>
                      <v:stroke weight="0.5pt" color="#000000 [3204]" joinstyle="round"/>
                      <v:imagedata o:title=""/>
                      <o:lock v:ext="edit" aspectratio="f"/>
                      <v:textbox>
                        <w:txbxContent>
                          <w:p w14:paraId="002156C9">
                            <w:r>
                              <w:rPr>
                                <w:rFonts w:hint="eastAsia"/>
                              </w:rPr>
                              <w:t>35kV变压器</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3907155</wp:posOffset>
                      </wp:positionH>
                      <wp:positionV relativeFrom="paragraph">
                        <wp:posOffset>48895</wp:posOffset>
                      </wp:positionV>
                      <wp:extent cx="1905" cy="242570"/>
                      <wp:effectExtent l="36830" t="0" r="37465" b="1270"/>
                      <wp:wrapNone/>
                      <wp:docPr id="46" name="直接箭头连接符 46"/>
                      <wp:cNvGraphicFramePr/>
                      <a:graphic xmlns:a="http://schemas.openxmlformats.org/drawingml/2006/main">
                        <a:graphicData uri="http://schemas.microsoft.com/office/word/2010/wordprocessingShape">
                          <wps:wsp>
                            <wps:cNvCnPr/>
                            <wps:spPr>
                              <a:xfrm>
                                <a:off x="0" y="0"/>
                                <a:ext cx="1905" cy="24257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07.65pt;margin-top:3.85pt;height:19.1pt;width:0.15pt;z-index:251678720;mso-width-relative:page;mso-height-relative:page;" filled="f" stroked="t" coordsize="21600,21600" o:gfxdata="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YUENcAAAAI&#10;AQAADwAAAAAAAAABACAAAAAiAAAAZHJzL2Rvd25yZXYueG1sUEsBAhQAFAAAAAgAh07iQPJv150d&#10;AgAAEAQAAA4AAAAAAAAAAQAgAAAAJgEAAGRycy9lMm9Eb2MueG1sUEsFBgAAAAAGAAYAWQEAALUF&#10;AAAAAA==&#10;">
                      <v:fill on="f" focussize="0,0"/>
                      <v:stroke weight="1pt" color="#000000 [3213]" miterlimit="8" joinstyle="miter"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306705</wp:posOffset>
                      </wp:positionH>
                      <wp:positionV relativeFrom="paragraph">
                        <wp:posOffset>10795</wp:posOffset>
                      </wp:positionV>
                      <wp:extent cx="1093470" cy="45656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093470" cy="456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7F072">
                                  <w:pPr>
                                    <w:rPr>
                                      <w:sz w:val="18"/>
                                      <w:szCs w:val="21"/>
                                    </w:rPr>
                                  </w:pPr>
                                  <w:r>
                                    <w:rPr>
                                      <w:rFonts w:hint="eastAsia"/>
                                      <w:sz w:val="18"/>
                                      <w:szCs w:val="21"/>
                                    </w:rPr>
                                    <w:t>废旧光伏组件、光伏清洗废水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5pt;margin-top:0.85pt;height:35.95pt;width:86.1pt;z-index:251670528;mso-width-relative:page;mso-height-relative:page;" filled="f" stroked="f" coordsize="21600,21600" o:gfxdata="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3rg8PXAAAABwEAAA8AAAAAAAAAAQAgAAAAIgAAAGRycy9k&#10;b3ducmV2LnhtbFBLAQIUABQAAAAIAIdO4kCtTve0PAIAAGgEAAAOAAAAAAAAAAEAIAAAACYBAABk&#10;cnMvZTJvRG9jLnhtbFBLBQYAAAAABgAGAFkBAADUBQAAAAA=&#10;">
                      <v:fill on="f" focussize="0,0"/>
                      <v:stroke on="f" weight="0.5pt"/>
                      <v:imagedata o:title=""/>
                      <o:lock v:ext="edit" aspectratio="f"/>
                      <v:textbox>
                        <w:txbxContent>
                          <w:p w14:paraId="4F47F072">
                            <w:pPr>
                              <w:rPr>
                                <w:sz w:val="18"/>
                                <w:szCs w:val="21"/>
                              </w:rPr>
                            </w:pPr>
                            <w:r>
                              <w:rPr>
                                <w:rFonts w:hint="eastAsia"/>
                                <w:sz w:val="18"/>
                                <w:szCs w:val="21"/>
                              </w:rPr>
                              <w:t>废旧光伏组件、光伏清洗废水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697230</wp:posOffset>
                      </wp:positionH>
                      <wp:positionV relativeFrom="paragraph">
                        <wp:posOffset>58420</wp:posOffset>
                      </wp:positionV>
                      <wp:extent cx="0" cy="304800"/>
                      <wp:effectExtent l="38100" t="0" r="38100" b="0"/>
                      <wp:wrapNone/>
                      <wp:docPr id="28" name="直接箭头连接符 28"/>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4.9pt;margin-top:4.6pt;height:24pt;width:0pt;z-index:251671552;mso-width-relative:page;mso-height-relative:page;" filled="f" stroked="t" coordsize="21600,21600" o:gfxdata="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neBjDVAAAACAEAAA8AAAAA&#10;AAAAAQAgAAAAIgAAAGRycy9kb3ducmV2LnhtbFBLAQIUABQAAAAIAIdO4kCrLB/TFwIAAA0EAAAO&#10;AAAAAAAAAAEAIAAAACQBAABkcnMvZTJvRG9jLnhtbFBLBQYAAAAABgAGAFkBAACtBQAAAAA=&#10;">
                      <v:fill on="f" focussize="0,0"/>
                      <v:stroke weight="1pt" color="#000000 [3213]" miterlimit="8" joinstyle="miter" endarrow="block"/>
                      <v:imagedata o:title=""/>
                      <o:lock v:ext="edit" aspectratio="f"/>
                    </v:shape>
                  </w:pict>
                </mc:Fallback>
              </mc:AlternateContent>
            </w:r>
          </w:p>
          <w:p w14:paraId="6C6363B4">
            <w:pPr>
              <w:pStyle w:val="46"/>
              <w:spacing w:line="440" w:lineRule="exact"/>
              <w:jc w:val="center"/>
              <w:rPr>
                <w:b/>
                <w:bCs/>
                <w:color w:val="000000" w:themeColor="text1"/>
                <w:sz w:val="24"/>
                <w:szCs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2049780</wp:posOffset>
                      </wp:positionH>
                      <wp:positionV relativeFrom="paragraph">
                        <wp:posOffset>274320</wp:posOffset>
                      </wp:positionV>
                      <wp:extent cx="1379220" cy="54229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379220" cy="542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47E09">
                                  <w:pPr>
                                    <w:rPr>
                                      <w:sz w:val="18"/>
                                      <w:szCs w:val="21"/>
                                    </w:rPr>
                                  </w:pPr>
                                  <w:r>
                                    <w:rPr>
                                      <w:rFonts w:hint="eastAsia"/>
                                      <w:sz w:val="18"/>
                                      <w:szCs w:val="21"/>
                                    </w:rPr>
                                    <w:t>废矿物油、事故油、废电池、生活垃圾、生活污水、噪声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4pt;margin-top:21.6pt;height:42.7pt;width:108.6pt;z-index:251685888;mso-width-relative:page;mso-height-relative:page;" filled="f" stroked="f" coordsize="21600,21600" o:gfxdata="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&#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W919dsAAAAKAQAADwAAAAAAAAABACAAAAAiAAAA&#10;ZHJzL2Rvd25yZXYueG1sUEsBAhQAFAAAAAgAh07iQFhlkZA9AgAAaAQAAA4AAAAAAAAAAQAgAAAA&#10;KgEAAGRycy9lMm9Eb2MueG1sUEsFBgAAAAAGAAYAWQEAANkFAAAAAA==&#10;">
                      <v:fill on="f" focussize="0,0"/>
                      <v:stroke on="f" weight="0.5pt"/>
                      <v:imagedata o:title=""/>
                      <o:lock v:ext="edit" aspectratio="f"/>
                      <v:textbox>
                        <w:txbxContent>
                          <w:p w14:paraId="54247E09">
                            <w:pPr>
                              <w:rPr>
                                <w:sz w:val="18"/>
                                <w:szCs w:val="21"/>
                              </w:rPr>
                            </w:pPr>
                            <w:r>
                              <w:rPr>
                                <w:rFonts w:hint="eastAsia"/>
                                <w:sz w:val="18"/>
                                <w:szCs w:val="21"/>
                              </w:rPr>
                              <w:t>废矿物油、事故油、废电池、生活垃圾、生活污水、噪声</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1956435</wp:posOffset>
                      </wp:positionH>
                      <wp:positionV relativeFrom="paragraph">
                        <wp:posOffset>145415</wp:posOffset>
                      </wp:positionV>
                      <wp:extent cx="264795" cy="5080"/>
                      <wp:effectExtent l="0" t="36830" r="9525" b="34290"/>
                      <wp:wrapNone/>
                      <wp:docPr id="50" name="直接箭头连接符 50"/>
                      <wp:cNvGraphicFramePr/>
                      <a:graphic xmlns:a="http://schemas.openxmlformats.org/drawingml/2006/main">
                        <a:graphicData uri="http://schemas.microsoft.com/office/word/2010/wordprocessingShape">
                          <wps:wsp>
                            <wps:cNvCnPr/>
                            <wps:spPr>
                              <a:xfrm flipH="1" flipV="1">
                                <a:off x="0" y="0"/>
                                <a:ext cx="264795" cy="508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54.05pt;margin-top:11.45pt;height:0.4pt;width:20.85pt;z-index:251682816;mso-width-relative:page;mso-height-relative:page;" filled="f" stroked="t" coordsize="21600,21600" o:gfxdata="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Eej8toAAAAJAQAADwAAAAAAAAABACAAAAAiAAAAZHJzL2Rvd25yZXYueG1sUEsBAhQA&#10;FAAAAAgAh07iQFMlsnwpAgAAJAQAAA4AAAAAAAAAAQAgAAAAKQEAAGRycy9lMm9Eb2MueG1sUEsF&#10;BgAAAAAGAAYAWQEAAMQFAAAAAA==&#10;">
                      <v:fill on="f" focussize="0,0"/>
                      <v:stroke weight="1pt" color="#000000 [3213]" miterlimit="8" joinstyle="miter"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3223260</wp:posOffset>
                      </wp:positionH>
                      <wp:positionV relativeFrom="paragraph">
                        <wp:posOffset>135890</wp:posOffset>
                      </wp:positionV>
                      <wp:extent cx="274320" cy="5080"/>
                      <wp:effectExtent l="0" t="36830" r="0" b="34290"/>
                      <wp:wrapNone/>
                      <wp:docPr id="48" name="直接箭头连接符 48"/>
                      <wp:cNvGraphicFramePr/>
                      <a:graphic xmlns:a="http://schemas.openxmlformats.org/drawingml/2006/main">
                        <a:graphicData uri="http://schemas.microsoft.com/office/word/2010/wordprocessingShape">
                          <wps:wsp>
                            <wps:cNvCnPr/>
                            <wps:spPr>
                              <a:xfrm flipH="1" flipV="1">
                                <a:off x="0" y="0"/>
                                <a:ext cx="274320" cy="508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53.8pt;margin-top:10.7pt;height:0.4pt;width:21.6pt;z-index:251680768;mso-width-relative:page;mso-height-relative:page;" filled="f" stroked="t" coordsize="21600,21600" o:gfxdata="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WWpctgAAAAJAQAADwAAAAAAAAABACAAAAAiAAAAZHJzL2Rvd25yZXYueG1sUEsBAhQAFAAA&#10;AAgAh07iQNdXibAoAgAAJAQAAA4AAAAAAAAAAQAgAAAAJwEAAGRycy9lMm9Eb2MueG1sUEsFBgAA&#10;AAAGAAYAWQEAAMEFAAAAAA==&#10;">
                      <v:fill on="f" focussize="0,0"/>
                      <v:stroke weight="1pt" color="#000000 [3213]" miterlimit="8" joinstyle="miter" endarrow="block"/>
                      <v:imagedata o:title=""/>
                      <o:lock v:ext="edit" aspectratio="f"/>
                    </v:shape>
                  </w:pict>
                </mc:Fallback>
              </mc:AlternateContent>
            </w:r>
          </w:p>
          <w:p w14:paraId="2F4732E4">
            <w:pPr>
              <w:pStyle w:val="46"/>
              <w:spacing w:line="440" w:lineRule="exact"/>
              <w:jc w:val="center"/>
              <w:rPr>
                <w:b/>
                <w:bCs/>
                <w:color w:val="000000" w:themeColor="text1"/>
                <w:sz w:val="24"/>
                <w:szCs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2754630</wp:posOffset>
                      </wp:positionH>
                      <wp:positionV relativeFrom="paragraph">
                        <wp:posOffset>4445</wp:posOffset>
                      </wp:positionV>
                      <wp:extent cx="0" cy="304800"/>
                      <wp:effectExtent l="38100" t="0" r="38100" b="0"/>
                      <wp:wrapNone/>
                      <wp:docPr id="52" name="直接箭头连接符 52"/>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6.9pt;margin-top:0.35pt;height:24pt;width:0pt;z-index:251684864;mso-width-relative:page;mso-height-relative:page;" filled="f" stroked="t" coordsize="21600,21600" o:gfxdata="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wLPCTUAAAABwEAAA8AAAAA&#10;AAAAAQAgAAAAIgAAAGRycy9kb3ducmV2LnhtbFBLAQIUABQAAAAIAIdO4kCmV036GAIAAA0EAAAO&#10;AAAAAAAAAAEAIAAAACMBAABkcnMvZTJvRG9jLnhtbFBLBQYAAAAABgAGAFkBAACtBQAAAAA=&#10;">
                      <v:fill on="f" focussize="0,0"/>
                      <v:stroke weight="1pt" color="#000000 [3213]" miterlimit="8" joinstyle="miter" endarrow="block"/>
                      <v:imagedata o:title=""/>
                      <o:lock v:ext="edit" aspectratio="f"/>
                    </v:shape>
                  </w:pict>
                </mc:Fallback>
              </mc:AlternateContent>
            </w:r>
          </w:p>
          <w:p w14:paraId="2A4DB38C">
            <w:pPr>
              <w:pStyle w:val="46"/>
              <w:spacing w:line="440" w:lineRule="exact"/>
              <w:jc w:val="center"/>
              <w:rPr>
                <w:b/>
                <w:bCs/>
                <w:color w:val="000000" w:themeColor="text1"/>
                <w:sz w:val="24"/>
                <w:szCs w:val="24"/>
                <w14:textFill>
                  <w14:solidFill>
                    <w14:schemeClr w14:val="tx1"/>
                  </w14:solidFill>
                </w14:textFill>
              </w:rPr>
            </w:pPr>
          </w:p>
          <w:p w14:paraId="558ED2D6">
            <w:pPr>
              <w:pStyle w:val="46"/>
              <w:spacing w:line="440" w:lineRule="exact"/>
              <w:jc w:val="center"/>
              <w:rPr>
                <w:b/>
                <w:bCs/>
                <w:color w:val="000000" w:themeColor="text1"/>
                <w:sz w:val="24"/>
                <w14:textFill>
                  <w14:solidFill>
                    <w14:schemeClr w14:val="tx1"/>
                  </w14:solidFill>
                </w14:textFill>
              </w:rPr>
            </w:pPr>
            <w:r>
              <w:rPr>
                <w:rFonts w:hint="eastAsia"/>
                <w:b/>
                <w:bCs/>
                <w:color w:val="000000" w:themeColor="text1"/>
                <w:sz w:val="24"/>
                <w:szCs w:val="24"/>
                <w14:textFill>
                  <w14:solidFill>
                    <w14:schemeClr w14:val="tx1"/>
                  </w14:solidFill>
                </w14:textFill>
              </w:rPr>
              <w:t>图2-7    光伏区运营期工艺流程及产污环节示意图</w:t>
            </w:r>
          </w:p>
        </w:tc>
      </w:tr>
      <w:tr w14:paraId="075C5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9" w:hRule="atLeast"/>
          <w:jc w:val="center"/>
        </w:trPr>
        <w:tc>
          <w:tcPr>
            <w:tcW w:w="300" w:type="pct"/>
            <w:vAlign w:val="center"/>
          </w:tcPr>
          <w:p w14:paraId="1CDB2E3D">
            <w:pPr>
              <w:adjustRightInd w:val="0"/>
              <w:snapToGrid w:val="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服务期满后工艺流程</w:t>
            </w:r>
          </w:p>
        </w:tc>
        <w:tc>
          <w:tcPr>
            <w:tcW w:w="4699" w:type="pct"/>
            <w:vAlign w:val="center"/>
          </w:tcPr>
          <w:p w14:paraId="67EFD3FE">
            <w:pPr>
              <w:autoSpaceDE w:val="0"/>
              <w:autoSpaceDN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服务期满后流程简述：</w:t>
            </w:r>
          </w:p>
          <w:p w14:paraId="0202A50E">
            <w:pPr>
              <w:autoSpaceDE w:val="0"/>
              <w:autoSpaceDN w:val="0"/>
              <w:spacing w:line="440" w:lineRule="exact"/>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本项目运营期为25年，待项目运营期满后，按国家相关要求，将对生产区（电池组件及支架、变压器等）进行全部拆除或者更换，保留进站道路及升压站，清除光伏场区及检修道路地面、恢复至土地原有地貌。</w:t>
            </w:r>
          </w:p>
          <w:p w14:paraId="59B166C0">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1、拆除工作</w:t>
            </w:r>
          </w:p>
          <w:p w14:paraId="69EA167B">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（1）光伏组件的拆除</w:t>
            </w:r>
          </w:p>
          <w:p w14:paraId="6FDB2562">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光伏组件拆除将委托光伏组件厂家进行拆除，拆除顺序为：电池组件拆卸→表土清理→桩基础掘除→表土回铺。光伏组件随拆随清，不暂存，不设临时施工场地。</w:t>
            </w:r>
          </w:p>
          <w:p w14:paraId="529BB961">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本项目光伏组件拆除过程中主要的污染为施工期间表土清理过程产生的施工扬尘以及施工机械产生的机械噪声。</w:t>
            </w:r>
          </w:p>
          <w:p w14:paraId="69DE5D40">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（2）箱逆变拆除</w:t>
            </w:r>
          </w:p>
          <w:p w14:paraId="6772B01D">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箱逆变拆除将委托箱变厂家进行拆除，拆除顺序为：变压器油排出→变压器油收集→箱变拆卸→表土清理→箱变基础掘除→事故油池拆除→表土回铺。箱逆变随拆随清，不暂存，不设临时施工场地。本项目箱逆变拆除过程中主要的污染为施工期间表土清理过程产生的施工扬尘、施工机械产生的机械噪声、变压器油及沾染变压器油的油槽。</w:t>
            </w:r>
          </w:p>
          <w:p w14:paraId="45D5841C">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（3）架空线路拆除</w:t>
            </w:r>
          </w:p>
          <w:p w14:paraId="790DA8E6">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架空线路拆除顺序为：附件拆除→塔干拆除→收线→土方开挖→基础掘除→地表恢复。</w:t>
            </w:r>
          </w:p>
          <w:p w14:paraId="109C0234">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本项目架空线路拆除过程中主要的污染途径为施工期间表土清理过程产生的施工扬尘、施工机械产生的机械噪声、废弃塔基零件及电缆。</w:t>
            </w:r>
          </w:p>
          <w:p w14:paraId="4D640BAA">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（4）地埋线路</w:t>
            </w:r>
          </w:p>
          <w:p w14:paraId="79E14AD6">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本项目地埋线路拆除工艺流程：</w:t>
            </w:r>
          </w:p>
          <w:p w14:paraId="5A27FB83">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①埋沟开挖：采用小型挖掘设备并辅以人工开挖电缆壕沟。开挖出的土石就近堆放在埋沟走向的迎风侧，清理出的表土应将表层耕作土与下层土分别堆放，中间用土工布隔开，上层进行苫盖；</w:t>
            </w:r>
          </w:p>
          <w:p w14:paraId="60611902">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②电缆回收：进行电缆回收；</w:t>
            </w:r>
          </w:p>
          <w:p w14:paraId="39650CF9">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埋沟回填：先用软土或砂按设计厚度回填，然后铺保护板，上部用开挖料回填至电缆沟顶部；④植被恢复：电缆沟施工后立即进行表土回铺并进行场地平整，对于耕地回填时应先填生土，后填耕作熟土，在电缆沟回填及周边扰动区域恢复植被。</w:t>
            </w:r>
          </w:p>
          <w:p w14:paraId="30D4965C">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本项目地埋线路拆除过程中主要的污染为施工期间表土清理过程产生的施工扬尘、施工机械产生的机械噪声及电缆。</w:t>
            </w:r>
          </w:p>
          <w:p w14:paraId="0BD530DD">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光伏电站服务期满后影响主要为：</w:t>
            </w:r>
          </w:p>
          <w:p w14:paraId="473E255A">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（1）拆除过程产生的施工扬尘；</w:t>
            </w:r>
          </w:p>
          <w:p w14:paraId="0CB5EA92">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（2）拆除过程中产生施工机械噪声；</w:t>
            </w:r>
          </w:p>
          <w:p w14:paraId="7966E908">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（3）拆除的太阳能电池板、变压器、废弃变压器油、变压器油槽、废电缆等固体废物；</w:t>
            </w:r>
          </w:p>
          <w:p w14:paraId="55BF118E">
            <w:pPr>
              <w:autoSpaceDE w:val="0"/>
              <w:autoSpaceDN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（4）基础拆除造成生态影响。</w:t>
            </w:r>
          </w:p>
          <w:p w14:paraId="37DD7880">
            <w:pPr>
              <w:pStyle w:val="46"/>
              <w:rPr>
                <w:color w:val="000000" w:themeColor="text1"/>
                <w:sz w:val="24"/>
                <w14:textFill>
                  <w14:solidFill>
                    <w14:schemeClr w14:val="tx1"/>
                  </w14:solidFill>
                </w14:textFill>
              </w:rPr>
            </w:pPr>
          </w:p>
          <w:p w14:paraId="53B2FF76">
            <w:pPr>
              <w:pStyle w:val="46"/>
              <w:rPr>
                <w:color w:val="000000" w:themeColor="text1"/>
                <w:sz w:val="24"/>
                <w14:textFill>
                  <w14:solidFill>
                    <w14:schemeClr w14:val="tx1"/>
                  </w14:solidFill>
                </w14:textFill>
              </w:rPr>
            </w:pPr>
          </w:p>
          <w:p w14:paraId="0BFA4FC8">
            <w:pPr>
              <w:pStyle w:val="46"/>
              <w:rPr>
                <w:color w:val="000000" w:themeColor="text1"/>
                <w:sz w:val="24"/>
                <w14:textFill>
                  <w14:solidFill>
                    <w14:schemeClr w14:val="tx1"/>
                  </w14:solidFill>
                </w14:textFill>
              </w:rPr>
            </w:pPr>
          </w:p>
          <w:p w14:paraId="213AE783">
            <w:pPr>
              <w:pStyle w:val="46"/>
              <w:rPr>
                <w:color w:val="000000" w:themeColor="text1"/>
                <w:sz w:val="24"/>
                <w14:textFill>
                  <w14:solidFill>
                    <w14:schemeClr w14:val="tx1"/>
                  </w14:solidFill>
                </w14:textFill>
              </w:rPr>
            </w:pPr>
          </w:p>
          <w:p w14:paraId="6F0B34FB">
            <w:pPr>
              <w:pStyle w:val="46"/>
              <w:rPr>
                <w:color w:val="000000" w:themeColor="text1"/>
                <w:sz w:val="24"/>
                <w14:textFill>
                  <w14:solidFill>
                    <w14:schemeClr w14:val="tx1"/>
                  </w14:solidFill>
                </w14:textFill>
              </w:rPr>
            </w:pPr>
          </w:p>
          <w:p w14:paraId="3FAD0EEF">
            <w:pPr>
              <w:pStyle w:val="46"/>
              <w:rPr>
                <w:color w:val="000000" w:themeColor="text1"/>
                <w:sz w:val="24"/>
                <w14:textFill>
                  <w14:solidFill>
                    <w14:schemeClr w14:val="tx1"/>
                  </w14:solidFill>
                </w14:textFill>
              </w:rPr>
            </w:pPr>
          </w:p>
          <w:p w14:paraId="0AEA51DC">
            <w:pPr>
              <w:pStyle w:val="46"/>
              <w:rPr>
                <w:color w:val="000000" w:themeColor="text1"/>
                <w:sz w:val="24"/>
                <w14:textFill>
                  <w14:solidFill>
                    <w14:schemeClr w14:val="tx1"/>
                  </w14:solidFill>
                </w14:textFill>
              </w:rPr>
            </w:pPr>
          </w:p>
          <w:p w14:paraId="666A061D">
            <w:pPr>
              <w:pStyle w:val="46"/>
              <w:rPr>
                <w:color w:val="000000" w:themeColor="text1"/>
                <w:sz w:val="24"/>
                <w14:textFill>
                  <w14:solidFill>
                    <w14:schemeClr w14:val="tx1"/>
                  </w14:solidFill>
                </w14:textFill>
              </w:rPr>
            </w:pPr>
          </w:p>
          <w:p w14:paraId="3B2E5639">
            <w:pPr>
              <w:pStyle w:val="46"/>
              <w:rPr>
                <w:color w:val="000000" w:themeColor="text1"/>
                <w:sz w:val="24"/>
                <w14:textFill>
                  <w14:solidFill>
                    <w14:schemeClr w14:val="tx1"/>
                  </w14:solidFill>
                </w14:textFill>
              </w:rPr>
            </w:pPr>
          </w:p>
          <w:p w14:paraId="33083D41">
            <w:pPr>
              <w:pStyle w:val="46"/>
              <w:rPr>
                <w:color w:val="000000" w:themeColor="text1"/>
                <w:sz w:val="24"/>
                <w14:textFill>
                  <w14:solidFill>
                    <w14:schemeClr w14:val="tx1"/>
                  </w14:solidFill>
                </w14:textFill>
              </w:rPr>
            </w:pPr>
          </w:p>
          <w:p w14:paraId="4014CC81">
            <w:pPr>
              <w:pStyle w:val="46"/>
              <w:rPr>
                <w:color w:val="000000" w:themeColor="text1"/>
                <w:sz w:val="24"/>
                <w14:textFill>
                  <w14:solidFill>
                    <w14:schemeClr w14:val="tx1"/>
                  </w14:solidFill>
                </w14:textFill>
              </w:rPr>
            </w:pPr>
          </w:p>
          <w:p w14:paraId="10346A7D">
            <w:pPr>
              <w:pStyle w:val="46"/>
              <w:rPr>
                <w:color w:val="000000" w:themeColor="text1"/>
                <w:sz w:val="24"/>
                <w14:textFill>
                  <w14:solidFill>
                    <w14:schemeClr w14:val="tx1"/>
                  </w14:solidFill>
                </w14:textFill>
              </w:rPr>
            </w:pPr>
          </w:p>
        </w:tc>
      </w:tr>
    </w:tbl>
    <w:p w14:paraId="77CCA1DF">
      <w:pPr>
        <w:ind w:firstLine="420"/>
        <w:rPr>
          <w:color w:val="000000" w:themeColor="text1"/>
          <w14:textFill>
            <w14:solidFill>
              <w14:schemeClr w14:val="tx1"/>
            </w14:solidFill>
          </w14:textFill>
        </w:rPr>
        <w:sectPr>
          <w:pgSz w:w="11906" w:h="16838"/>
          <w:pgMar w:top="1701" w:right="1531" w:bottom="1701" w:left="1531" w:header="851" w:footer="1077" w:gutter="0"/>
          <w:cols w:space="720" w:num="1"/>
          <w:docGrid w:linePitch="312" w:charSpace="0"/>
        </w:sectPr>
      </w:pPr>
    </w:p>
    <w:p w14:paraId="3522F9C7">
      <w:pPr>
        <w:pStyle w:val="61"/>
        <w:ind w:firstLine="600"/>
        <w:jc w:val="center"/>
        <w:outlineLvl w:val="0"/>
        <w:rPr>
          <w:rFonts w:ascii="Times New Roman" w:hAnsi="Times New Roman"/>
          <w:snapToGrid w:val="0"/>
          <w:color w:val="000000" w:themeColor="text1"/>
          <w:sz w:val="30"/>
          <w:szCs w:val="30"/>
          <w14:textFill>
            <w14:solidFill>
              <w14:schemeClr w14:val="tx1"/>
            </w14:solidFill>
          </w14:textFill>
        </w:rPr>
      </w:pPr>
      <w:bookmarkStart w:id="9" w:name="_Toc26589"/>
      <w:bookmarkStart w:id="10" w:name="_Toc7205"/>
      <w:r>
        <w:rPr>
          <w:rFonts w:ascii="黑体" w:hAnsi="黑体" w:eastAsia="黑体"/>
          <w:snapToGrid w:val="0"/>
          <w:color w:val="000000" w:themeColor="text1"/>
          <w:sz w:val="30"/>
          <w:szCs w:val="30"/>
          <w14:textFill>
            <w14:solidFill>
              <w14:schemeClr w14:val="tx1"/>
            </w14:solidFill>
          </w14:textFill>
        </w:rPr>
        <w:t>三、生态环境现状、保护目标及评价标准</w:t>
      </w:r>
      <w:bookmarkEnd w:id="9"/>
      <w:bookmarkEnd w:id="10"/>
    </w:p>
    <w:tbl>
      <w:tblPr>
        <w:tblStyle w:val="6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8081"/>
      </w:tblGrid>
      <w:tr w14:paraId="7D026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Align w:val="center"/>
          </w:tcPr>
          <w:p w14:paraId="2B720755">
            <w:pPr>
              <w:kinsoku w:val="0"/>
              <w:overflowPunct w:val="0"/>
              <w:autoSpaceDE w:val="0"/>
              <w:autoSpaceDN w:val="0"/>
              <w:adjustRightInd w:val="0"/>
              <w:snapToGrid w:val="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生态环境现状</w:t>
            </w:r>
          </w:p>
        </w:tc>
        <w:tc>
          <w:tcPr>
            <w:tcW w:w="4459" w:type="pct"/>
            <w:vAlign w:val="center"/>
          </w:tcPr>
          <w:p w14:paraId="13D3E5B1">
            <w:pPr>
              <w:kinsoku w:val="0"/>
              <w:overflowPunct w:val="0"/>
              <w:autoSpaceDE w:val="0"/>
              <w:autoSpaceDN w:val="0"/>
              <w:adjustRightInd w:val="0"/>
              <w:snapToGrid w:val="0"/>
              <w:spacing w:line="440" w:lineRule="exact"/>
              <w:ind w:firstLine="482" w:firstLineChars="200"/>
              <w:rPr>
                <w:b/>
                <w:color w:val="000000" w:themeColor="text1"/>
                <w:kern w:val="0"/>
                <w:sz w:val="24"/>
                <w14:textFill>
                  <w14:solidFill>
                    <w14:schemeClr w14:val="tx1"/>
                  </w14:solidFill>
                </w14:textFill>
              </w:rPr>
            </w:pPr>
            <w:bookmarkStart w:id="11" w:name="_Toc182978297"/>
            <w:bookmarkStart w:id="12" w:name="_Toc176318832"/>
            <w:bookmarkStart w:id="13" w:name="_Toc181101889"/>
            <w:r>
              <w:rPr>
                <w:b/>
                <w:color w:val="000000" w:themeColor="text1"/>
                <w:kern w:val="0"/>
                <w:sz w:val="24"/>
                <w14:textFill>
                  <w14:solidFill>
                    <w14:schemeClr w14:val="tx1"/>
                  </w14:solidFill>
                </w14:textFill>
              </w:rPr>
              <w:t>1</w:t>
            </w:r>
            <w:r>
              <w:rPr>
                <w:rFonts w:hint="eastAsia"/>
                <w:b/>
                <w:color w:val="000000" w:themeColor="text1"/>
                <w:kern w:val="0"/>
                <w:sz w:val="24"/>
                <w14:textFill>
                  <w14:solidFill>
                    <w14:schemeClr w14:val="tx1"/>
                  </w14:solidFill>
                </w14:textFill>
              </w:rPr>
              <w:t>、主体功能区划</w:t>
            </w:r>
          </w:p>
          <w:p w14:paraId="6DB4EF96">
            <w:pPr>
              <w:kinsoku w:val="0"/>
              <w:overflowPunct w:val="0"/>
              <w:autoSpaceDE w:val="0"/>
              <w:autoSpaceDN w:val="0"/>
              <w:adjustRightInd w:val="0"/>
              <w:snapToGrid w:val="0"/>
              <w:spacing w:line="440" w:lineRule="exact"/>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根据《河北省主体功能区划》，本工程位于唐山市遵化市境内，依据河北省主体功能区划，本工程属国家优化开发区域中的燕山山前平原地区，不涉及禁止开发区和限制开发区。</w:t>
            </w:r>
          </w:p>
          <w:p w14:paraId="3BF90CE2">
            <w:pPr>
              <w:kinsoku w:val="0"/>
              <w:overflowPunct w:val="0"/>
              <w:autoSpaceDE w:val="0"/>
              <w:autoSpaceDN w:val="0"/>
              <w:adjustRightInd w:val="0"/>
              <w:snapToGrid w:val="0"/>
              <w:spacing w:line="440" w:lineRule="exact"/>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该区域的主体功能定位是：中国北方经济中心区的重要组成部分，我国开放合作的新高地，京津冀区域现代工业密集区、高新技术成果转化和先进装备制造业基地，河北省新型工业化基地。</w:t>
            </w:r>
          </w:p>
          <w:p w14:paraId="6B89B4D0">
            <w:pPr>
              <w:kinsoku w:val="0"/>
              <w:overflowPunct w:val="0"/>
              <w:autoSpaceDE w:val="0"/>
              <w:autoSpaceDN w:val="0"/>
              <w:adjustRightInd w:val="0"/>
              <w:snapToGrid w:val="0"/>
              <w:spacing w:line="440" w:lineRule="exact"/>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优化方向和重点涉及环境保护的有以下两点：（1）基础设施。提高东西向综合运输通道的运输能力，全面加强南北向通港的综合运输通道建设。增强城际间客货运输能力，构建京唐、津唐、秦唐、承唐一小时交通圈。加强通讯、供水、环保等基础设施一体化建设。（2）生态建设和环境保护。高起点规划建设南湖城市生态中心区。加强邱庄、陡河水库等重要城市水源地保护，确保城市用水安全。保护和恢复滦河、陡河等河道生态功能。高标准建设水源涵养林、防风固沙林、生态公益林、通道防护林、城市防护林和农田防护林体系。治理采煤塌陷区、尾矿库和废石场，恢复矿山生态。加快重污染企业搬迁，深入开展空气污染综合整治，加强水、噪声、固体废弃物等污染治理。</w:t>
            </w:r>
          </w:p>
          <w:p w14:paraId="6586F1F9">
            <w:pPr>
              <w:kinsoku w:val="0"/>
              <w:overflowPunct w:val="0"/>
              <w:autoSpaceDE w:val="0"/>
              <w:autoSpaceDN w:val="0"/>
              <w:adjustRightInd w:val="0"/>
              <w:snapToGrid w:val="0"/>
              <w:spacing w:line="440" w:lineRule="exact"/>
              <w:ind w:firstLine="480" w:firstLineChars="200"/>
              <w:rPr>
                <w:bCs/>
                <w:color w:val="000000" w:themeColor="text1"/>
                <w:sz w:val="24"/>
                <w:highlight w:val="yellow"/>
                <w14:textFill>
                  <w14:solidFill>
                    <w14:schemeClr w14:val="tx1"/>
                  </w14:solidFill>
                </w14:textFill>
              </w:rPr>
            </w:pPr>
            <w:r>
              <w:rPr>
                <w:rFonts w:hint="eastAsia"/>
                <w:bCs/>
                <w:color w:val="000000" w:themeColor="text1"/>
                <w:kern w:val="0"/>
                <w:sz w:val="24"/>
                <w14:textFill>
                  <w14:solidFill>
                    <w14:schemeClr w14:val="tx1"/>
                  </w14:solidFill>
                </w14:textFill>
              </w:rPr>
              <w:t>本项目太阳能发电站的建设，项目建设有利于提高清洁能源利用能力，项目运行无废气废水外排，不会对所在地区生态造成影响</w:t>
            </w:r>
            <w:r>
              <w:rPr>
                <w:rFonts w:hint="eastAsia"/>
                <w:bCs/>
                <w:color w:val="000000" w:themeColor="text1"/>
                <w:sz w:val="24"/>
                <w14:textFill>
                  <w14:solidFill>
                    <w14:schemeClr w14:val="tx1"/>
                  </w14:solidFill>
                </w14:textFill>
              </w:rPr>
              <w:t>。</w:t>
            </w:r>
          </w:p>
          <w:p w14:paraId="53AB35FC">
            <w:pPr>
              <w:kinsoku w:val="0"/>
              <w:overflowPunct w:val="0"/>
              <w:autoSpaceDE w:val="0"/>
              <w:autoSpaceDN w:val="0"/>
              <w:adjustRightInd w:val="0"/>
              <w:snapToGrid w:val="0"/>
              <w:spacing w:line="440" w:lineRule="exact"/>
              <w:ind w:firstLine="482" w:firstLineChars="200"/>
              <w:jc w:val="left"/>
              <w:rPr>
                <w:b/>
                <w:bCs/>
                <w:color w:val="000000" w:themeColor="text1"/>
                <w:sz w:val="24"/>
                <w:lang w:val="zh-CN"/>
                <w14:textFill>
                  <w14:solidFill>
                    <w14:schemeClr w14:val="tx1"/>
                  </w14:solidFill>
                </w14:textFill>
              </w:rPr>
            </w:pPr>
            <w:r>
              <w:rPr>
                <w:rFonts w:hint="eastAsia"/>
                <w:b/>
                <w:bCs/>
                <w:color w:val="000000" w:themeColor="text1"/>
                <w:sz w:val="24"/>
                <w14:textFill>
                  <w14:solidFill>
                    <w14:schemeClr w14:val="tx1"/>
                  </w14:solidFill>
                </w14:textFill>
              </w:rPr>
              <w:t>2、生态功能区划</w:t>
            </w:r>
          </w:p>
          <w:p w14:paraId="2688AAB8">
            <w:pPr>
              <w:kinsoku w:val="0"/>
              <w:overflowPunct w:val="0"/>
              <w:autoSpaceDE w:val="0"/>
              <w:autoSpaceDN w:val="0"/>
              <w:adjustRightInd w:val="0"/>
              <w:snapToGrid w:val="0"/>
              <w:spacing w:line="44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河北省唐山市遵化市铁厂镇，根据《河北省生态功能区划》，沿线区域属于Ⅱ：河北山地生态区—Ⅱ1：冀北及燕山山地森林生态亚区—Ⅱ1-5：兴隆、遵化东部人文景观、生物多样性保护与水源涵养生态服务功能区。</w:t>
            </w:r>
            <w:r>
              <w:rPr>
                <w:rFonts w:hint="eastAsia"/>
                <w:color w:val="000000" w:themeColor="text1"/>
                <w:sz w:val="24"/>
                <w14:textFill>
                  <w14:solidFill>
                    <w14:schemeClr w14:val="tx1"/>
                  </w14:solidFill>
                </w14:textFill>
              </w:rPr>
              <w:t>本项目属于电力、热力生产和供应业，与区域生态功能区划发展方向不冲突。</w:t>
            </w:r>
          </w:p>
          <w:p w14:paraId="1292585E">
            <w:pPr>
              <w:kinsoku w:val="0"/>
              <w:overflowPunct w:val="0"/>
              <w:autoSpaceDE w:val="0"/>
              <w:autoSpaceDN w:val="0"/>
              <w:adjustRightInd w:val="0"/>
              <w:snapToGrid w:val="0"/>
              <w:spacing w:line="440" w:lineRule="exact"/>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生态功能区概况见表3-1。</w:t>
            </w:r>
          </w:p>
          <w:p w14:paraId="7B9B1D9C">
            <w:pPr>
              <w:kinsoku w:val="0"/>
              <w:overflowPunct w:val="0"/>
              <w:autoSpaceDE w:val="0"/>
              <w:autoSpaceDN w:val="0"/>
              <w:adjustRightInd w:val="0"/>
              <w:snapToGrid w:val="0"/>
              <w:spacing w:line="440" w:lineRule="exact"/>
              <w:ind w:firstLine="482"/>
              <w:rPr>
                <w:b/>
                <w:color w:val="000000" w:themeColor="text1"/>
                <w:sz w:val="24"/>
                <w:szCs w:val="32"/>
                <w14:textFill>
                  <w14:solidFill>
                    <w14:schemeClr w14:val="tx1"/>
                  </w14:solidFill>
                </w14:textFill>
              </w:rPr>
            </w:pPr>
          </w:p>
          <w:p w14:paraId="0BF425C0">
            <w:pPr>
              <w:kinsoku w:val="0"/>
              <w:overflowPunct w:val="0"/>
              <w:autoSpaceDE w:val="0"/>
              <w:autoSpaceDN w:val="0"/>
              <w:adjustRightInd w:val="0"/>
              <w:snapToGrid w:val="0"/>
              <w:spacing w:line="440" w:lineRule="exact"/>
              <w:ind w:firstLine="482"/>
              <w:rPr>
                <w:b/>
                <w:color w:val="000000" w:themeColor="text1"/>
                <w:sz w:val="24"/>
                <w:szCs w:val="32"/>
                <w14:textFill>
                  <w14:solidFill>
                    <w14:schemeClr w14:val="tx1"/>
                  </w14:solidFill>
                </w14:textFill>
              </w:rPr>
            </w:pPr>
          </w:p>
          <w:p w14:paraId="5AD3495A">
            <w:pPr>
              <w:kinsoku w:val="0"/>
              <w:overflowPunct w:val="0"/>
              <w:autoSpaceDE w:val="0"/>
              <w:autoSpaceDN w:val="0"/>
              <w:adjustRightInd w:val="0"/>
              <w:snapToGrid w:val="0"/>
              <w:spacing w:line="440" w:lineRule="exact"/>
              <w:ind w:firstLine="482"/>
              <w:rPr>
                <w:b/>
                <w:color w:val="000000" w:themeColor="text1"/>
                <w14:textFill>
                  <w14:solidFill>
                    <w14:schemeClr w14:val="tx1"/>
                  </w14:solidFill>
                </w14:textFill>
              </w:rPr>
            </w:pPr>
            <w:r>
              <w:rPr>
                <w:rFonts w:hint="eastAsia"/>
                <w:b/>
                <w:color w:val="000000" w:themeColor="text1"/>
                <w:sz w:val="24"/>
                <w:szCs w:val="32"/>
                <w14:textFill>
                  <w14:solidFill>
                    <w14:schemeClr w14:val="tx1"/>
                  </w14:solidFill>
                </w14:textFill>
              </w:rPr>
              <w:t>表3-1    生态功能区概况</w:t>
            </w:r>
          </w:p>
          <w:tbl>
            <w:tblPr>
              <w:tblStyle w:val="66"/>
              <w:tblW w:w="49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28" w:type="dxa"/>
                <w:bottom w:w="0" w:type="dxa"/>
                <w:right w:w="28" w:type="dxa"/>
              </w:tblCellMar>
            </w:tblPr>
            <w:tblGrid>
              <w:gridCol w:w="1620"/>
              <w:gridCol w:w="1377"/>
              <w:gridCol w:w="1370"/>
              <w:gridCol w:w="963"/>
              <w:gridCol w:w="2521"/>
            </w:tblGrid>
            <w:tr w14:paraId="34F8A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430" w:hRule="atLeast"/>
                <w:jc w:val="center"/>
              </w:trPr>
              <w:tc>
                <w:tcPr>
                  <w:tcW w:w="1032" w:type="pct"/>
                  <w:tcBorders>
                    <w:left w:val="single" w:color="000000" w:sz="2" w:space="0"/>
                    <w:right w:val="single" w:color="000000" w:sz="2" w:space="0"/>
                  </w:tcBorders>
                  <w:vAlign w:val="center"/>
                </w:tcPr>
                <w:p w14:paraId="29F4C798">
                  <w:pPr>
                    <w:kinsoku w:val="0"/>
                    <w:overflowPunct w:val="0"/>
                    <w:autoSpaceDE w:val="0"/>
                    <w:autoSpaceDN w:val="0"/>
                    <w:adjustRightInd w:val="0"/>
                    <w:snapToGrid w:val="0"/>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生态功能区名称</w:t>
                  </w:r>
                </w:p>
              </w:tc>
              <w:tc>
                <w:tcPr>
                  <w:tcW w:w="877" w:type="pct"/>
                  <w:tcBorders>
                    <w:top w:val="single" w:color="000000" w:sz="2" w:space="0"/>
                    <w:left w:val="single" w:color="000000" w:sz="2" w:space="0"/>
                    <w:bottom w:val="single" w:color="000000" w:sz="2" w:space="0"/>
                    <w:right w:val="single" w:color="000000" w:sz="2" w:space="0"/>
                  </w:tcBorders>
                  <w:vAlign w:val="center"/>
                </w:tcPr>
                <w:p w14:paraId="7802CF77">
                  <w:pPr>
                    <w:kinsoku w:val="0"/>
                    <w:overflowPunct w:val="0"/>
                    <w:autoSpaceDE w:val="0"/>
                    <w:autoSpaceDN w:val="0"/>
                    <w:adjustRightInd w:val="0"/>
                    <w:snapToGrid w:val="0"/>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主要生态环境问题</w:t>
                  </w:r>
                </w:p>
              </w:tc>
              <w:tc>
                <w:tcPr>
                  <w:tcW w:w="872" w:type="pct"/>
                  <w:tcBorders>
                    <w:top w:val="single" w:color="000000" w:sz="2" w:space="0"/>
                    <w:left w:val="single" w:color="000000" w:sz="2" w:space="0"/>
                    <w:bottom w:val="single" w:color="000000" w:sz="2" w:space="0"/>
                    <w:right w:val="single" w:color="auto" w:sz="4" w:space="0"/>
                  </w:tcBorders>
                  <w:vAlign w:val="center"/>
                </w:tcPr>
                <w:p w14:paraId="7ECBA7E1">
                  <w:pPr>
                    <w:kinsoku w:val="0"/>
                    <w:overflowPunct w:val="0"/>
                    <w:autoSpaceDE w:val="0"/>
                    <w:autoSpaceDN w:val="0"/>
                    <w:adjustRightInd w:val="0"/>
                    <w:snapToGrid w:val="0"/>
                    <w:spacing w:line="360" w:lineRule="exact"/>
                    <w:jc w:val="center"/>
                    <w:rPr>
                      <w:bCs/>
                      <w:color w:val="000000" w:themeColor="text1"/>
                      <w:szCs w:val="21"/>
                      <w:lang w:val="en-GB"/>
                      <w14:textFill>
                        <w14:solidFill>
                          <w14:schemeClr w14:val="tx1"/>
                        </w14:solidFill>
                      </w14:textFill>
                    </w:rPr>
                  </w:pPr>
                  <w:r>
                    <w:rPr>
                      <w:bCs/>
                      <w:color w:val="000000" w:themeColor="text1"/>
                      <w:szCs w:val="21"/>
                      <w14:textFill>
                        <w14:solidFill>
                          <w14:schemeClr w14:val="tx1"/>
                        </w14:solidFill>
                      </w14:textFill>
                    </w:rPr>
                    <w:t>生态环境敏感性</w:t>
                  </w:r>
                </w:p>
              </w:tc>
              <w:tc>
                <w:tcPr>
                  <w:tcW w:w="613" w:type="pct"/>
                  <w:tcBorders>
                    <w:top w:val="single" w:color="000000" w:sz="2" w:space="0"/>
                    <w:left w:val="single" w:color="auto" w:sz="4" w:space="0"/>
                    <w:bottom w:val="single" w:color="000000" w:sz="2" w:space="0"/>
                    <w:right w:val="single" w:color="000000" w:sz="2" w:space="0"/>
                  </w:tcBorders>
                  <w:vAlign w:val="center"/>
                </w:tcPr>
                <w:p w14:paraId="7A7136D2">
                  <w:pPr>
                    <w:kinsoku w:val="0"/>
                    <w:overflowPunct w:val="0"/>
                    <w:autoSpaceDE w:val="0"/>
                    <w:autoSpaceDN w:val="0"/>
                    <w:adjustRightInd w:val="0"/>
                    <w:snapToGrid w:val="0"/>
                    <w:spacing w:line="360" w:lineRule="exact"/>
                    <w:jc w:val="center"/>
                    <w:rPr>
                      <w:bCs/>
                      <w:color w:val="000000" w:themeColor="text1"/>
                      <w:szCs w:val="21"/>
                      <w:lang w:val="en-GB"/>
                      <w14:textFill>
                        <w14:solidFill>
                          <w14:schemeClr w14:val="tx1"/>
                        </w14:solidFill>
                      </w14:textFill>
                    </w:rPr>
                  </w:pPr>
                  <w:r>
                    <w:rPr>
                      <w:bCs/>
                      <w:color w:val="000000" w:themeColor="text1"/>
                      <w:szCs w:val="21"/>
                      <w14:textFill>
                        <w14:solidFill>
                          <w14:schemeClr w14:val="tx1"/>
                        </w14:solidFill>
                      </w14:textFill>
                    </w:rPr>
                    <w:t>主要生态系统服务功能</w:t>
                  </w:r>
                </w:p>
              </w:tc>
              <w:tc>
                <w:tcPr>
                  <w:tcW w:w="1605" w:type="pct"/>
                  <w:tcBorders>
                    <w:top w:val="single" w:color="000000" w:sz="2" w:space="0"/>
                    <w:left w:val="single" w:color="auto" w:sz="4" w:space="0"/>
                    <w:bottom w:val="single" w:color="000000" w:sz="2" w:space="0"/>
                    <w:right w:val="single" w:color="000000" w:sz="2" w:space="0"/>
                  </w:tcBorders>
                  <w:vAlign w:val="center"/>
                </w:tcPr>
                <w:p w14:paraId="09C8DC01">
                  <w:pPr>
                    <w:kinsoku w:val="0"/>
                    <w:overflowPunct w:val="0"/>
                    <w:autoSpaceDE w:val="0"/>
                    <w:autoSpaceDN w:val="0"/>
                    <w:adjustRightInd w:val="0"/>
                    <w:snapToGrid w:val="0"/>
                    <w:spacing w:line="360" w:lineRule="exact"/>
                    <w:jc w:val="center"/>
                    <w:rPr>
                      <w:bCs/>
                      <w:color w:val="000000" w:themeColor="text1"/>
                      <w:szCs w:val="21"/>
                      <w:lang w:val="en-GB"/>
                      <w14:textFill>
                        <w14:solidFill>
                          <w14:schemeClr w14:val="tx1"/>
                        </w14:solidFill>
                      </w14:textFill>
                    </w:rPr>
                  </w:pPr>
                  <w:r>
                    <w:rPr>
                      <w:bCs/>
                      <w:color w:val="000000" w:themeColor="text1"/>
                      <w:szCs w:val="21"/>
                      <w14:textFill>
                        <w14:solidFill>
                          <w14:schemeClr w14:val="tx1"/>
                        </w14:solidFill>
                      </w14:textFill>
                    </w:rPr>
                    <w:t>保护措施与发展方向</w:t>
                  </w:r>
                </w:p>
              </w:tc>
            </w:tr>
            <w:tr w14:paraId="43041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0" w:hRule="atLeast"/>
                <w:jc w:val="center"/>
              </w:trPr>
              <w:tc>
                <w:tcPr>
                  <w:tcW w:w="1032" w:type="pct"/>
                  <w:tcBorders>
                    <w:left w:val="single" w:color="000000" w:sz="2" w:space="0"/>
                    <w:right w:val="single" w:color="000000" w:sz="2" w:space="0"/>
                  </w:tcBorders>
                  <w:vAlign w:val="center"/>
                </w:tcPr>
                <w:p w14:paraId="572C249F">
                  <w:pPr>
                    <w:kinsoku w:val="0"/>
                    <w:overflowPunct w:val="0"/>
                    <w:autoSpaceDE w:val="0"/>
                    <w:autoSpaceDN w:val="0"/>
                    <w:adjustRightInd w:val="0"/>
                    <w:snapToGrid w:val="0"/>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Ⅱ1-5：兴隆、遵化东部人文景观、生物多样性保护与水源涵养生态服务功能区</w:t>
                  </w:r>
                </w:p>
              </w:tc>
              <w:tc>
                <w:tcPr>
                  <w:tcW w:w="877" w:type="pct"/>
                  <w:tcBorders>
                    <w:top w:val="single" w:color="000000" w:sz="2" w:space="0"/>
                    <w:left w:val="single" w:color="000000" w:sz="2" w:space="0"/>
                    <w:bottom w:val="single" w:color="000000" w:sz="2" w:space="0"/>
                    <w:right w:val="single" w:color="000000" w:sz="2" w:space="0"/>
                  </w:tcBorders>
                  <w:vAlign w:val="center"/>
                </w:tcPr>
                <w:p w14:paraId="675A589D">
                  <w:pPr>
                    <w:kinsoku w:val="0"/>
                    <w:overflowPunct w:val="0"/>
                    <w:autoSpaceDE w:val="0"/>
                    <w:autoSpaceDN w:val="0"/>
                    <w:adjustRightInd w:val="0"/>
                    <w:snapToGrid w:val="0"/>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风景名胜区生态环境质量下降，森林生态系统服务功能降低</w:t>
                  </w:r>
                </w:p>
              </w:tc>
              <w:tc>
                <w:tcPr>
                  <w:tcW w:w="872" w:type="pct"/>
                </w:tcPr>
                <w:p w14:paraId="4638C592">
                  <w:pPr>
                    <w:kinsoku w:val="0"/>
                    <w:overflowPunct w:val="0"/>
                    <w:autoSpaceDE w:val="0"/>
                    <w:autoSpaceDN w:val="0"/>
                    <w:adjustRightInd w:val="0"/>
                    <w:snapToGrid w:val="0"/>
                    <w:spacing w:line="360" w:lineRule="exact"/>
                    <w:jc w:val="center"/>
                    <w:rPr>
                      <w:rFonts w:ascii="宋体" w:hAnsi="宋体"/>
                      <w:bCs/>
                      <w:color w:val="000000" w:themeColor="text1"/>
                      <w:szCs w:val="32"/>
                      <w14:textFill>
                        <w14:solidFill>
                          <w14:schemeClr w14:val="tx1"/>
                        </w14:solidFill>
                      </w14:textFill>
                    </w:rPr>
                  </w:pPr>
                  <w:r>
                    <w:rPr>
                      <w:rFonts w:ascii="宋体" w:hAnsi="宋体"/>
                      <w:bCs/>
                      <w:color w:val="000000" w:themeColor="text1"/>
                      <w:szCs w:val="32"/>
                      <w14:textFill>
                        <w14:solidFill>
                          <w14:schemeClr w14:val="tx1"/>
                        </w14:solidFill>
                      </w14:textFill>
                    </w:rPr>
                    <w:t>土壤侵蚀敏感、水环境污染敏感</w:t>
                  </w:r>
                </w:p>
              </w:tc>
              <w:tc>
                <w:tcPr>
                  <w:tcW w:w="613" w:type="pct"/>
                </w:tcPr>
                <w:p w14:paraId="236236E3">
                  <w:pPr>
                    <w:kinsoku w:val="0"/>
                    <w:overflowPunct w:val="0"/>
                    <w:autoSpaceDE w:val="0"/>
                    <w:autoSpaceDN w:val="0"/>
                    <w:adjustRightInd w:val="0"/>
                    <w:snapToGrid w:val="0"/>
                    <w:spacing w:line="360" w:lineRule="exact"/>
                    <w:jc w:val="center"/>
                    <w:rPr>
                      <w:rFonts w:ascii="宋体" w:hAnsi="宋体"/>
                      <w:bCs/>
                      <w:color w:val="000000" w:themeColor="text1"/>
                      <w:szCs w:val="32"/>
                      <w14:textFill>
                        <w14:solidFill>
                          <w14:schemeClr w14:val="tx1"/>
                        </w14:solidFill>
                      </w14:textFill>
                    </w:rPr>
                  </w:pPr>
                  <w:r>
                    <w:rPr>
                      <w:rFonts w:ascii="宋体" w:hAnsi="宋体"/>
                      <w:bCs/>
                      <w:color w:val="000000" w:themeColor="text1"/>
                      <w:szCs w:val="32"/>
                      <w14:textFill>
                        <w14:solidFill>
                          <w14:schemeClr w14:val="tx1"/>
                        </w14:solidFill>
                      </w14:textFill>
                    </w:rPr>
                    <w:t>水源涵养、水土保持、农业生产</w:t>
                  </w:r>
                </w:p>
              </w:tc>
              <w:tc>
                <w:tcPr>
                  <w:tcW w:w="1605" w:type="pct"/>
                </w:tcPr>
                <w:p w14:paraId="77661403">
                  <w:pPr>
                    <w:kinsoku w:val="0"/>
                    <w:overflowPunct w:val="0"/>
                    <w:autoSpaceDE w:val="0"/>
                    <w:autoSpaceDN w:val="0"/>
                    <w:adjustRightInd w:val="0"/>
                    <w:snapToGrid w:val="0"/>
                    <w:spacing w:line="360" w:lineRule="exact"/>
                    <w:jc w:val="center"/>
                    <w:rPr>
                      <w:rFonts w:ascii="宋体" w:hAnsi="宋体"/>
                      <w:bCs/>
                      <w:color w:val="000000" w:themeColor="text1"/>
                      <w:szCs w:val="32"/>
                      <w14:textFill>
                        <w14:solidFill>
                          <w14:schemeClr w14:val="tx1"/>
                        </w14:solidFill>
                      </w14:textFill>
                    </w:rPr>
                  </w:pPr>
                  <w:r>
                    <w:rPr>
                      <w:rFonts w:ascii="宋体" w:hAnsi="宋体"/>
                      <w:bCs/>
                      <w:color w:val="000000" w:themeColor="text1"/>
                      <w:szCs w:val="32"/>
                      <w14:textFill>
                        <w14:solidFill>
                          <w14:schemeClr w14:val="tx1"/>
                        </w14:solidFill>
                      </w14:textFill>
                    </w:rPr>
                    <w:t>加大退耕还林力度，增加植被覆盖度，开展具有生态特色的林果生产，开展生态旅游业，改善水环境质量，加强矿山环境保护管理</w:t>
                  </w:r>
                </w:p>
              </w:tc>
            </w:tr>
          </w:tbl>
          <w:p w14:paraId="7131E1B8">
            <w:pPr>
              <w:kinsoku w:val="0"/>
              <w:overflowPunct w:val="0"/>
              <w:autoSpaceDE w:val="0"/>
              <w:autoSpaceDN w:val="0"/>
              <w:adjustRightInd w:val="0"/>
              <w:snapToGrid w:val="0"/>
              <w:spacing w:line="440" w:lineRule="exact"/>
              <w:ind w:firstLine="482"/>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125730</wp:posOffset>
                  </wp:positionH>
                  <wp:positionV relativeFrom="paragraph">
                    <wp:posOffset>245110</wp:posOffset>
                  </wp:positionV>
                  <wp:extent cx="4466590" cy="5774055"/>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rcRect b="3101"/>
                          <a:stretch>
                            <a:fillRect/>
                          </a:stretch>
                        </pic:blipFill>
                        <pic:spPr>
                          <a:xfrm>
                            <a:off x="0" y="0"/>
                            <a:ext cx="4466590" cy="5774055"/>
                          </a:xfrm>
                          <a:prstGeom prst="rect">
                            <a:avLst/>
                          </a:prstGeom>
                          <a:noFill/>
                          <a:ln>
                            <a:noFill/>
                          </a:ln>
                        </pic:spPr>
                      </pic:pic>
                    </a:graphicData>
                  </a:graphic>
                </wp:anchor>
              </w:drawing>
            </w:r>
            <w:r>
              <w:rPr>
                <w:rFonts w:hint="eastAsia"/>
                <w:color w:val="000000" w:themeColor="text1"/>
                <w:sz w:val="24"/>
                <w14:textFill>
                  <w14:solidFill>
                    <w14:schemeClr w14:val="tx1"/>
                  </w14:solidFill>
                </w14:textFill>
              </w:rPr>
              <w:t>项目所在区域生态功能区划见图3-1。</w:t>
            </w:r>
          </w:p>
          <w:p w14:paraId="5EE8B7AF">
            <w:pPr>
              <w:kinsoku w:val="0"/>
              <w:overflowPunct w:val="0"/>
              <w:autoSpaceDE w:val="0"/>
              <w:autoSpaceDN w:val="0"/>
              <w:adjustRightInd w:val="0"/>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4049395</wp:posOffset>
                      </wp:positionH>
                      <wp:positionV relativeFrom="paragraph">
                        <wp:posOffset>8255</wp:posOffset>
                      </wp:positionV>
                      <wp:extent cx="474980" cy="623570"/>
                      <wp:effectExtent l="0" t="0" r="0" b="43180"/>
                      <wp:wrapNone/>
                      <wp:docPr id="556216301" name="组合 1786"/>
                      <wp:cNvGraphicFramePr/>
                      <a:graphic xmlns:a="http://schemas.openxmlformats.org/drawingml/2006/main">
                        <a:graphicData uri="http://schemas.microsoft.com/office/word/2010/wordprocessingGroup">
                          <wpg:wgp>
                            <wpg:cNvGrpSpPr/>
                            <wpg:grpSpPr>
                              <a:xfrm>
                                <a:off x="0" y="0"/>
                                <a:ext cx="474980" cy="623570"/>
                                <a:chOff x="2700" y="5229"/>
                                <a:chExt cx="748" cy="982"/>
                              </a:xfrm>
                            </wpg:grpSpPr>
                            <wps:wsp>
                              <wps:cNvPr id="1152539383" name="文本框 10"/>
                              <wps:cNvSpPr txBox="1">
                                <a:spLocks noChangeArrowheads="1"/>
                              </wps:cNvSpPr>
                              <wps:spPr bwMode="auto">
                                <a:xfrm>
                                  <a:off x="2700" y="5229"/>
                                  <a:ext cx="748" cy="388"/>
                                </a:xfrm>
                                <a:prstGeom prst="rect">
                                  <a:avLst/>
                                </a:prstGeom>
                                <a:noFill/>
                                <a:ln>
                                  <a:noFill/>
                                </a:ln>
                              </wps:spPr>
                              <wps:txbx>
                                <w:txbxContent>
                                  <w:p w14:paraId="785A8260">
                                    <w:pPr>
                                      <w:jc w:val="center"/>
                                      <w:rPr>
                                        <w:b/>
                                        <w:color w:val="FF0000"/>
                                        <w:sz w:val="20"/>
                                      </w:rPr>
                                    </w:pPr>
                                    <w:r>
                                      <w:rPr>
                                        <w:rFonts w:hint="eastAsia"/>
                                        <w:b/>
                                        <w:color w:val="FF0000"/>
                                        <w:sz w:val="20"/>
                                      </w:rPr>
                                      <w:t>N</w:t>
                                    </w:r>
                                  </w:p>
                                </w:txbxContent>
                              </wps:txbx>
                              <wps:bodyPr rot="0" vert="horz" wrap="square" lIns="0" tIns="0" rIns="0" bIns="0" anchor="t" anchorCtr="0" upright="1">
                                <a:noAutofit/>
                              </wps:bodyPr>
                            </wps:wsp>
                            <wpg:grpSp>
                              <wpg:cNvPr id="86151364" name="组合 1788"/>
                              <wpg:cNvGrpSpPr/>
                              <wpg:grpSpPr>
                                <a:xfrm>
                                  <a:off x="2819" y="5513"/>
                                  <a:ext cx="547" cy="698"/>
                                  <a:chOff x="14649" y="5629"/>
                                  <a:chExt cx="442" cy="567"/>
                                </a:xfrm>
                              </wpg:grpSpPr>
                              <wps:wsp>
                                <wps:cNvPr id="1060664431" name="Oval 3"/>
                                <wps:cNvSpPr>
                                  <a:spLocks noChangeAspect="1" noChangeArrowheads="1"/>
                                </wps:cNvSpPr>
                                <wps:spPr bwMode="auto">
                                  <a:xfrm>
                                    <a:off x="14649" y="5755"/>
                                    <a:ext cx="442" cy="368"/>
                                  </a:xfrm>
                                  <a:prstGeom prst="ellipse">
                                    <a:avLst/>
                                  </a:prstGeom>
                                  <a:solidFill>
                                    <a:srgbClr val="FFFFFF"/>
                                  </a:solidFill>
                                  <a:ln w="15875">
                                    <a:solidFill>
                                      <a:srgbClr val="FF00FF"/>
                                    </a:solidFill>
                                    <a:round/>
                                  </a:ln>
                                </wps:spPr>
                                <wps:bodyPr rot="0" vert="horz" wrap="square" lIns="91440" tIns="45720" rIns="91440" bIns="45720" anchor="t" anchorCtr="0" upright="1">
                                  <a:noAutofit/>
                                </wps:bodyPr>
                              </wps:wsp>
                              <wps:wsp>
                                <wps:cNvPr id="1741324372" name="Freeform 4"/>
                                <wps:cNvSpPr>
                                  <a:spLocks noChangeAspect="1"/>
                                </wps:cNvSpPr>
                                <wps:spPr bwMode="auto">
                                  <a:xfrm>
                                    <a:off x="14697" y="5632"/>
                                    <a:ext cx="174" cy="564"/>
                                  </a:xfrm>
                                  <a:custGeom>
                                    <a:avLst/>
                                    <a:gdLst>
                                      <a:gd name="T0" fmla="*/ 67 w 450"/>
                                      <a:gd name="T1" fmla="*/ 6 h 1685"/>
                                      <a:gd name="T2" fmla="*/ 67 w 450"/>
                                      <a:gd name="T3" fmla="*/ 132 h 1685"/>
                                      <a:gd name="T4" fmla="*/ 0 w 450"/>
                                      <a:gd name="T5" fmla="*/ 189 h 1685"/>
                                      <a:gd name="T6" fmla="*/ 67 w 450"/>
                                      <a:gd name="T7" fmla="*/ 0 h 1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0" h="1685">
                                        <a:moveTo>
                                          <a:pt x="450" y="53"/>
                                        </a:moveTo>
                                        <a:lnTo>
                                          <a:pt x="449" y="1177"/>
                                        </a:lnTo>
                                        <a:lnTo>
                                          <a:pt x="0" y="1685"/>
                                        </a:lnTo>
                                        <a:lnTo>
                                          <a:pt x="450" y="0"/>
                                        </a:lnTo>
                                      </a:path>
                                    </a:pathLst>
                                  </a:custGeom>
                                  <a:solidFill>
                                    <a:srgbClr val="FFFFFF"/>
                                  </a:solidFill>
                                  <a:ln w="15875">
                                    <a:solidFill>
                                      <a:srgbClr val="008000"/>
                                    </a:solidFill>
                                    <a:round/>
                                  </a:ln>
                                </wps:spPr>
                                <wps:bodyPr rot="0" vert="horz" wrap="square" lIns="91440" tIns="45720" rIns="91440" bIns="45720" anchor="t" anchorCtr="0" upright="1">
                                  <a:noAutofit/>
                                </wps:bodyPr>
                              </wps:wsp>
                              <wps:wsp>
                                <wps:cNvPr id="568039661" name="Freeform 6" descr="深色下对角线"/>
                                <wps:cNvSpPr>
                                  <a:spLocks noChangeAspect="1"/>
                                </wps:cNvSpPr>
                                <wps:spPr bwMode="auto">
                                  <a:xfrm>
                                    <a:off x="14869" y="5629"/>
                                    <a:ext cx="174" cy="563"/>
                                  </a:xfrm>
                                  <a:custGeom>
                                    <a:avLst/>
                                    <a:gdLst>
                                      <a:gd name="T0" fmla="*/ 0 w 450"/>
                                      <a:gd name="T1" fmla="*/ 6 h 1685"/>
                                      <a:gd name="T2" fmla="*/ 0 w 450"/>
                                      <a:gd name="T3" fmla="*/ 135 h 1685"/>
                                      <a:gd name="T4" fmla="*/ 67 w 450"/>
                                      <a:gd name="T5" fmla="*/ 188 h 1685"/>
                                      <a:gd name="T6" fmla="*/ 0 w 450"/>
                                      <a:gd name="T7" fmla="*/ 0 h 1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0" h="1685">
                                        <a:moveTo>
                                          <a:pt x="0" y="53"/>
                                        </a:moveTo>
                                        <a:lnTo>
                                          <a:pt x="2" y="1209"/>
                                        </a:lnTo>
                                        <a:lnTo>
                                          <a:pt x="450" y="1685"/>
                                        </a:lnTo>
                                        <a:lnTo>
                                          <a:pt x="0" y="0"/>
                                        </a:lnTo>
                                      </a:path>
                                    </a:pathLst>
                                  </a:custGeom>
                                  <a:blipFill dpi="0" rotWithShape="0">
                                    <a:blip r:embed="rId11"/>
                                    <a:srcRect/>
                                    <a:tile tx="0" ty="0" sx="100000" sy="100000" flip="none" algn="tl"/>
                                  </a:blipFill>
                                  <a:ln w="15875">
                                    <a:solidFill>
                                      <a:srgbClr val="FF0000"/>
                                    </a:solidFill>
                                    <a:round/>
                                  </a:ln>
                                </wps:spPr>
                                <wps:bodyPr rot="0" vert="horz" wrap="square" lIns="91440" tIns="45720" rIns="91440" bIns="45720" anchor="t" anchorCtr="0" upright="1">
                                  <a:noAutofit/>
                                </wps:bodyPr>
                              </wps:wsp>
                            </wpg:grpSp>
                          </wpg:wgp>
                        </a:graphicData>
                      </a:graphic>
                    </wp:anchor>
                  </w:drawing>
                </mc:Choice>
                <mc:Fallback>
                  <w:pict>
                    <v:group id="组合 1786" o:spid="_x0000_s1026" o:spt="203" style="position:absolute;left:0pt;margin-left:318.85pt;margin-top:0.65pt;height:49.1pt;width:37.4pt;z-index:251660288;mso-width-relative:page;mso-height-relative:page;" coordorigin="2700,5229" coordsize="748,982" o:gfxdata="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">
                      <o:lock v:ext="edit" aspectratio="f"/>
                      <v:shape id="文本框 10" o:spid="_x0000_s1026" o:spt="202" type="#_x0000_t202" style="position:absolute;left:2700;top:5229;height:388;width:748;" filled="f" stroked="f" coordsize="21600,21600" o:gfxdata="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41&#10;H0XCAAAA4wAAAA8AAAAAAAAAAQAgAAAAIgAAAGRycy9kb3ducmV2LnhtbFBLAQIUABQAAAAIAIdO&#10;4kAzLwWeOwAAADkAAAAQAAAAAAAAAAEAIAAAABEBAABkcnMvc2hhcGV4bWwueG1sUEsFBgAAAAAG&#10;AAYAWwEAALsDAAAAAA==&#10;">
                        <v:fill on="f" focussize="0,0"/>
                        <v:stroke on="f"/>
                        <v:imagedata o:title=""/>
                        <o:lock v:ext="edit" aspectratio="f"/>
                        <v:textbox inset="0mm,0mm,0mm,0mm">
                          <w:txbxContent>
                            <w:p w14:paraId="785A8260">
                              <w:pPr>
                                <w:jc w:val="center"/>
                                <w:rPr>
                                  <w:b/>
                                  <w:color w:val="FF0000"/>
                                  <w:sz w:val="20"/>
                                </w:rPr>
                              </w:pPr>
                              <w:r>
                                <w:rPr>
                                  <w:rFonts w:hint="eastAsia"/>
                                  <w:b/>
                                  <w:color w:val="FF0000"/>
                                  <w:sz w:val="20"/>
                                </w:rPr>
                                <w:t>N</w:t>
                              </w:r>
                            </w:p>
                          </w:txbxContent>
                        </v:textbox>
                      </v:shape>
                      <v:group id="组合 1788" o:spid="_x0000_s1026" o:spt="203" style="position:absolute;left:2819;top:5513;height:698;width:547;" coordorigin="14649,5629" coordsize="442,567" o:gfxdata="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XA5/UMMAAADhAAAADwAAAAAAAAABACAAAAAiAAAAZHJzL2Rvd25y&#10;ZXYueG1sUEsBAhQAFAAAAAgAh07iQDMvBZ47AAAAOQAAABUAAAAAAAAAAQAgAAAAEgEAAGRycy9n&#10;cm91cHNoYXBleG1sLnhtbFBLBQYAAAAABgAGAGABAADPAwAAAAA=&#10;">
                        <o:lock v:ext="edit" aspectratio="f"/>
                        <v:shape id="Oval 3" o:spid="_x0000_s1026" o:spt="3" type="#_x0000_t3" style="position:absolute;left:14649;top:5755;height:368;width:442;" fillcolor="#FFFFFF" filled="t" stroked="t" coordsize="21600,21600" o:gfxdata="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fUW/&#10;wAAAAOMAAAAPAAAAAAAAAAEAIAAAACIAAABkcnMvZG93bnJldi54bWxQSwECFAAUAAAACACHTuJA&#10;My8FnjsAAAA5AAAAEAAAAAAAAAABACAAAAAPAQAAZHJzL3NoYXBleG1sLnhtbFBLBQYAAAAABgAG&#10;AFsBAAC5AwAAAAA=&#10;">
                          <v:fill on="t" focussize="0,0"/>
                          <v:stroke weight="1.25pt" color="#FF00FF" joinstyle="round"/>
                          <v:imagedata o:title=""/>
                          <o:lock v:ext="edit" aspectratio="t"/>
                        </v:shape>
                        <v:shape id="Freeform 4" o:spid="_x0000_s1026" o:spt="100" style="position:absolute;left:14697;top:5632;height:564;width:174;" fillcolor="#FFFFFF" filled="t" stroked="t" coordsize="450,1685" o:gfxdata="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uhMgwwAAAOMAAAAPAAAAAAAAAAEAIAAAACIAAABkcnMvZG93bnJldi54bWxQSwECFAAUAAAACACH&#10;TuJAMy8FnjsAAAA5AAAAEAAAAAAAAAABACAAAAASAQAAZHJzL3NoYXBleG1sLnhtbFBLBQYAAAAA&#10;BgAGAFsBAAC8AwAAAAA=&#10;" path="m450,53l449,1177,0,1685,450,0e">
                          <v:path o:connectlocs="25,2;25,44;0,63;25,0" o:connectangles="0,0,0,0"/>
                          <v:fill on="t" focussize="0,0"/>
                          <v:stroke weight="1.25pt" color="#008000" joinstyle="round"/>
                          <v:imagedata o:title=""/>
                          <o:lock v:ext="edit" aspectratio="t"/>
                        </v:shape>
                        <v:shape id="Freeform 6" o:spid="_x0000_s1026" o:spt="100" alt="深色下对角线" style="position:absolute;left:14869;top:5629;height:563;width:174;" filled="t" stroked="t" coordsize="450,1685" o:gfxdata="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6E6&#10;LMEAAADiAAAADwAAAAAAAAABACAAAAAiAAAAZHJzL2Rvd25yZXYueG1sUEsBAhQAFAAAAAgAh07i&#10;QDMvBZ47AAAAOQAAABAAAAAAAAAAAQAgAAAAEAEAAGRycy9zaGFwZXhtbC54bWxQSwUGAAAAAAYA&#10;BgBbAQAAugMAAAAA&#10;" path="m0,53l2,1209,450,1685,0,0e">
                          <v:path o:connectlocs="0,2;0,45;25,62;0,0" o:connectangles="0,0,0,0"/>
                          <v:fill type="tile" on="t" o:title="深色下对角线" focussize="0,0" recolor="t" r:id="rId11"/>
                          <v:stroke weight="1.25pt" color="#FF0000" joinstyle="round"/>
                          <v:imagedata o:title=""/>
                          <o:lock v:ext="edit" aspectratio="t"/>
                        </v:shape>
                      </v:group>
                    </v:group>
                  </w:pict>
                </mc:Fallback>
              </mc:AlternateContent>
            </w:r>
          </w:p>
          <w:p w14:paraId="000D65C2">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05870CA0">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5367C57E">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528190CA">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54D8BF17">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602D77E7">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44805AB3">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4B722FE5">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38BD6E4F">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38EFDB69">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1CA61762">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6B61185F">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3D8D29BC">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3133090</wp:posOffset>
                      </wp:positionH>
                      <wp:positionV relativeFrom="paragraph">
                        <wp:posOffset>107950</wp:posOffset>
                      </wp:positionV>
                      <wp:extent cx="142875" cy="152400"/>
                      <wp:effectExtent l="19050" t="38100" r="47625" b="38100"/>
                      <wp:wrapNone/>
                      <wp:docPr id="837952509" name="星形: 五角 1"/>
                      <wp:cNvGraphicFramePr/>
                      <a:graphic xmlns:a="http://schemas.openxmlformats.org/drawingml/2006/main">
                        <a:graphicData uri="http://schemas.microsoft.com/office/word/2010/wordprocessingShape">
                          <wps:wsp>
                            <wps:cNvSpPr/>
                            <wps:spPr>
                              <a:xfrm>
                                <a:off x="0" y="0"/>
                                <a:ext cx="142875" cy="152400"/>
                              </a:xfrm>
                              <a:prstGeom prst="star5">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五角 1" o:spid="_x0000_s1026" style="position:absolute;left:0pt;margin-left:246.7pt;margin-top:8.5pt;height:12pt;width:11.25pt;z-index:251662336;v-text-anchor:middle;mso-width-relative:page;mso-height-relative:page;" fillcolor="#FF0000" filled="t" stroked="t" coordsize="142875,152400" o:gfxdata="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jgyn/XAAAACQEAAA8AAAAAAAAAAQAg&#10;AAAAIgAAAGRycy9kb3ducmV2LnhtbFBLAQIUABQAAAAIAIdO4kC60jX8gQIAAAQFAAAOAAAAAAAA&#10;AAEAIAAAACYBAABkcnMvZTJvRG9jLnhtbFBLBQYAAAAABgAGAFkBAAAZBgAAAAA=&#10;" path="m0,58211l54573,58211,71437,0,88301,58211,142874,58211,98723,94187,115588,152399,71437,116422,27286,152399,44151,94187xe">
                      <v:path o:connectlocs="71437,0;0,58211;27286,152399;115588,152399;142874,58211" o:connectangles="247,164,82,82,0"/>
                      <v:fill on="t" focussize="0,0"/>
                      <v:stroke weight="1pt" color="#FF0000 [3204]" miterlimit="8" joinstyle="miter"/>
                      <v:imagedata o:title=""/>
                      <o:lock v:ext="edit" aspectratio="f"/>
                    </v:shape>
                  </w:pict>
                </mc:Fallback>
              </mc:AlternateContent>
            </w:r>
          </w:p>
          <w:p w14:paraId="24BD4DAD">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3BE0A9B0">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0F3DC8D8">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3049905</wp:posOffset>
                      </wp:positionH>
                      <wp:positionV relativeFrom="paragraph">
                        <wp:posOffset>2540</wp:posOffset>
                      </wp:positionV>
                      <wp:extent cx="829945" cy="287655"/>
                      <wp:effectExtent l="6350" t="225425" r="17145" b="20320"/>
                      <wp:wrapNone/>
                      <wp:docPr id="3" name="矩形标注 3"/>
                      <wp:cNvGraphicFramePr/>
                      <a:graphic xmlns:a="http://schemas.openxmlformats.org/drawingml/2006/main">
                        <a:graphicData uri="http://schemas.microsoft.com/office/word/2010/wordprocessingShape">
                          <wps:wsp>
                            <wps:cNvSpPr/>
                            <wps:spPr>
                              <a:xfrm>
                                <a:off x="4313555" y="6004560"/>
                                <a:ext cx="829945" cy="287655"/>
                              </a:xfrm>
                              <a:prstGeom prst="wedgeRectCallout">
                                <a:avLst>
                                  <a:gd name="adj1" fmla="val -31101"/>
                                  <a:gd name="adj2" fmla="val -123068"/>
                                </a:avLst>
                              </a:prstGeom>
                              <a:noFill/>
                            </wps:spPr>
                            <wps:style>
                              <a:lnRef idx="2">
                                <a:schemeClr val="accent1">
                                  <a:lumMod val="75000"/>
                                </a:schemeClr>
                              </a:lnRef>
                              <a:fillRef idx="1">
                                <a:schemeClr val="accent1"/>
                              </a:fillRef>
                              <a:effectRef idx="0">
                                <a:srgbClr val="FFFFFF"/>
                              </a:effectRef>
                              <a:fontRef idx="minor">
                                <a:schemeClr val="lt1"/>
                              </a:fontRef>
                            </wps:style>
                            <wps:txbx>
                              <w:txbxContent>
                                <w:p w14:paraId="2AD093D9">
                                  <w:pPr>
                                    <w:jc w:val="center"/>
                                    <w:rPr>
                                      <w:color w:val="FF0000"/>
                                      <w:sz w:val="22"/>
                                      <w:szCs w:val="28"/>
                                    </w:rPr>
                                  </w:pPr>
                                  <w:r>
                                    <w:rPr>
                                      <w:rFonts w:hint="eastAsia"/>
                                      <w:color w:val="FF0000"/>
                                      <w:sz w:val="22"/>
                                      <w:szCs w:val="28"/>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0.15pt;margin-top:0.2pt;height:22.65pt;width:65.35pt;z-index:251687936;v-text-anchor:middle;mso-width-relative:page;mso-height-relative:page;" filled="f" stroked="t" coordsize="21600,21600" o:gfxdata="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Zhdf91QAAAAcBAAAP&#10;AAAAAAAAAAEAIAAAACIAAABkcnMvZG93bnJldi54bWxQSwECFAAUAAAACACHTuJA6bYlqcYCAABp&#10;BQAADgAAAAAAAAABACAAAAAkAQAAZHJzL2Uyb0RvYy54bWxQSwUGAAAAAAYABgBZAQAAXAYAAAAA&#10;" adj="4082,-15783">
                      <v:fill on="f" focussize="0,0"/>
                      <v:stroke weight="1pt" color="#2F5597 [2404]" miterlimit="8" joinstyle="miter"/>
                      <v:imagedata o:title=""/>
                      <o:lock v:ext="edit" aspectratio="f"/>
                      <v:textbox>
                        <w:txbxContent>
                          <w:p w14:paraId="2AD093D9">
                            <w:pPr>
                              <w:jc w:val="center"/>
                              <w:rPr>
                                <w:color w:val="FF0000"/>
                                <w:sz w:val="22"/>
                                <w:szCs w:val="28"/>
                              </w:rPr>
                            </w:pPr>
                            <w:r>
                              <w:rPr>
                                <w:rFonts w:hint="eastAsia"/>
                                <w:color w:val="FF0000"/>
                                <w:sz w:val="22"/>
                                <w:szCs w:val="28"/>
                              </w:rPr>
                              <w:t>项目位置</w:t>
                            </w:r>
                          </w:p>
                        </w:txbxContent>
                      </v:textbox>
                    </v:shape>
                  </w:pict>
                </mc:Fallback>
              </mc:AlternateContent>
            </w:r>
          </w:p>
          <w:p w14:paraId="507EA164">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2B3A461B">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1F717479">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43C406DC">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728723A8">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67D23A8A">
            <w:pPr>
              <w:tabs>
                <w:tab w:val="left" w:pos="3060"/>
              </w:tabs>
              <w:kinsoku w:val="0"/>
              <w:overflowPunct w:val="0"/>
              <w:autoSpaceDE w:val="0"/>
              <w:autoSpaceDN w:val="0"/>
              <w:adjustRightInd w:val="0"/>
              <w:snapToGrid w:val="0"/>
              <w:ind w:firstLine="420"/>
              <w:rPr>
                <w:color w:val="000000" w:themeColor="text1"/>
                <w14:textFill>
                  <w14:solidFill>
                    <w14:schemeClr w14:val="tx1"/>
                  </w14:solidFill>
                </w14:textFill>
              </w:rPr>
            </w:pPr>
          </w:p>
          <w:p w14:paraId="4EBB1D70">
            <w:pPr>
              <w:pStyle w:val="2"/>
              <w:kinsoku w:val="0"/>
              <w:overflowPunct w:val="0"/>
              <w:autoSpaceDE w:val="0"/>
              <w:autoSpaceDN w:val="0"/>
              <w:adjustRightInd w:val="0"/>
              <w:snapToGrid w:val="0"/>
              <w:ind w:firstLine="560"/>
              <w:rPr>
                <w:color w:val="000000" w:themeColor="text1"/>
                <w:szCs w:val="24"/>
                <w14:textFill>
                  <w14:solidFill>
                    <w14:schemeClr w14:val="tx1"/>
                  </w14:solidFill>
                </w14:textFill>
              </w:rPr>
            </w:pPr>
          </w:p>
          <w:p w14:paraId="66F32B67">
            <w:pPr>
              <w:pStyle w:val="2"/>
              <w:kinsoku w:val="0"/>
              <w:overflowPunct w:val="0"/>
              <w:autoSpaceDE w:val="0"/>
              <w:autoSpaceDN w:val="0"/>
              <w:adjustRightInd w:val="0"/>
              <w:snapToGrid w:val="0"/>
              <w:ind w:firstLine="560"/>
              <w:rPr>
                <w:color w:val="000000" w:themeColor="text1"/>
                <w:szCs w:val="24"/>
                <w14:textFill>
                  <w14:solidFill>
                    <w14:schemeClr w14:val="tx1"/>
                  </w14:solidFill>
                </w14:textFill>
              </w:rPr>
            </w:pPr>
          </w:p>
          <w:p w14:paraId="0E2B0739">
            <w:pPr>
              <w:pStyle w:val="2"/>
              <w:kinsoku w:val="0"/>
              <w:overflowPunct w:val="0"/>
              <w:autoSpaceDE w:val="0"/>
              <w:autoSpaceDN w:val="0"/>
              <w:adjustRightInd w:val="0"/>
              <w:snapToGrid w:val="0"/>
              <w:ind w:firstLine="560"/>
              <w:rPr>
                <w:color w:val="000000" w:themeColor="text1"/>
                <w:szCs w:val="24"/>
                <w14:textFill>
                  <w14:solidFill>
                    <w14:schemeClr w14:val="tx1"/>
                  </w14:solidFill>
                </w14:textFill>
              </w:rPr>
            </w:pPr>
          </w:p>
          <w:p w14:paraId="7BD2F864">
            <w:pPr>
              <w:pStyle w:val="2"/>
              <w:kinsoku w:val="0"/>
              <w:overflowPunct w:val="0"/>
              <w:autoSpaceDE w:val="0"/>
              <w:autoSpaceDN w:val="0"/>
              <w:adjustRightInd w:val="0"/>
              <w:snapToGrid w:val="0"/>
              <w:ind w:firstLine="560"/>
              <w:rPr>
                <w:color w:val="000000" w:themeColor="text1"/>
                <w:szCs w:val="24"/>
                <w14:textFill>
                  <w14:solidFill>
                    <w14:schemeClr w14:val="tx1"/>
                  </w14:solidFill>
                </w14:textFill>
              </w:rPr>
            </w:pPr>
          </w:p>
          <w:p w14:paraId="0B299758">
            <w:pPr>
              <w:pStyle w:val="2"/>
              <w:kinsoku w:val="0"/>
              <w:overflowPunct w:val="0"/>
              <w:autoSpaceDE w:val="0"/>
              <w:autoSpaceDN w:val="0"/>
              <w:adjustRightInd w:val="0"/>
              <w:snapToGrid w:val="0"/>
              <w:ind w:firstLine="560"/>
              <w:rPr>
                <w:color w:val="000000" w:themeColor="text1"/>
                <w:szCs w:val="24"/>
                <w14:textFill>
                  <w14:solidFill>
                    <w14:schemeClr w14:val="tx1"/>
                  </w14:solidFill>
                </w14:textFill>
              </w:rPr>
            </w:pPr>
          </w:p>
          <w:p w14:paraId="4DA175FB">
            <w:pPr>
              <w:pStyle w:val="2"/>
              <w:kinsoku w:val="0"/>
              <w:overflowPunct w:val="0"/>
              <w:autoSpaceDE w:val="0"/>
              <w:autoSpaceDN w:val="0"/>
              <w:adjustRightInd w:val="0"/>
              <w:snapToGrid w:val="0"/>
              <w:ind w:firstLine="560"/>
              <w:rPr>
                <w:color w:val="000000" w:themeColor="text1"/>
                <w:szCs w:val="24"/>
                <w14:textFill>
                  <w14:solidFill>
                    <w14:schemeClr w14:val="tx1"/>
                  </w14:solidFill>
                </w14:textFill>
              </w:rPr>
            </w:pPr>
          </w:p>
          <w:p w14:paraId="387529F2">
            <w:pPr>
              <w:pStyle w:val="2"/>
              <w:kinsoku w:val="0"/>
              <w:overflowPunct w:val="0"/>
              <w:autoSpaceDE w:val="0"/>
              <w:autoSpaceDN w:val="0"/>
              <w:adjustRightInd w:val="0"/>
              <w:snapToGrid w:val="0"/>
              <w:ind w:firstLine="560"/>
              <w:rPr>
                <w:color w:val="000000" w:themeColor="text1"/>
                <w:szCs w:val="24"/>
                <w14:textFill>
                  <w14:solidFill>
                    <w14:schemeClr w14:val="tx1"/>
                  </w14:solidFill>
                </w14:textFill>
              </w:rPr>
            </w:pPr>
          </w:p>
          <w:p w14:paraId="6D28F99A">
            <w:pPr>
              <w:pStyle w:val="2"/>
              <w:kinsoku w:val="0"/>
              <w:overflowPunct w:val="0"/>
              <w:autoSpaceDE w:val="0"/>
              <w:autoSpaceDN w:val="0"/>
              <w:adjustRightInd w:val="0"/>
              <w:snapToGrid w:val="0"/>
              <w:ind w:firstLine="560"/>
              <w:rPr>
                <w:color w:val="000000" w:themeColor="text1"/>
                <w:szCs w:val="24"/>
                <w14:textFill>
                  <w14:solidFill>
                    <w14:schemeClr w14:val="tx1"/>
                  </w14:solidFill>
                </w14:textFill>
              </w:rPr>
            </w:pPr>
          </w:p>
          <w:p w14:paraId="69F2B406">
            <w:pPr>
              <w:pStyle w:val="2"/>
              <w:kinsoku w:val="0"/>
              <w:overflowPunct w:val="0"/>
              <w:autoSpaceDE w:val="0"/>
              <w:autoSpaceDN w:val="0"/>
              <w:adjustRightInd w:val="0"/>
              <w:snapToGrid w:val="0"/>
              <w:ind w:firstLine="560"/>
              <w:rPr>
                <w:color w:val="000000" w:themeColor="text1"/>
                <w:szCs w:val="24"/>
                <w14:textFill>
                  <w14:solidFill>
                    <w14:schemeClr w14:val="tx1"/>
                  </w14:solidFill>
                </w14:textFill>
              </w:rPr>
            </w:pPr>
          </w:p>
          <w:p w14:paraId="267E3B28">
            <w:pPr>
              <w:pStyle w:val="2"/>
              <w:kinsoku w:val="0"/>
              <w:overflowPunct w:val="0"/>
              <w:autoSpaceDE w:val="0"/>
              <w:autoSpaceDN w:val="0"/>
              <w:adjustRightInd w:val="0"/>
              <w:snapToGrid w:val="0"/>
              <w:ind w:firstLine="560"/>
              <w:rPr>
                <w:color w:val="000000" w:themeColor="text1"/>
                <w:szCs w:val="24"/>
                <w14:textFill>
                  <w14:solidFill>
                    <w14:schemeClr w14:val="tx1"/>
                  </w14:solidFill>
                </w14:textFill>
              </w:rPr>
            </w:pPr>
          </w:p>
          <w:p w14:paraId="618C5DCB">
            <w:pPr>
              <w:pStyle w:val="2"/>
              <w:kinsoku w:val="0"/>
              <w:overflowPunct w:val="0"/>
              <w:autoSpaceDE w:val="0"/>
              <w:autoSpaceDN w:val="0"/>
              <w:adjustRightInd w:val="0"/>
              <w:snapToGrid w:val="0"/>
              <w:ind w:firstLine="0" w:firstLineChars="0"/>
              <w:rPr>
                <w:color w:val="000000" w:themeColor="text1"/>
                <w:szCs w:val="24"/>
                <w14:textFill>
                  <w14:solidFill>
                    <w14:schemeClr w14:val="tx1"/>
                  </w14:solidFill>
                </w14:textFill>
              </w:rPr>
            </w:pPr>
          </w:p>
          <w:p w14:paraId="2F793DFB">
            <w:pPr>
              <w:tabs>
                <w:tab w:val="left" w:pos="3060"/>
              </w:tabs>
              <w:kinsoku w:val="0"/>
              <w:overflowPunct w:val="0"/>
              <w:autoSpaceDE w:val="0"/>
              <w:autoSpaceDN w:val="0"/>
              <w:adjustRightInd w:val="0"/>
              <w:snapToGrid w:val="0"/>
              <w:spacing w:line="440" w:lineRule="exact"/>
              <w:jc w:val="center"/>
              <w:rPr>
                <w:b/>
                <w:color w:val="000000" w:themeColor="text1"/>
                <w:sz w:val="24"/>
                <w:szCs w:val="32"/>
                <w14:textFill>
                  <w14:solidFill>
                    <w14:schemeClr w14:val="tx1"/>
                  </w14:solidFill>
                </w14:textFill>
              </w:rPr>
            </w:pPr>
            <w:r>
              <w:rPr>
                <w:rFonts w:hint="eastAsia"/>
                <w:b/>
                <w:color w:val="000000" w:themeColor="text1"/>
                <w:sz w:val="24"/>
                <w:szCs w:val="32"/>
                <w14:textFill>
                  <w14:solidFill>
                    <w14:schemeClr w14:val="tx1"/>
                  </w14:solidFill>
                </w14:textFill>
              </w:rPr>
              <w:t xml:space="preserve">图3-1    </w:t>
            </w:r>
            <w:r>
              <w:rPr>
                <w:b/>
                <w:color w:val="000000" w:themeColor="text1"/>
                <w:sz w:val="24"/>
                <w:szCs w:val="32"/>
                <w14:textFill>
                  <w14:solidFill>
                    <w14:schemeClr w14:val="tx1"/>
                  </w14:solidFill>
                </w14:textFill>
              </w:rPr>
              <w:t>项目所在区域生态功能区划</w:t>
            </w:r>
          </w:p>
          <w:p w14:paraId="3A83A64C">
            <w:pPr>
              <w:kinsoku w:val="0"/>
              <w:overflowPunct w:val="0"/>
              <w:autoSpaceDE w:val="0"/>
              <w:autoSpaceDN w:val="0"/>
              <w:adjustRightInd w:val="0"/>
              <w:snapToGrid w:val="0"/>
              <w:spacing w:line="440" w:lineRule="exact"/>
              <w:ind w:firstLine="482" w:firstLineChars="200"/>
              <w:jc w:val="left"/>
              <w:rPr>
                <w:b/>
                <w:bCs/>
                <w:color w:val="000000" w:themeColor="text1"/>
                <w:sz w:val="24"/>
                <w:szCs w:val="20"/>
                <w14:textFill>
                  <w14:solidFill>
                    <w14:schemeClr w14:val="tx1"/>
                  </w14:solidFill>
                </w14:textFill>
              </w:rPr>
            </w:pPr>
            <w:r>
              <w:rPr>
                <w:rFonts w:hint="eastAsia"/>
                <w:b/>
                <w:bCs/>
                <w:color w:val="000000" w:themeColor="text1"/>
                <w:sz w:val="24"/>
                <w:szCs w:val="20"/>
                <w14:textFill>
                  <w14:solidFill>
                    <w14:schemeClr w14:val="tx1"/>
                  </w14:solidFill>
                </w14:textFill>
              </w:rPr>
              <w:t>3、生态环境现状</w:t>
            </w:r>
          </w:p>
          <w:p w14:paraId="61C2D7BD">
            <w:pPr>
              <w:kinsoku w:val="0"/>
              <w:overflowPunct w:val="0"/>
              <w:autoSpaceDE w:val="0"/>
              <w:autoSpaceDN w:val="0"/>
              <w:adjustRightInd w:val="0"/>
              <w:snapToGrid w:val="0"/>
              <w:spacing w:line="440" w:lineRule="exact"/>
              <w:ind w:firstLine="480" w:firstLineChars="200"/>
              <w:rPr>
                <w:color w:val="000000" w:themeColor="text1"/>
                <w:sz w:val="24"/>
                <w:szCs w:val="20"/>
                <w:highlight w:val="yellow"/>
                <w14:textFill>
                  <w14:solidFill>
                    <w14:schemeClr w14:val="tx1"/>
                  </w14:solidFill>
                </w14:textFill>
              </w:rPr>
            </w:pPr>
            <w:r>
              <w:rPr>
                <w:color w:val="000000" w:themeColor="text1"/>
                <w:sz w:val="24"/>
                <w:szCs w:val="20"/>
                <w14:textFill>
                  <w14:solidFill>
                    <w14:schemeClr w14:val="tx1"/>
                  </w14:solidFill>
                </w14:textFill>
              </w:rPr>
              <w:t>根据调查可知，评价区主要生态系统中，农田生态系统面积最大，其次为草地生态系统；森林生态系统</w:t>
            </w:r>
            <w:r>
              <w:rPr>
                <w:rFonts w:hint="eastAsia"/>
                <w:color w:val="000000" w:themeColor="text1"/>
                <w:sz w:val="24"/>
                <w:szCs w:val="20"/>
                <w14:textFill>
                  <w14:solidFill>
                    <w14:schemeClr w14:val="tx1"/>
                  </w14:solidFill>
                </w14:textFill>
              </w:rPr>
              <w:t>面积再次之</w:t>
            </w:r>
            <w:r>
              <w:rPr>
                <w:color w:val="000000" w:themeColor="text1"/>
                <w:sz w:val="24"/>
                <w:szCs w:val="20"/>
                <w14:textFill>
                  <w14:solidFill>
                    <w14:schemeClr w14:val="tx1"/>
                  </w14:solidFill>
                </w14:textFill>
              </w:rPr>
              <w:t>。</w:t>
            </w:r>
            <w:r>
              <w:rPr>
                <w:color w:val="000000" w:themeColor="text1"/>
                <w:sz w:val="24"/>
                <w:szCs w:val="22"/>
                <w14:textFill>
                  <w14:solidFill>
                    <w14:schemeClr w14:val="tx1"/>
                  </w14:solidFill>
                </w14:textFill>
              </w:rPr>
              <w:t>该</w:t>
            </w:r>
            <w:r>
              <w:rPr>
                <w:rFonts w:hint="eastAsia"/>
                <w:color w:val="000000" w:themeColor="text1"/>
                <w:sz w:val="24"/>
                <w:szCs w:val="22"/>
                <w14:textFill>
                  <w14:solidFill>
                    <w14:schemeClr w14:val="tx1"/>
                  </w14:solidFill>
                </w14:textFill>
              </w:rPr>
              <w:t>评价区</w:t>
            </w:r>
            <w:r>
              <w:rPr>
                <w:color w:val="000000" w:themeColor="text1"/>
                <w:sz w:val="24"/>
                <w:szCs w:val="22"/>
                <w14:textFill>
                  <w14:solidFill>
                    <w14:schemeClr w14:val="tx1"/>
                  </w14:solidFill>
                </w14:textFill>
              </w:rPr>
              <w:t>自然植被为多为乔木</w:t>
            </w:r>
            <w:r>
              <w:rPr>
                <w:rFonts w:hint="eastAsia"/>
                <w:color w:val="000000" w:themeColor="text1"/>
                <w:sz w:val="24"/>
                <w:szCs w:val="22"/>
                <w14:textFill>
                  <w14:solidFill>
                    <w14:schemeClr w14:val="tx1"/>
                  </w14:solidFill>
                </w14:textFill>
              </w:rPr>
              <w:t>、灌木</w:t>
            </w:r>
            <w:r>
              <w:rPr>
                <w:color w:val="000000" w:themeColor="text1"/>
                <w:sz w:val="24"/>
                <w:szCs w:val="22"/>
                <w14:textFill>
                  <w14:solidFill>
                    <w14:schemeClr w14:val="tx1"/>
                  </w14:solidFill>
                </w14:textFill>
              </w:rPr>
              <w:t>和草本植被，主要植被类型有油松树、荆条、蒿草、葎草等，主要的经济农作物以玉米、红薯等为主，果树主要以梨树、板栗树为主</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植被盖度主要集中在中高覆盖区，评价区植被覆盖度较高，主要以乔木植被和人工栽培植被为主。</w:t>
            </w:r>
            <w:r>
              <w:rPr>
                <w:rFonts w:hint="eastAsia"/>
                <w:color w:val="000000" w:themeColor="text1"/>
                <w:sz w:val="24"/>
                <w:szCs w:val="20"/>
                <w14:textFill>
                  <w14:solidFill>
                    <w14:schemeClr w14:val="tx1"/>
                  </w14:solidFill>
                </w14:textFill>
              </w:rPr>
              <w:t>评价范围内土地利用类型以果园面积最大，其次为其他草地，乔木林地再次之。评价区内长年生活的动物主要为当地常见的较小的动物，多为一些常见的鸟类及啮齿类等动物，项目周围无国家地方重点保护的珍稀濒危野生动植物天然集中分布区。</w:t>
            </w:r>
          </w:p>
          <w:p w14:paraId="2450149A">
            <w:pPr>
              <w:kinsoku w:val="0"/>
              <w:overflowPunct w:val="0"/>
              <w:autoSpaceDE w:val="0"/>
              <w:autoSpaceDN w:val="0"/>
              <w:adjustRightInd w:val="0"/>
              <w:snapToGrid w:val="0"/>
              <w:spacing w:line="440" w:lineRule="exact"/>
              <w:ind w:firstLine="482" w:firstLineChars="200"/>
              <w:rPr>
                <w:b/>
                <w:color w:val="000000" w:themeColor="text1"/>
                <w:kern w:val="24"/>
                <w:sz w:val="24"/>
                <w:szCs w:val="20"/>
                <w14:textFill>
                  <w14:solidFill>
                    <w14:schemeClr w14:val="tx1"/>
                  </w14:solidFill>
                </w14:textFill>
              </w:rPr>
            </w:pPr>
            <w:r>
              <w:rPr>
                <w:b/>
                <w:color w:val="000000" w:themeColor="text1"/>
                <w:kern w:val="24"/>
                <w:sz w:val="24"/>
                <w:szCs w:val="20"/>
                <w14:textFill>
                  <w14:solidFill>
                    <w14:schemeClr w14:val="tx1"/>
                  </w14:solidFill>
                </w14:textFill>
              </w:rPr>
              <w:t>4、环境空气质量现状</w:t>
            </w:r>
            <w:bookmarkEnd w:id="11"/>
            <w:bookmarkEnd w:id="12"/>
          </w:p>
          <w:p w14:paraId="3A95748C">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根据《环境影响评价技术导则 大气环境》（HJ2.2-2018），“6.4.1.3国家或地方生态环境主管部门未发布城市环境空气质量达标情况的，可按照HJ663中各评价项目的年评价指标进行判定。年评价指标中的年均浓度和相应百分位数24h平均或8h平均质量浓度满足GB3095中浓度限值要求的即为达标。”</w:t>
            </w:r>
          </w:p>
          <w:p w14:paraId="2D3D584A">
            <w:pPr>
              <w:kinsoku w:val="0"/>
              <w:overflowPunct w:val="0"/>
              <w:autoSpaceDE w:val="0"/>
              <w:autoSpaceDN w:val="0"/>
              <w:adjustRightInd w:val="0"/>
              <w:snapToGrid w:val="0"/>
              <w:spacing w:line="440" w:lineRule="exact"/>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根据202</w:t>
            </w:r>
            <w:r>
              <w:rPr>
                <w:rFonts w:hint="eastAsia"/>
                <w:color w:val="000000" w:themeColor="text1"/>
                <w:kern w:val="0"/>
                <w:sz w:val="24"/>
                <w:szCs w:val="20"/>
                <w14:textFill>
                  <w14:solidFill>
                    <w14:schemeClr w14:val="tx1"/>
                  </w14:solidFill>
                </w14:textFill>
              </w:rPr>
              <w:t>4</w:t>
            </w:r>
            <w:r>
              <w:rPr>
                <w:color w:val="000000" w:themeColor="text1"/>
                <w:kern w:val="0"/>
                <w:sz w:val="24"/>
                <w:szCs w:val="20"/>
                <w14:textFill>
                  <w14:solidFill>
                    <w14:schemeClr w14:val="tx1"/>
                  </w14:solidFill>
                </w14:textFill>
              </w:rPr>
              <w:t>年</w:t>
            </w:r>
            <w:r>
              <w:rPr>
                <w:rFonts w:hint="eastAsia"/>
                <w:color w:val="000000" w:themeColor="text1"/>
                <w:kern w:val="0"/>
                <w:sz w:val="24"/>
                <w:szCs w:val="20"/>
                <w14:textFill>
                  <w14:solidFill>
                    <w14:schemeClr w14:val="tx1"/>
                  </w14:solidFill>
                </w14:textFill>
              </w:rPr>
              <w:t>5</w:t>
            </w:r>
            <w:r>
              <w:rPr>
                <w:color w:val="000000" w:themeColor="text1"/>
                <w:kern w:val="0"/>
                <w:sz w:val="24"/>
                <w:szCs w:val="20"/>
                <w14:textFill>
                  <w14:solidFill>
                    <w14:schemeClr w14:val="tx1"/>
                  </w14:solidFill>
                </w14:textFill>
              </w:rPr>
              <w:t>月</w:t>
            </w:r>
            <w:r>
              <w:rPr>
                <w:rFonts w:hint="eastAsia"/>
                <w:color w:val="000000" w:themeColor="text1"/>
                <w:kern w:val="0"/>
                <w:sz w:val="24"/>
                <w:szCs w:val="20"/>
                <w14:textFill>
                  <w14:solidFill>
                    <w14:schemeClr w14:val="tx1"/>
                  </w14:solidFill>
                </w14:textFill>
              </w:rPr>
              <w:t>河北省</w:t>
            </w:r>
            <w:r>
              <w:rPr>
                <w:color w:val="000000" w:themeColor="text1"/>
                <w:kern w:val="0"/>
                <w:sz w:val="24"/>
                <w:szCs w:val="20"/>
                <w14:textFill>
                  <w14:solidFill>
                    <w14:schemeClr w14:val="tx1"/>
                  </w14:solidFill>
                </w14:textFill>
              </w:rPr>
              <w:t>生态环境厅发布的《202</w:t>
            </w:r>
            <w:r>
              <w:rPr>
                <w:rFonts w:hint="eastAsia"/>
                <w:color w:val="000000" w:themeColor="text1"/>
                <w:kern w:val="0"/>
                <w:sz w:val="24"/>
                <w:szCs w:val="20"/>
                <w14:textFill>
                  <w14:solidFill>
                    <w14:schemeClr w14:val="tx1"/>
                  </w14:solidFill>
                </w14:textFill>
              </w:rPr>
              <w:t>3</w:t>
            </w:r>
            <w:r>
              <w:rPr>
                <w:color w:val="000000" w:themeColor="text1"/>
                <w:kern w:val="0"/>
                <w:sz w:val="24"/>
                <w:szCs w:val="20"/>
                <w14:textFill>
                  <w14:solidFill>
                    <w14:schemeClr w14:val="tx1"/>
                  </w14:solidFill>
                </w14:textFill>
              </w:rPr>
              <w:t>年</w:t>
            </w:r>
            <w:r>
              <w:rPr>
                <w:rFonts w:hint="eastAsia"/>
                <w:color w:val="000000" w:themeColor="text1"/>
                <w:kern w:val="0"/>
                <w:sz w:val="24"/>
                <w:szCs w:val="20"/>
                <w14:textFill>
                  <w14:solidFill>
                    <w14:schemeClr w14:val="tx1"/>
                  </w14:solidFill>
                </w14:textFill>
              </w:rPr>
              <w:t>河北省</w:t>
            </w:r>
            <w:r>
              <w:rPr>
                <w:color w:val="000000" w:themeColor="text1"/>
                <w:kern w:val="0"/>
                <w:sz w:val="24"/>
                <w:szCs w:val="20"/>
                <w14:textFill>
                  <w14:solidFill>
                    <w14:schemeClr w14:val="tx1"/>
                  </w14:solidFill>
                </w14:textFill>
              </w:rPr>
              <w:t>生态环境状况公报》显示，</w:t>
            </w:r>
            <w:r>
              <w:rPr>
                <w:rFonts w:hint="eastAsia"/>
                <w:color w:val="000000" w:themeColor="text1"/>
                <w:sz w:val="24"/>
                <w:szCs w:val="20"/>
                <w14:textFill>
                  <w14:solidFill>
                    <w14:schemeClr w14:val="tx1"/>
                  </w14:solidFill>
                </w14:textFill>
              </w:rPr>
              <w:t>2023年，全省环境空气质量优良天数平均为250天，比2022年减少20天，优良天数比例为68.5%；重度污染及以上天数平均为11天，比2022年增加7天，重度污染及以上天数比例为3.0%。张家口、承德和秦皇岛三个设区市的优良天数分别为316、306和295天，其余设区市优良天数在211~249天之间</w:t>
            </w:r>
            <w:r>
              <w:rPr>
                <w:color w:val="000000" w:themeColor="text1"/>
                <w:sz w:val="24"/>
                <w:szCs w:val="20"/>
                <w14:textFill>
                  <w14:solidFill>
                    <w14:schemeClr w14:val="tx1"/>
                  </w14:solidFill>
                </w14:textFill>
              </w:rPr>
              <w:t>。</w:t>
            </w:r>
            <w:r>
              <w:rPr>
                <w:rFonts w:hint="eastAsia"/>
                <w:color w:val="000000" w:themeColor="text1"/>
                <w:kern w:val="0"/>
                <w:sz w:val="24"/>
                <w:szCs w:val="20"/>
                <w14:textFill>
                  <w14:solidFill>
                    <w14:schemeClr w14:val="tx1"/>
                  </w14:solidFill>
                </w14:textFill>
              </w:rPr>
              <w:t>唐山市环境</w:t>
            </w:r>
            <w:r>
              <w:rPr>
                <w:color w:val="000000" w:themeColor="text1"/>
                <w:kern w:val="0"/>
                <w:sz w:val="24"/>
                <w:szCs w:val="20"/>
                <w14:textFill>
                  <w14:solidFill>
                    <w14:schemeClr w14:val="tx1"/>
                  </w14:solidFill>
                </w14:textFill>
              </w:rPr>
              <w:t>空气质量现状见下表3-</w:t>
            </w:r>
            <w:r>
              <w:rPr>
                <w:rFonts w:hint="eastAsia"/>
                <w:color w:val="000000" w:themeColor="text1"/>
                <w:kern w:val="0"/>
                <w:sz w:val="24"/>
                <w:szCs w:val="20"/>
                <w14:textFill>
                  <w14:solidFill>
                    <w14:schemeClr w14:val="tx1"/>
                  </w14:solidFill>
                </w14:textFill>
              </w:rPr>
              <w:t>2</w:t>
            </w:r>
            <w:r>
              <w:rPr>
                <w:color w:val="000000" w:themeColor="text1"/>
                <w:kern w:val="0"/>
                <w:sz w:val="24"/>
                <w:szCs w:val="20"/>
                <w14:textFill>
                  <w14:solidFill>
                    <w14:schemeClr w14:val="tx1"/>
                  </w14:solidFill>
                </w14:textFill>
              </w:rPr>
              <w:t>。</w:t>
            </w:r>
          </w:p>
          <w:p w14:paraId="3844083E">
            <w:pPr>
              <w:kinsoku w:val="0"/>
              <w:overflowPunct w:val="0"/>
              <w:autoSpaceDE w:val="0"/>
              <w:autoSpaceDN w:val="0"/>
              <w:adjustRightInd w:val="0"/>
              <w:snapToGrid w:val="0"/>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表3-2    区域环境空气质量现状评价表</w:t>
            </w:r>
          </w:p>
          <w:tbl>
            <w:tblPr>
              <w:tblStyle w:val="6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2847"/>
              <w:gridCol w:w="1216"/>
              <w:gridCol w:w="889"/>
              <w:gridCol w:w="955"/>
              <w:gridCol w:w="895"/>
            </w:tblGrid>
            <w:tr w14:paraId="06B4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68" w:type="pct"/>
                  <w:vAlign w:val="center"/>
                </w:tcPr>
                <w:p w14:paraId="5F65A157">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1812" w:type="pct"/>
                  <w:vAlign w:val="center"/>
                </w:tcPr>
                <w:p w14:paraId="7E558CC2">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年评价指标</w:t>
                  </w:r>
                </w:p>
              </w:tc>
              <w:tc>
                <w:tcPr>
                  <w:tcW w:w="774" w:type="pct"/>
                  <w:vAlign w:val="center"/>
                </w:tcPr>
                <w:p w14:paraId="6C331C34">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现状浓度</w:t>
                  </w:r>
                </w:p>
                <w:p w14:paraId="35C6AA4E">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p>
              </w:tc>
              <w:tc>
                <w:tcPr>
                  <w:tcW w:w="566" w:type="pct"/>
                  <w:vAlign w:val="center"/>
                </w:tcPr>
                <w:p w14:paraId="74CAEEA2">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p w14:paraId="5E98671D">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μg/m</w:t>
                  </w:r>
                  <w:r>
                    <w:rPr>
                      <w:color w:val="000000" w:themeColor="text1"/>
                      <w:szCs w:val="21"/>
                      <w:vertAlign w:val="superscript"/>
                      <w14:textFill>
                        <w14:solidFill>
                          <w14:schemeClr w14:val="tx1"/>
                        </w14:solidFill>
                      </w14:textFill>
                    </w:rPr>
                    <w:t>3</w:t>
                  </w:r>
                </w:p>
              </w:tc>
              <w:tc>
                <w:tcPr>
                  <w:tcW w:w="608" w:type="pct"/>
                  <w:vAlign w:val="center"/>
                </w:tcPr>
                <w:p w14:paraId="566731B0">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占标率</w:t>
                  </w:r>
                </w:p>
                <w:p w14:paraId="051DFD9C">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69" w:type="pct"/>
                  <w:vAlign w:val="center"/>
                </w:tcPr>
                <w:p w14:paraId="746AE32C">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p w14:paraId="47489C74">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情况</w:t>
                  </w:r>
                </w:p>
              </w:tc>
            </w:tr>
            <w:tr w14:paraId="1683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68" w:type="pct"/>
                  <w:vAlign w:val="center"/>
                </w:tcPr>
                <w:p w14:paraId="47CC6A77">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812" w:type="pct"/>
                  <w:vAlign w:val="center"/>
                </w:tcPr>
                <w:p w14:paraId="21A7F6CF">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774" w:type="pct"/>
                  <w:vAlign w:val="center"/>
                </w:tcPr>
                <w:p w14:paraId="5CD42987">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566" w:type="pct"/>
                  <w:vAlign w:val="center"/>
                </w:tcPr>
                <w:p w14:paraId="108BD4A0">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608" w:type="pct"/>
                  <w:vAlign w:val="center"/>
                </w:tcPr>
                <w:p w14:paraId="69EE3045">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11.7</w:t>
                  </w:r>
                </w:p>
              </w:tc>
              <w:tc>
                <w:tcPr>
                  <w:tcW w:w="569" w:type="pct"/>
                  <w:vAlign w:val="center"/>
                </w:tcPr>
                <w:p w14:paraId="0D1940D2">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424F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68" w:type="pct"/>
                  <w:vAlign w:val="center"/>
                </w:tcPr>
                <w:p w14:paraId="4655354C">
                  <w:pPr>
                    <w:kinsoku w:val="0"/>
                    <w:overflowPunct w:val="0"/>
                    <w:autoSpaceDE w:val="0"/>
                    <w:autoSpaceDN w:val="0"/>
                    <w:adjustRightInd w:val="0"/>
                    <w:snapToGrid w:val="0"/>
                    <w:spacing w:line="360" w:lineRule="exact"/>
                    <w:jc w:val="center"/>
                    <w:rPr>
                      <w:color w:val="000000" w:themeColor="text1"/>
                      <w:sz w:val="24"/>
                      <w:vertAlign w:val="subscript"/>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1812" w:type="pct"/>
                  <w:vAlign w:val="center"/>
                </w:tcPr>
                <w:p w14:paraId="38F60E85">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774" w:type="pct"/>
                  <w:vAlign w:val="center"/>
                </w:tcPr>
                <w:p w14:paraId="37088426">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w:t>
                  </w:r>
                </w:p>
              </w:tc>
              <w:tc>
                <w:tcPr>
                  <w:tcW w:w="566" w:type="pct"/>
                  <w:vAlign w:val="center"/>
                </w:tcPr>
                <w:p w14:paraId="26B4255F">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608" w:type="pct"/>
                  <w:vAlign w:val="center"/>
                </w:tcPr>
                <w:p w14:paraId="2C3CDBE9">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82.5</w:t>
                  </w:r>
                </w:p>
              </w:tc>
              <w:tc>
                <w:tcPr>
                  <w:tcW w:w="569" w:type="pct"/>
                  <w:vAlign w:val="center"/>
                </w:tcPr>
                <w:p w14:paraId="6D46BF0F">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4088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68" w:type="pct"/>
                  <w:vAlign w:val="center"/>
                </w:tcPr>
                <w:p w14:paraId="7C8C4086">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1812" w:type="pct"/>
                  <w:vAlign w:val="center"/>
                </w:tcPr>
                <w:p w14:paraId="2EEC07B3">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774" w:type="pct"/>
                  <w:vAlign w:val="center"/>
                </w:tcPr>
                <w:p w14:paraId="2C847065">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74</w:t>
                  </w:r>
                </w:p>
              </w:tc>
              <w:tc>
                <w:tcPr>
                  <w:tcW w:w="566" w:type="pct"/>
                  <w:vAlign w:val="center"/>
                </w:tcPr>
                <w:p w14:paraId="7E36A3F8">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608" w:type="pct"/>
                  <w:vAlign w:val="center"/>
                </w:tcPr>
                <w:p w14:paraId="0D00809E">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105.7</w:t>
                  </w:r>
                </w:p>
              </w:tc>
              <w:tc>
                <w:tcPr>
                  <w:tcW w:w="569" w:type="pct"/>
                  <w:vAlign w:val="center"/>
                </w:tcPr>
                <w:p w14:paraId="2652159D">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w:t>
                  </w:r>
                  <w:r>
                    <w:rPr>
                      <w:color w:val="000000" w:themeColor="text1"/>
                      <w:szCs w:val="21"/>
                      <w14:textFill>
                        <w14:solidFill>
                          <w14:schemeClr w14:val="tx1"/>
                        </w14:solidFill>
                      </w14:textFill>
                    </w:rPr>
                    <w:t>达标</w:t>
                  </w:r>
                </w:p>
              </w:tc>
            </w:tr>
            <w:tr w14:paraId="1252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68" w:type="pct"/>
                  <w:vAlign w:val="center"/>
                </w:tcPr>
                <w:p w14:paraId="6DE4F268">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1812" w:type="pct"/>
                  <w:vAlign w:val="center"/>
                </w:tcPr>
                <w:p w14:paraId="5493C416">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774" w:type="pct"/>
                  <w:vAlign w:val="center"/>
                </w:tcPr>
                <w:p w14:paraId="2D09A2C9">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566" w:type="pct"/>
                  <w:vAlign w:val="center"/>
                </w:tcPr>
                <w:p w14:paraId="0D7E0935">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608" w:type="pct"/>
                  <w:vAlign w:val="center"/>
                </w:tcPr>
                <w:p w14:paraId="7DF62A7F">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114.3</w:t>
                  </w:r>
                </w:p>
              </w:tc>
              <w:tc>
                <w:tcPr>
                  <w:tcW w:w="569" w:type="pct"/>
                  <w:vAlign w:val="center"/>
                </w:tcPr>
                <w:p w14:paraId="07B22C3D">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w:t>
                  </w:r>
                  <w:r>
                    <w:rPr>
                      <w:color w:val="000000" w:themeColor="text1"/>
                      <w:szCs w:val="21"/>
                      <w14:textFill>
                        <w14:solidFill>
                          <w14:schemeClr w14:val="tx1"/>
                        </w14:solidFill>
                      </w14:textFill>
                    </w:rPr>
                    <w:t>达标</w:t>
                  </w:r>
                </w:p>
              </w:tc>
            </w:tr>
            <w:tr w14:paraId="62EE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68" w:type="pct"/>
                  <w:vAlign w:val="center"/>
                </w:tcPr>
                <w:p w14:paraId="3E04A3EA">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1812" w:type="pct"/>
                  <w:vAlign w:val="center"/>
                </w:tcPr>
                <w:p w14:paraId="2F9CE8C6">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24小时平均第95位百分位数</w:t>
                  </w:r>
                </w:p>
              </w:tc>
              <w:tc>
                <w:tcPr>
                  <w:tcW w:w="774" w:type="pct"/>
                  <w:vAlign w:val="center"/>
                </w:tcPr>
                <w:p w14:paraId="05FEDE6B">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1500</w:t>
                  </w:r>
                </w:p>
              </w:tc>
              <w:tc>
                <w:tcPr>
                  <w:tcW w:w="566" w:type="pct"/>
                  <w:vAlign w:val="center"/>
                </w:tcPr>
                <w:p w14:paraId="305739C1">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4000</w:t>
                  </w:r>
                </w:p>
              </w:tc>
              <w:tc>
                <w:tcPr>
                  <w:tcW w:w="608" w:type="pct"/>
                  <w:vAlign w:val="center"/>
                </w:tcPr>
                <w:p w14:paraId="599A0951">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37.5</w:t>
                  </w:r>
                </w:p>
              </w:tc>
              <w:tc>
                <w:tcPr>
                  <w:tcW w:w="569" w:type="pct"/>
                  <w:vAlign w:val="center"/>
                </w:tcPr>
                <w:p w14:paraId="7B1FD1C1">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352B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668" w:type="pct"/>
                  <w:vAlign w:val="center"/>
                </w:tcPr>
                <w:p w14:paraId="0E21236B">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1812" w:type="pct"/>
                  <w:vAlign w:val="center"/>
                </w:tcPr>
                <w:p w14:paraId="425C3B13">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日最大8小时平均</w:t>
                  </w:r>
                </w:p>
              </w:tc>
              <w:tc>
                <w:tcPr>
                  <w:tcW w:w="774" w:type="pct"/>
                  <w:vAlign w:val="center"/>
                </w:tcPr>
                <w:p w14:paraId="116FEA4E">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181</w:t>
                  </w:r>
                </w:p>
              </w:tc>
              <w:tc>
                <w:tcPr>
                  <w:tcW w:w="566" w:type="pct"/>
                  <w:vAlign w:val="center"/>
                </w:tcPr>
                <w:p w14:paraId="3568DA4F">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160</w:t>
                  </w:r>
                </w:p>
              </w:tc>
              <w:tc>
                <w:tcPr>
                  <w:tcW w:w="608" w:type="pct"/>
                  <w:vAlign w:val="center"/>
                </w:tcPr>
                <w:p w14:paraId="32CCEE1A">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113.1</w:t>
                  </w:r>
                </w:p>
              </w:tc>
              <w:tc>
                <w:tcPr>
                  <w:tcW w:w="569" w:type="pct"/>
                  <w:vAlign w:val="center"/>
                </w:tcPr>
                <w:p w14:paraId="4DD8B968">
                  <w:pPr>
                    <w:kinsoku w:val="0"/>
                    <w:overflowPunct w:val="0"/>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不达标</w:t>
                  </w:r>
                </w:p>
              </w:tc>
            </w:tr>
          </w:tbl>
          <w:p w14:paraId="75B6AFF1">
            <w:pPr>
              <w:kinsoku w:val="0"/>
              <w:overflowPunct w:val="0"/>
              <w:autoSpaceDE w:val="0"/>
              <w:autoSpaceDN w:val="0"/>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szCs w:val="20"/>
                <w14:textFill>
                  <w14:solidFill>
                    <w14:schemeClr w14:val="tx1"/>
                  </w14:solidFill>
                </w14:textFill>
              </w:rPr>
              <w:t>从上表可以看出，本项目所在区域除PM</w:t>
            </w:r>
            <w:r>
              <w:rPr>
                <w:color w:val="000000" w:themeColor="text1"/>
                <w:sz w:val="24"/>
                <w:szCs w:val="20"/>
                <w:vertAlign w:val="subscript"/>
                <w14:textFill>
                  <w14:solidFill>
                    <w14:schemeClr w14:val="tx1"/>
                  </w14:solidFill>
                </w14:textFill>
              </w:rPr>
              <w:t>10</w:t>
            </w:r>
            <w:r>
              <w:rPr>
                <w:color w:val="000000" w:themeColor="text1"/>
                <w:sz w:val="24"/>
                <w:szCs w:val="20"/>
                <w14:textFill>
                  <w14:solidFill>
                    <w14:schemeClr w14:val="tx1"/>
                  </w14:solidFill>
                </w14:textFill>
              </w:rPr>
              <w:t>、PM</w:t>
            </w:r>
            <w:r>
              <w:rPr>
                <w:color w:val="000000" w:themeColor="text1"/>
                <w:sz w:val="24"/>
                <w:szCs w:val="20"/>
                <w:vertAlign w:val="subscript"/>
                <w14:textFill>
                  <w14:solidFill>
                    <w14:schemeClr w14:val="tx1"/>
                  </w14:solidFill>
                </w14:textFill>
              </w:rPr>
              <w:t>2.5</w:t>
            </w:r>
            <w:r>
              <w:rPr>
                <w:color w:val="000000" w:themeColor="text1"/>
                <w:sz w:val="24"/>
                <w:szCs w:val="20"/>
                <w14:textFill>
                  <w14:solidFill>
                    <w14:schemeClr w14:val="tx1"/>
                  </w14:solidFill>
                </w14:textFill>
              </w:rPr>
              <w:t>、O</w:t>
            </w:r>
            <w:r>
              <w:rPr>
                <w:color w:val="000000" w:themeColor="text1"/>
                <w:sz w:val="24"/>
                <w:szCs w:val="20"/>
                <w:vertAlign w:val="subscript"/>
                <w14:textFill>
                  <w14:solidFill>
                    <w14:schemeClr w14:val="tx1"/>
                  </w14:solidFill>
                </w14:textFill>
              </w:rPr>
              <w:t>3</w:t>
            </w:r>
            <w:r>
              <w:rPr>
                <w:color w:val="000000" w:themeColor="text1"/>
                <w:sz w:val="24"/>
                <w:szCs w:val="20"/>
                <w14:textFill>
                  <w14:solidFill>
                    <w14:schemeClr w14:val="tx1"/>
                  </w14:solidFill>
                </w14:textFill>
              </w:rPr>
              <w:t>外，其余因子均达到《环境空气质量标准》（GB3095-2012）及其修改单二级标准，根据《环境影响评价技术导则 大气环境》（HJ2.2-2018）中相关规定，因此本项目区域为环境空气质量不达标区。</w:t>
            </w:r>
          </w:p>
          <w:bookmarkEnd w:id="13"/>
          <w:p w14:paraId="57AB5072">
            <w:pPr>
              <w:kinsoku w:val="0"/>
              <w:overflowPunct w:val="0"/>
              <w:autoSpaceDE w:val="0"/>
              <w:autoSpaceDN w:val="0"/>
              <w:adjustRightInd w:val="0"/>
              <w:snapToGrid w:val="0"/>
              <w:spacing w:line="440" w:lineRule="exact"/>
              <w:ind w:firstLine="482" w:firstLineChars="200"/>
              <w:outlineLvl w:val="0"/>
              <w:rPr>
                <w:b/>
                <w:color w:val="000000" w:themeColor="text1"/>
                <w:sz w:val="24"/>
                <w14:textFill>
                  <w14:solidFill>
                    <w14:schemeClr w14:val="tx1"/>
                  </w14:solidFill>
                </w14:textFill>
              </w:rPr>
            </w:pPr>
            <w:bookmarkStart w:id="14" w:name="_Toc2256"/>
            <w:bookmarkStart w:id="15" w:name="_Toc618"/>
            <w:bookmarkStart w:id="16" w:name="_Toc176318835"/>
            <w:r>
              <w:rPr>
                <w:b/>
                <w:color w:val="000000" w:themeColor="text1"/>
                <w:sz w:val="24"/>
                <w14:textFill>
                  <w14:solidFill>
                    <w14:schemeClr w14:val="tx1"/>
                  </w14:solidFill>
                </w14:textFill>
              </w:rPr>
              <w:t>5、地表水</w:t>
            </w:r>
            <w:r>
              <w:rPr>
                <w:rFonts w:hint="eastAsia"/>
                <w:b/>
                <w:color w:val="000000" w:themeColor="text1"/>
                <w:sz w:val="24"/>
                <w14:textFill>
                  <w14:solidFill>
                    <w14:schemeClr w14:val="tx1"/>
                  </w14:solidFill>
                </w14:textFill>
              </w:rPr>
              <w:t>环境</w:t>
            </w:r>
            <w:r>
              <w:rPr>
                <w:b/>
                <w:color w:val="000000" w:themeColor="text1"/>
                <w:sz w:val="24"/>
                <w14:textFill>
                  <w14:solidFill>
                    <w14:schemeClr w14:val="tx1"/>
                  </w14:solidFill>
                </w14:textFill>
              </w:rPr>
              <w:t>质量现状</w:t>
            </w:r>
            <w:bookmarkEnd w:id="14"/>
            <w:bookmarkEnd w:id="15"/>
          </w:p>
          <w:p w14:paraId="785495B8">
            <w:pPr>
              <w:kinsoku w:val="0"/>
              <w:overflowPunct w:val="0"/>
              <w:autoSpaceDE w:val="0"/>
              <w:autoSpaceDN w:val="0"/>
              <w:adjustRightInd w:val="0"/>
              <w:snapToGrid w:val="0"/>
              <w:spacing w:line="440" w:lineRule="exact"/>
              <w:ind w:firstLine="480" w:firstLineChars="200"/>
              <w:rPr>
                <w:bCs/>
                <w:color w:val="000000" w:themeColor="text1"/>
                <w:sz w:val="24"/>
                <w14:textFill>
                  <w14:solidFill>
                    <w14:schemeClr w14:val="tx1"/>
                  </w14:solidFill>
                </w14:textFill>
              </w:rPr>
            </w:pPr>
            <w:r>
              <w:rPr>
                <w:rFonts w:hint="eastAsia"/>
                <w:color w:val="000000" w:themeColor="text1"/>
                <w:sz w:val="24"/>
                <w:szCs w:val="20"/>
                <w14:textFill>
                  <w14:solidFill>
                    <w14:schemeClr w14:val="tx1"/>
                  </w14:solidFill>
                </w14:textFill>
              </w:rPr>
              <w:t>本项目涉及地表水体为距项目东侧1155m的还乡河，根据《2023年河北省生态环境状况公报》中数据，监测断面满足《地表水环境质量标准》（GB3838-2002）中的Ⅲ类标准要求。本项目光伏板冲洗排水无有害物质，用于光伏板下地面灌溉农作物，生活污水经化粪池初步处理后进入生活污水一体化处理设施，处理后合格水用于站区地面道路抑尘等。项目废水均得到合理处置，不会对还乡河水体造成影响。</w:t>
            </w:r>
            <w:bookmarkStart w:id="17" w:name="_Toc12045"/>
            <w:bookmarkStart w:id="18" w:name="_Toc20628"/>
          </w:p>
          <w:p w14:paraId="48E3B608">
            <w:pPr>
              <w:kinsoku w:val="0"/>
              <w:overflowPunct w:val="0"/>
              <w:autoSpaceDE w:val="0"/>
              <w:autoSpaceDN w:val="0"/>
              <w:adjustRightInd w:val="0"/>
              <w:snapToGrid w:val="0"/>
              <w:spacing w:line="440" w:lineRule="exact"/>
              <w:ind w:firstLine="482" w:firstLineChars="200"/>
              <w:outlineLvl w:val="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6</w:t>
            </w:r>
            <w:r>
              <w:rPr>
                <w:b/>
                <w:color w:val="000000" w:themeColor="text1"/>
                <w:sz w:val="24"/>
                <w14:textFill>
                  <w14:solidFill>
                    <w14:schemeClr w14:val="tx1"/>
                  </w14:solidFill>
                </w14:textFill>
              </w:rPr>
              <w:t>、声环境质量现状</w:t>
            </w:r>
            <w:bookmarkEnd w:id="17"/>
            <w:bookmarkEnd w:id="18"/>
          </w:p>
          <w:bookmarkEnd w:id="16"/>
          <w:p w14:paraId="7092EE2F">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（1）监测因子及频次</w:t>
            </w:r>
          </w:p>
          <w:p w14:paraId="36053E17">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①</w:t>
            </w:r>
            <w:r>
              <w:rPr>
                <w:color w:val="000000" w:themeColor="text1"/>
                <w:kern w:val="0"/>
                <w:sz w:val="24"/>
                <w14:textFill>
                  <w14:solidFill>
                    <w14:schemeClr w14:val="tx1"/>
                  </w14:solidFill>
                </w14:textFill>
              </w:rPr>
              <w:t>监测因子</w:t>
            </w:r>
          </w:p>
          <w:p w14:paraId="68DF5712">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昼间</w:t>
            </w:r>
            <w:r>
              <w:rPr>
                <w:rFonts w:hint="eastAsia"/>
                <w:color w:val="000000" w:themeColor="text1"/>
                <w:kern w:val="0"/>
                <w:sz w:val="24"/>
                <w14:textFill>
                  <w14:solidFill>
                    <w14:schemeClr w14:val="tx1"/>
                  </w14:solidFill>
                </w14:textFill>
              </w:rPr>
              <w:t>及</w:t>
            </w:r>
            <w:r>
              <w:rPr>
                <w:color w:val="000000" w:themeColor="text1"/>
                <w:kern w:val="0"/>
                <w:sz w:val="24"/>
                <w14:textFill>
                  <w14:solidFill>
                    <w14:schemeClr w14:val="tx1"/>
                  </w14:solidFill>
                </w14:textFill>
              </w:rPr>
              <w:t>夜间等效声级</w:t>
            </w:r>
          </w:p>
          <w:p w14:paraId="0B5E7BBC">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②</w:t>
            </w:r>
            <w:r>
              <w:rPr>
                <w:color w:val="000000" w:themeColor="text1"/>
                <w:kern w:val="0"/>
                <w:sz w:val="24"/>
                <w14:textFill>
                  <w14:solidFill>
                    <w14:schemeClr w14:val="tx1"/>
                  </w14:solidFill>
                </w14:textFill>
              </w:rPr>
              <w:t>监测频次</w:t>
            </w:r>
          </w:p>
          <w:p w14:paraId="2437FC54">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昼间1次；夜间1次</w:t>
            </w:r>
          </w:p>
          <w:p w14:paraId="0B0DA081">
            <w:pPr>
              <w:kinsoku w:val="0"/>
              <w:overflowPunct w:val="0"/>
              <w:autoSpaceDE w:val="0"/>
              <w:autoSpaceDN w:val="0"/>
              <w:adjustRightInd w:val="0"/>
              <w:snapToGrid w:val="0"/>
              <w:spacing w:line="440" w:lineRule="exact"/>
              <w:ind w:firstLine="480"/>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（2）监测布点</w:t>
            </w:r>
          </w:p>
          <w:p w14:paraId="209DF902">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t>敏感点：佟庄村1#、夜明峪村2#、潘庄村3#。</w:t>
            </w:r>
          </w:p>
          <w:p w14:paraId="5667C948">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（3）监测仪器</w:t>
            </w:r>
          </w:p>
          <w:p w14:paraId="2236D625">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所用仪器均经过国家计量部门检验合格，并处于鉴定/校准证书有效期内，仪器的性能满足监测对象的要求。</w:t>
            </w:r>
          </w:p>
          <w:p w14:paraId="54C2E97C">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（4）监测方法</w:t>
            </w:r>
          </w:p>
          <w:p w14:paraId="6E00972C">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声环境监测按照</w:t>
            </w:r>
            <w:r>
              <w:rPr>
                <w:rFonts w:hint="eastAsia"/>
                <w:color w:val="000000" w:themeColor="text1"/>
                <w:kern w:val="0"/>
                <w:sz w:val="24"/>
                <w14:textFill>
                  <w14:solidFill>
                    <w14:schemeClr w14:val="tx1"/>
                  </w14:solidFill>
                </w14:textFill>
              </w:rPr>
              <w:t>《工业企业厂界环境噪声排放标准》(GB12348-2008)、《声环境质量标准》（GB3096-2008）</w:t>
            </w:r>
            <w:r>
              <w:rPr>
                <w:color w:val="000000" w:themeColor="text1"/>
                <w:kern w:val="0"/>
                <w:sz w:val="24"/>
                <w14:textFill>
                  <w14:solidFill>
                    <w14:schemeClr w14:val="tx1"/>
                  </w14:solidFill>
                </w14:textFill>
              </w:rPr>
              <w:t>进行。</w:t>
            </w:r>
          </w:p>
          <w:p w14:paraId="0DF37847">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（5）监测单位及监测时间</w:t>
            </w:r>
          </w:p>
          <w:p w14:paraId="4C9722A1">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河北德普环境监测有限公司于202</w:t>
            </w:r>
            <w:r>
              <w:rPr>
                <w:color w:val="000000" w:themeColor="text1"/>
                <w:kern w:val="0"/>
                <w:sz w:val="24"/>
                <w14:textFill>
                  <w14:solidFill>
                    <w14:schemeClr w14:val="tx1"/>
                  </w14:solidFill>
                </w14:textFill>
              </w:rPr>
              <w:t>3</w:t>
            </w:r>
            <w:r>
              <w:rPr>
                <w:rFonts w:hint="eastAsia"/>
                <w:color w:val="000000" w:themeColor="text1"/>
                <w:kern w:val="0"/>
                <w:sz w:val="24"/>
                <w14:textFill>
                  <w14:solidFill>
                    <w14:schemeClr w14:val="tx1"/>
                  </w14:solidFill>
                </w14:textFill>
              </w:rPr>
              <w:t>年12月21日监测</w:t>
            </w:r>
            <w:r>
              <w:rPr>
                <w:color w:val="000000" w:themeColor="text1"/>
                <w:kern w:val="0"/>
                <w:sz w:val="24"/>
                <w14:textFill>
                  <w14:solidFill>
                    <w14:schemeClr w14:val="tx1"/>
                  </w14:solidFill>
                </w14:textFill>
              </w:rPr>
              <w:t>。</w:t>
            </w:r>
          </w:p>
          <w:p w14:paraId="57B60AD4">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（6）天气状况</w:t>
            </w:r>
          </w:p>
          <w:p w14:paraId="4A7561E4">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昼间：晴，西风，风速2.1m/s；夜间：晴，西风，风速2.3m/s</w:t>
            </w:r>
          </w:p>
          <w:p w14:paraId="7A83A51B">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（7）监测结果</w:t>
            </w:r>
          </w:p>
          <w:p w14:paraId="00AB3866">
            <w:pPr>
              <w:kinsoku w:val="0"/>
              <w:overflowPunct w:val="0"/>
              <w:autoSpaceDE w:val="0"/>
              <w:autoSpaceDN w:val="0"/>
              <w:adjustRightInd w:val="0"/>
              <w:snapToGrid w:val="0"/>
              <w:spacing w:line="440" w:lineRule="exact"/>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本项目声环境现状值监测结果分别见</w:t>
            </w:r>
            <w:r>
              <w:rPr>
                <w:rFonts w:hint="eastAsia"/>
                <w:color w:val="000000" w:themeColor="text1"/>
                <w:kern w:val="0"/>
                <w:sz w:val="24"/>
                <w14:textFill>
                  <w14:solidFill>
                    <w14:schemeClr w14:val="tx1"/>
                  </w14:solidFill>
                </w14:textFill>
              </w:rPr>
              <w:t>下</w:t>
            </w:r>
            <w:r>
              <w:rPr>
                <w:color w:val="000000" w:themeColor="text1"/>
                <w:kern w:val="0"/>
                <w:sz w:val="24"/>
                <w14:textFill>
                  <w14:solidFill>
                    <w14:schemeClr w14:val="tx1"/>
                  </w14:solidFill>
                </w14:textFill>
              </w:rPr>
              <w:t>表。</w:t>
            </w:r>
          </w:p>
          <w:p w14:paraId="50BB20E6">
            <w:pPr>
              <w:kinsoku w:val="0"/>
              <w:overflowPunct w:val="0"/>
              <w:autoSpaceDE w:val="0"/>
              <w:autoSpaceDN w:val="0"/>
              <w:adjustRightInd w:val="0"/>
              <w:snapToGrid w:val="0"/>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表3-</w:t>
            </w: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 xml:space="preserve">    声环境质量监测结果</w:t>
            </w:r>
          </w:p>
          <w:tbl>
            <w:tblPr>
              <w:tblStyle w:val="6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8"/>
              <w:gridCol w:w="4361"/>
              <w:gridCol w:w="1334"/>
              <w:gridCol w:w="1392"/>
            </w:tblGrid>
            <w:tr w14:paraId="338D1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89" w:type="pct"/>
                  <w:vMerge w:val="restart"/>
                  <w:vAlign w:val="center"/>
                </w:tcPr>
                <w:p w14:paraId="6B14C88F">
                  <w:pPr>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序号</w:t>
                  </w:r>
                </w:p>
              </w:tc>
              <w:tc>
                <w:tcPr>
                  <w:tcW w:w="2775" w:type="pct"/>
                  <w:vMerge w:val="restart"/>
                  <w:vAlign w:val="center"/>
                </w:tcPr>
                <w:p w14:paraId="4698858E">
                  <w:pPr>
                    <w:adjustRightInd w:val="0"/>
                    <w:snapToGrid w:val="0"/>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监测点位描</w:t>
                  </w:r>
                  <w:r>
                    <w:rPr>
                      <w:rFonts w:hint="eastAsia"/>
                      <w:bCs/>
                      <w:color w:val="000000" w:themeColor="text1"/>
                      <w:szCs w:val="21"/>
                      <w14:textFill>
                        <w14:solidFill>
                          <w14:schemeClr w14:val="tx1"/>
                        </w14:solidFill>
                      </w14:textFill>
                    </w:rPr>
                    <w:t>述</w:t>
                  </w:r>
                </w:p>
              </w:tc>
              <w:tc>
                <w:tcPr>
                  <w:tcW w:w="1735" w:type="pct"/>
                  <w:gridSpan w:val="2"/>
                  <w:vAlign w:val="center"/>
                </w:tcPr>
                <w:p w14:paraId="7379BBC5">
                  <w:pPr>
                    <w:adjustRightInd w:val="0"/>
                    <w:snapToGrid w:val="0"/>
                    <w:spacing w:line="360" w:lineRule="exact"/>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现状值(dB(A))</w:t>
                  </w:r>
                </w:p>
              </w:tc>
            </w:tr>
            <w:tr w14:paraId="21FEF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89" w:type="pct"/>
                  <w:vMerge w:val="continue"/>
                  <w:vAlign w:val="center"/>
                </w:tcPr>
                <w:p w14:paraId="62649CB7">
                  <w:pPr>
                    <w:adjustRightInd w:val="0"/>
                    <w:snapToGrid w:val="0"/>
                    <w:spacing w:line="360" w:lineRule="exact"/>
                    <w:jc w:val="center"/>
                    <w:rPr>
                      <w:bCs/>
                      <w:color w:val="000000" w:themeColor="text1"/>
                      <w:szCs w:val="21"/>
                      <w14:textFill>
                        <w14:solidFill>
                          <w14:schemeClr w14:val="tx1"/>
                        </w14:solidFill>
                      </w14:textFill>
                    </w:rPr>
                  </w:pPr>
                </w:p>
              </w:tc>
              <w:tc>
                <w:tcPr>
                  <w:tcW w:w="2775" w:type="pct"/>
                  <w:vMerge w:val="continue"/>
                  <w:vAlign w:val="center"/>
                </w:tcPr>
                <w:p w14:paraId="5AA050D2">
                  <w:pPr>
                    <w:adjustRightInd w:val="0"/>
                    <w:snapToGrid w:val="0"/>
                    <w:spacing w:line="360" w:lineRule="exact"/>
                    <w:jc w:val="center"/>
                    <w:rPr>
                      <w:bCs/>
                      <w:color w:val="000000" w:themeColor="text1"/>
                      <w:szCs w:val="21"/>
                      <w14:textFill>
                        <w14:solidFill>
                          <w14:schemeClr w14:val="tx1"/>
                        </w14:solidFill>
                      </w14:textFill>
                    </w:rPr>
                  </w:pPr>
                </w:p>
              </w:tc>
              <w:tc>
                <w:tcPr>
                  <w:tcW w:w="849" w:type="pct"/>
                  <w:vAlign w:val="center"/>
                </w:tcPr>
                <w:p w14:paraId="07DC99D5">
                  <w:pPr>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昼间</w:t>
                  </w:r>
                </w:p>
              </w:tc>
              <w:tc>
                <w:tcPr>
                  <w:tcW w:w="886" w:type="pct"/>
                  <w:vAlign w:val="center"/>
                </w:tcPr>
                <w:p w14:paraId="1D96EE6A">
                  <w:pPr>
                    <w:adjustRightInd w:val="0"/>
                    <w:snapToGrid w:val="0"/>
                    <w:spacing w:line="360" w:lineRule="exact"/>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夜间</w:t>
                  </w:r>
                </w:p>
              </w:tc>
            </w:tr>
            <w:tr w14:paraId="1E8D0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489" w:type="pct"/>
                  <w:vAlign w:val="center"/>
                </w:tcPr>
                <w:p w14:paraId="41417409">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650" w:type="dxa"/>
                  <w:vAlign w:val="center"/>
                </w:tcPr>
                <w:p w14:paraId="6D2E0DF1">
                  <w:pPr>
                    <w:widowControl/>
                    <w:adjustRightInd w:val="0"/>
                    <w:snapToGrid w:val="0"/>
                    <w:spacing w:line="360" w:lineRule="exact"/>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佟庄村1#</w:t>
                  </w:r>
                </w:p>
              </w:tc>
              <w:tc>
                <w:tcPr>
                  <w:tcW w:w="1423" w:type="dxa"/>
                  <w:vAlign w:val="center"/>
                </w:tcPr>
                <w:p w14:paraId="465705FA">
                  <w:pPr>
                    <w:adjustRightInd w:val="0"/>
                    <w:snapToGrid w:val="0"/>
                    <w:spacing w:line="360" w:lineRule="exact"/>
                    <w:jc w:val="center"/>
                    <w:rPr>
                      <w:color w:val="000000" w:themeColor="text1"/>
                      <w:kern w:val="0"/>
                      <w:szCs w:val="21"/>
                      <w:lang w:bidi="ar"/>
                      <w14:textFill>
                        <w14:solidFill>
                          <w14:schemeClr w14:val="tx1"/>
                        </w14:solidFill>
                      </w14:textFill>
                    </w:rPr>
                  </w:pPr>
                  <w:r>
                    <w:rPr>
                      <w:rFonts w:hint="eastAsia" w:eastAsia="华文楷体"/>
                      <w:bCs/>
                      <w:color w:val="000000" w:themeColor="text1"/>
                      <w:szCs w:val="21"/>
                      <w14:textFill>
                        <w14:solidFill>
                          <w14:schemeClr w14:val="tx1"/>
                        </w14:solidFill>
                      </w14:textFill>
                    </w:rPr>
                    <w:t>50</w:t>
                  </w:r>
                </w:p>
              </w:tc>
              <w:tc>
                <w:tcPr>
                  <w:tcW w:w="1485" w:type="dxa"/>
                  <w:vAlign w:val="center"/>
                </w:tcPr>
                <w:p w14:paraId="2BD3E899">
                  <w:pPr>
                    <w:adjustRightInd w:val="0"/>
                    <w:snapToGrid w:val="0"/>
                    <w:spacing w:line="360" w:lineRule="exact"/>
                    <w:jc w:val="center"/>
                    <w:rPr>
                      <w:color w:val="000000" w:themeColor="text1"/>
                      <w:kern w:val="0"/>
                      <w:szCs w:val="21"/>
                      <w:lang w:bidi="ar"/>
                      <w14:textFill>
                        <w14:solidFill>
                          <w14:schemeClr w14:val="tx1"/>
                        </w14:solidFill>
                      </w14:textFill>
                    </w:rPr>
                  </w:pPr>
                  <w:r>
                    <w:rPr>
                      <w:rFonts w:hint="eastAsia" w:eastAsia="华文楷体"/>
                      <w:bCs/>
                      <w:color w:val="000000" w:themeColor="text1"/>
                      <w:szCs w:val="21"/>
                      <w14:textFill>
                        <w14:solidFill>
                          <w14:schemeClr w14:val="tx1"/>
                        </w14:solidFill>
                      </w14:textFill>
                    </w:rPr>
                    <w:t>40</w:t>
                  </w:r>
                </w:p>
              </w:tc>
            </w:tr>
            <w:tr w14:paraId="03F19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 w:hRule="atLeast"/>
                <w:jc w:val="center"/>
              </w:trPr>
              <w:tc>
                <w:tcPr>
                  <w:tcW w:w="489" w:type="pct"/>
                  <w:vAlign w:val="center"/>
                </w:tcPr>
                <w:p w14:paraId="03ECEDE6">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650" w:type="dxa"/>
                  <w:vAlign w:val="center"/>
                </w:tcPr>
                <w:p w14:paraId="34478C65">
                  <w:pPr>
                    <w:widowControl/>
                    <w:adjustRightInd w:val="0"/>
                    <w:snapToGrid w:val="0"/>
                    <w:spacing w:line="360" w:lineRule="exact"/>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夜明峪村2#</w:t>
                  </w:r>
                </w:p>
              </w:tc>
              <w:tc>
                <w:tcPr>
                  <w:tcW w:w="1423" w:type="dxa"/>
                  <w:vAlign w:val="center"/>
                </w:tcPr>
                <w:p w14:paraId="5AE30227">
                  <w:pPr>
                    <w:adjustRightInd w:val="0"/>
                    <w:snapToGrid w:val="0"/>
                    <w:spacing w:line="360" w:lineRule="exact"/>
                    <w:jc w:val="center"/>
                    <w:rPr>
                      <w:color w:val="000000" w:themeColor="text1"/>
                      <w:kern w:val="0"/>
                      <w:szCs w:val="21"/>
                      <w:lang w:bidi="ar"/>
                      <w14:textFill>
                        <w14:solidFill>
                          <w14:schemeClr w14:val="tx1"/>
                        </w14:solidFill>
                      </w14:textFill>
                    </w:rPr>
                  </w:pPr>
                  <w:r>
                    <w:rPr>
                      <w:rFonts w:hint="eastAsia" w:eastAsia="华文楷体"/>
                      <w:bCs/>
                      <w:color w:val="000000" w:themeColor="text1"/>
                      <w:szCs w:val="21"/>
                      <w14:textFill>
                        <w14:solidFill>
                          <w14:schemeClr w14:val="tx1"/>
                        </w14:solidFill>
                      </w14:textFill>
                    </w:rPr>
                    <w:t>51</w:t>
                  </w:r>
                </w:p>
              </w:tc>
              <w:tc>
                <w:tcPr>
                  <w:tcW w:w="1485" w:type="dxa"/>
                  <w:vAlign w:val="center"/>
                </w:tcPr>
                <w:p w14:paraId="1BF7DF41">
                  <w:pPr>
                    <w:adjustRightInd w:val="0"/>
                    <w:snapToGrid w:val="0"/>
                    <w:spacing w:line="360" w:lineRule="exact"/>
                    <w:jc w:val="center"/>
                    <w:rPr>
                      <w:color w:val="000000" w:themeColor="text1"/>
                      <w:kern w:val="0"/>
                      <w:szCs w:val="21"/>
                      <w:lang w:bidi="ar"/>
                      <w14:textFill>
                        <w14:solidFill>
                          <w14:schemeClr w14:val="tx1"/>
                        </w14:solidFill>
                      </w14:textFill>
                    </w:rPr>
                  </w:pPr>
                  <w:r>
                    <w:rPr>
                      <w:rFonts w:hint="eastAsia" w:eastAsia="华文楷体"/>
                      <w:bCs/>
                      <w:color w:val="000000" w:themeColor="text1"/>
                      <w:szCs w:val="21"/>
                      <w14:textFill>
                        <w14:solidFill>
                          <w14:schemeClr w14:val="tx1"/>
                        </w14:solidFill>
                      </w14:textFill>
                    </w:rPr>
                    <w:t>41</w:t>
                  </w:r>
                </w:p>
              </w:tc>
            </w:tr>
            <w:tr w14:paraId="01068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 w:hRule="atLeast"/>
                <w:jc w:val="center"/>
              </w:trPr>
              <w:tc>
                <w:tcPr>
                  <w:tcW w:w="489" w:type="pct"/>
                  <w:vAlign w:val="center"/>
                </w:tcPr>
                <w:p w14:paraId="49FAD06D">
                  <w:pPr>
                    <w:widowControl/>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4650" w:type="dxa"/>
                  <w:vAlign w:val="center"/>
                </w:tcPr>
                <w:p w14:paraId="4C854057">
                  <w:pPr>
                    <w:widowControl/>
                    <w:adjustRightInd w:val="0"/>
                    <w:snapToGrid w:val="0"/>
                    <w:spacing w:line="360" w:lineRule="exact"/>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潘庄村3#</w:t>
                  </w:r>
                </w:p>
              </w:tc>
              <w:tc>
                <w:tcPr>
                  <w:tcW w:w="1423" w:type="dxa"/>
                  <w:vAlign w:val="center"/>
                </w:tcPr>
                <w:p w14:paraId="33E13207">
                  <w:pPr>
                    <w:adjustRightInd w:val="0"/>
                    <w:snapToGrid w:val="0"/>
                    <w:spacing w:line="360" w:lineRule="exact"/>
                    <w:jc w:val="center"/>
                    <w:rPr>
                      <w:color w:val="000000" w:themeColor="text1"/>
                      <w:kern w:val="0"/>
                      <w:szCs w:val="21"/>
                      <w:lang w:bidi="ar"/>
                      <w14:textFill>
                        <w14:solidFill>
                          <w14:schemeClr w14:val="tx1"/>
                        </w14:solidFill>
                      </w14:textFill>
                    </w:rPr>
                  </w:pPr>
                  <w:r>
                    <w:rPr>
                      <w:rFonts w:hint="eastAsia" w:eastAsia="华文楷体"/>
                      <w:bCs/>
                      <w:color w:val="000000" w:themeColor="text1"/>
                      <w:szCs w:val="21"/>
                      <w14:textFill>
                        <w14:solidFill>
                          <w14:schemeClr w14:val="tx1"/>
                        </w14:solidFill>
                      </w14:textFill>
                    </w:rPr>
                    <w:t>49</w:t>
                  </w:r>
                </w:p>
              </w:tc>
              <w:tc>
                <w:tcPr>
                  <w:tcW w:w="1485" w:type="dxa"/>
                  <w:vAlign w:val="center"/>
                </w:tcPr>
                <w:p w14:paraId="007C0B0C">
                  <w:pPr>
                    <w:adjustRightInd w:val="0"/>
                    <w:snapToGrid w:val="0"/>
                    <w:spacing w:line="360" w:lineRule="exact"/>
                    <w:jc w:val="center"/>
                    <w:rPr>
                      <w:color w:val="000000" w:themeColor="text1"/>
                      <w:kern w:val="0"/>
                      <w:szCs w:val="21"/>
                      <w:lang w:bidi="ar"/>
                      <w14:textFill>
                        <w14:solidFill>
                          <w14:schemeClr w14:val="tx1"/>
                        </w14:solidFill>
                      </w14:textFill>
                    </w:rPr>
                  </w:pPr>
                  <w:r>
                    <w:rPr>
                      <w:rFonts w:hint="eastAsia" w:eastAsia="华文楷体"/>
                      <w:bCs/>
                      <w:color w:val="000000" w:themeColor="text1"/>
                      <w:szCs w:val="21"/>
                      <w14:textFill>
                        <w14:solidFill>
                          <w14:schemeClr w14:val="tx1"/>
                        </w14:solidFill>
                      </w14:textFill>
                    </w:rPr>
                    <w:t>41</w:t>
                  </w:r>
                </w:p>
              </w:tc>
            </w:tr>
          </w:tbl>
          <w:p w14:paraId="0B85704F">
            <w:pPr>
              <w:kinsoku w:val="0"/>
              <w:overflowPunct w:val="0"/>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根据监测结果，各敏感目标</w:t>
            </w:r>
            <w:r>
              <w:rPr>
                <w:color w:val="000000" w:themeColor="text1"/>
                <w:kern w:val="0"/>
                <w:sz w:val="24"/>
                <w14:textFill>
                  <w14:solidFill>
                    <w14:schemeClr w14:val="tx1"/>
                  </w14:solidFill>
                </w14:textFill>
              </w:rPr>
              <w:t>昼间现状</w:t>
            </w:r>
            <w:r>
              <w:rPr>
                <w:rFonts w:hint="eastAsia"/>
                <w:color w:val="000000" w:themeColor="text1"/>
                <w:kern w:val="0"/>
                <w:sz w:val="24"/>
                <w14:textFill>
                  <w14:solidFill>
                    <w14:schemeClr w14:val="tx1"/>
                  </w14:solidFill>
                </w14:textFill>
              </w:rPr>
              <w:t>监测</w:t>
            </w:r>
            <w:r>
              <w:rPr>
                <w:color w:val="000000" w:themeColor="text1"/>
                <w:kern w:val="0"/>
                <w:sz w:val="24"/>
                <w14:textFill>
                  <w14:solidFill>
                    <w14:schemeClr w14:val="tx1"/>
                  </w14:solidFill>
                </w14:textFill>
              </w:rPr>
              <w:t>值为</w:t>
            </w:r>
            <w:r>
              <w:rPr>
                <w:rFonts w:hint="eastAsia"/>
                <w:color w:val="000000" w:themeColor="text1"/>
                <w:kern w:val="0"/>
                <w:sz w:val="24"/>
                <w14:textFill>
                  <w14:solidFill>
                    <w14:schemeClr w14:val="tx1"/>
                  </w14:solidFill>
                </w14:textFill>
              </w:rPr>
              <w:t>49</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51</w:t>
            </w:r>
            <w:r>
              <w:rPr>
                <w:color w:val="000000" w:themeColor="text1"/>
                <w:kern w:val="0"/>
                <w:sz w:val="24"/>
                <w14:textFill>
                  <w14:solidFill>
                    <w14:schemeClr w14:val="tx1"/>
                  </w14:solidFill>
                </w14:textFill>
              </w:rPr>
              <w:t>dB</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A)，夜间现状</w:t>
            </w:r>
            <w:r>
              <w:rPr>
                <w:rFonts w:hint="eastAsia"/>
                <w:color w:val="000000" w:themeColor="text1"/>
                <w:kern w:val="0"/>
                <w:sz w:val="24"/>
                <w14:textFill>
                  <w14:solidFill>
                    <w14:schemeClr w14:val="tx1"/>
                  </w14:solidFill>
                </w14:textFill>
              </w:rPr>
              <w:t>监测</w:t>
            </w:r>
            <w:r>
              <w:rPr>
                <w:color w:val="000000" w:themeColor="text1"/>
                <w:kern w:val="0"/>
                <w:sz w:val="24"/>
                <w14:textFill>
                  <w14:solidFill>
                    <w14:schemeClr w14:val="tx1"/>
                  </w14:solidFill>
                </w14:textFill>
              </w:rPr>
              <w:t>值为4</w:t>
            </w:r>
            <w:r>
              <w:rPr>
                <w:rFonts w:hint="eastAsia"/>
                <w:color w:val="000000" w:themeColor="text1"/>
                <w:kern w:val="0"/>
                <w:sz w:val="24"/>
                <w14:textFill>
                  <w14:solidFill>
                    <w14:schemeClr w14:val="tx1"/>
                  </w14:solidFill>
                </w14:textFill>
              </w:rPr>
              <w:t>0</w:t>
            </w:r>
            <w:r>
              <w:rPr>
                <w:color w:val="000000" w:themeColor="text1"/>
                <w:kern w:val="0"/>
                <w:sz w:val="24"/>
                <w14:textFill>
                  <w14:solidFill>
                    <w14:schemeClr w14:val="tx1"/>
                  </w14:solidFill>
                </w14:textFill>
              </w:rPr>
              <w:t>~4</w:t>
            </w:r>
            <w:r>
              <w:rPr>
                <w:rFonts w:hint="eastAsia"/>
                <w:color w:val="000000" w:themeColor="text1"/>
                <w:kern w:val="0"/>
                <w:sz w:val="24"/>
                <w14:textFill>
                  <w14:solidFill>
                    <w14:schemeClr w14:val="tx1"/>
                  </w14:solidFill>
                </w14:textFill>
              </w:rPr>
              <w:t>1</w:t>
            </w:r>
            <w:r>
              <w:rPr>
                <w:color w:val="000000" w:themeColor="text1"/>
                <w:kern w:val="0"/>
                <w:sz w:val="24"/>
                <w14:textFill>
                  <w14:solidFill>
                    <w14:schemeClr w14:val="tx1"/>
                  </w14:solidFill>
                </w14:textFill>
              </w:rPr>
              <w:t>dB(A)，满足</w:t>
            </w:r>
            <w:r>
              <w:rPr>
                <w:rFonts w:hint="eastAsia"/>
                <w:color w:val="000000" w:themeColor="text1"/>
                <w:kern w:val="0"/>
                <w:sz w:val="24"/>
                <w14:textFill>
                  <w14:solidFill>
                    <w14:schemeClr w14:val="tx1"/>
                  </w14:solidFill>
                </w14:textFill>
              </w:rPr>
              <w:t>《声环境质量标准》（GB3096-2008）1类标准要求。</w:t>
            </w:r>
          </w:p>
        </w:tc>
      </w:tr>
      <w:tr w14:paraId="232829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40" w:type="pct"/>
            <w:vAlign w:val="center"/>
          </w:tcPr>
          <w:p w14:paraId="5058C4FA">
            <w:pPr>
              <w:kinsoku w:val="0"/>
              <w:overflowPunct w:val="0"/>
              <w:autoSpaceDE w:val="0"/>
              <w:autoSpaceDN w:val="0"/>
              <w:adjustRightInd w:val="0"/>
              <w:snapToGrid w:val="0"/>
              <w:jc w:val="center"/>
              <w:rPr>
                <w:color w:val="000000" w:themeColor="text1"/>
                <w:kern w:val="0"/>
                <w:szCs w:val="21"/>
                <w14:textFill>
                  <w14:solidFill>
                    <w14:schemeClr w14:val="tx1"/>
                  </w14:solidFill>
                </w14:textFill>
              </w:rPr>
            </w:pPr>
            <w:r>
              <w:rPr>
                <w:bCs/>
                <w:color w:val="000000" w:themeColor="text1"/>
                <w:sz w:val="24"/>
                <w14:textFill>
                  <w14:solidFill>
                    <w14:schemeClr w14:val="tx1"/>
                  </w14:solidFill>
                </w14:textFill>
              </w:rPr>
              <w:t>项目有关原有环境污染和生态破坏问题</w:t>
            </w:r>
          </w:p>
        </w:tc>
        <w:tc>
          <w:tcPr>
            <w:tcW w:w="4459" w:type="pct"/>
            <w:vAlign w:val="center"/>
          </w:tcPr>
          <w:p w14:paraId="3CE1E54C">
            <w:pPr>
              <w:kinsoku w:val="0"/>
              <w:overflowPunct w:val="0"/>
              <w:autoSpaceDE w:val="0"/>
              <w:autoSpaceDN w:val="0"/>
              <w:adjustRightInd w:val="0"/>
              <w:snapToGrid w:val="0"/>
              <w:spacing w:line="440" w:lineRule="exact"/>
              <w:ind w:firstLine="482"/>
              <w:rPr>
                <w:color w:val="000000" w:themeColor="text1"/>
                <w:sz w:val="24"/>
                <w14:textFill>
                  <w14:solidFill>
                    <w14:schemeClr w14:val="tx1"/>
                  </w14:solidFill>
                </w14:textFill>
              </w:rPr>
            </w:pPr>
            <w:r>
              <w:rPr>
                <w:rFonts w:hint="eastAsia"/>
                <w:color w:val="000000" w:themeColor="text1"/>
                <w:sz w:val="24"/>
                <w:szCs w:val="20"/>
                <w14:textFill>
                  <w14:solidFill>
                    <w14:schemeClr w14:val="tx1"/>
                  </w14:solidFill>
                </w14:textFill>
              </w:rPr>
              <w:t>本项目为新建工程，不存在与项目有关的原有污染情况。</w:t>
            </w:r>
          </w:p>
        </w:tc>
      </w:tr>
      <w:tr w14:paraId="515C9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Align w:val="center"/>
          </w:tcPr>
          <w:p w14:paraId="09F79625">
            <w:pPr>
              <w:kinsoku w:val="0"/>
              <w:overflowPunct w:val="0"/>
              <w:autoSpaceDE w:val="0"/>
              <w:autoSpaceDN w:val="0"/>
              <w:adjustRightInd w:val="0"/>
              <w:snapToGrid w:val="0"/>
              <w:jc w:val="center"/>
              <w:rPr>
                <w:bCs/>
                <w:color w:val="000000" w:themeColor="text1"/>
                <w:szCs w:val="21"/>
                <w14:textFill>
                  <w14:solidFill>
                    <w14:schemeClr w14:val="tx1"/>
                  </w14:solidFill>
                </w14:textFill>
              </w:rPr>
            </w:pPr>
            <w:r>
              <w:rPr>
                <w:color w:val="000000" w:themeColor="text1"/>
                <w:kern w:val="0"/>
                <w:sz w:val="24"/>
                <w14:textFill>
                  <w14:solidFill>
                    <w14:schemeClr w14:val="tx1"/>
                  </w14:solidFill>
                </w14:textFill>
              </w:rPr>
              <w:t>生态环境保护目标</w:t>
            </w:r>
          </w:p>
        </w:tc>
        <w:tc>
          <w:tcPr>
            <w:tcW w:w="4459" w:type="pct"/>
            <w:vAlign w:val="center"/>
          </w:tcPr>
          <w:p w14:paraId="567ED813">
            <w:pPr>
              <w:snapToGrid w:val="0"/>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评价方法和评价因子</w:t>
            </w:r>
          </w:p>
          <w:p w14:paraId="6713D65F">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szCs w:val="22"/>
                <w14:textFill>
                  <w14:solidFill>
                    <w14:schemeClr w14:val="tx1"/>
                  </w14:solidFill>
                </w14:textFill>
              </w:rPr>
              <w:t>（1）</w:t>
            </w:r>
            <w:r>
              <w:rPr>
                <w:bCs/>
                <w:color w:val="000000" w:themeColor="text1"/>
                <w:sz w:val="24"/>
                <w14:textFill>
                  <w14:solidFill>
                    <w14:schemeClr w14:val="tx1"/>
                  </w14:solidFill>
                </w14:textFill>
              </w:rPr>
              <w:t>升压站噪声采用模式预测的方法进行评价，评价因子为昼间、夜间等效声级；对架空线路噪声采用类比监测的方法进行评价，评价因子为昼间、夜间等效声级。</w:t>
            </w:r>
          </w:p>
          <w:p w14:paraId="534123FB">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szCs w:val="22"/>
                <w14:textFill>
                  <w14:solidFill>
                    <w14:schemeClr w14:val="tx1"/>
                  </w14:solidFill>
                </w14:textFill>
              </w:rPr>
              <w:t>（2）</w:t>
            </w:r>
            <w:r>
              <w:rPr>
                <w:rFonts w:hint="eastAsia"/>
                <w:bCs/>
                <w:color w:val="000000" w:themeColor="text1"/>
                <w:sz w:val="24"/>
                <w14:textFill>
                  <w14:solidFill>
                    <w14:schemeClr w14:val="tx1"/>
                  </w14:solidFill>
                </w14:textFill>
              </w:rPr>
              <w:t>升压站</w:t>
            </w:r>
            <w:r>
              <w:rPr>
                <w:bCs/>
                <w:color w:val="000000" w:themeColor="text1"/>
                <w:sz w:val="24"/>
                <w14:textFill>
                  <w14:solidFill>
                    <w14:schemeClr w14:val="tx1"/>
                  </w14:solidFill>
                </w14:textFill>
              </w:rPr>
              <w:t>及线路周边生态环境充分利用已有资料进行说明，评价因子为生态系统及其生物因子、非生物因子等。</w:t>
            </w:r>
            <w:r>
              <w:rPr>
                <w:rFonts w:hint="eastAsia"/>
                <w:bCs/>
                <w:color w:val="000000" w:themeColor="text1"/>
                <w:sz w:val="24"/>
                <w:szCs w:val="22"/>
                <w14:textFill>
                  <w14:solidFill>
                    <w14:schemeClr w14:val="tx1"/>
                  </w14:solidFill>
                </w14:textFill>
              </w:rPr>
              <w:t>本项目</w:t>
            </w:r>
            <w:r>
              <w:rPr>
                <w:bCs/>
                <w:color w:val="000000" w:themeColor="text1"/>
                <w:sz w:val="24"/>
                <w:szCs w:val="22"/>
                <w14:textFill>
                  <w14:solidFill>
                    <w14:schemeClr w14:val="tx1"/>
                  </w14:solidFill>
                </w14:textFill>
              </w:rPr>
              <w:t>工程评价因子见</w:t>
            </w:r>
            <w:r>
              <w:rPr>
                <w:rFonts w:hint="eastAsia"/>
                <w:bCs/>
                <w:color w:val="000000" w:themeColor="text1"/>
                <w:sz w:val="24"/>
                <w:szCs w:val="22"/>
                <w14:textFill>
                  <w14:solidFill>
                    <w14:schemeClr w14:val="tx1"/>
                  </w14:solidFill>
                </w14:textFill>
              </w:rPr>
              <w:t>下</w:t>
            </w:r>
            <w:r>
              <w:rPr>
                <w:bCs/>
                <w:color w:val="000000" w:themeColor="text1"/>
                <w:sz w:val="24"/>
                <w:szCs w:val="22"/>
                <w14:textFill>
                  <w14:solidFill>
                    <w14:schemeClr w14:val="tx1"/>
                  </w14:solidFill>
                </w14:textFill>
              </w:rPr>
              <w:t>表。</w:t>
            </w:r>
          </w:p>
          <w:p w14:paraId="2C04671C">
            <w:pPr>
              <w:snapToGrid w:val="0"/>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本项目</w:t>
            </w:r>
            <w:r>
              <w:rPr>
                <w:b/>
                <w:color w:val="000000" w:themeColor="text1"/>
                <w:sz w:val="24"/>
                <w14:textFill>
                  <w14:solidFill>
                    <w14:schemeClr w14:val="tx1"/>
                  </w14:solidFill>
                </w14:textFill>
              </w:rPr>
              <w:t>评价因子一览表</w:t>
            </w:r>
          </w:p>
          <w:tbl>
            <w:tblPr>
              <w:tblStyle w:val="66"/>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34"/>
              <w:gridCol w:w="965"/>
              <w:gridCol w:w="2207"/>
              <w:gridCol w:w="828"/>
              <w:gridCol w:w="2105"/>
              <w:gridCol w:w="818"/>
            </w:tblGrid>
            <w:tr w14:paraId="74F6AA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5" w:hRule="atLeast"/>
                <w:jc w:val="center"/>
              </w:trPr>
              <w:tc>
                <w:tcPr>
                  <w:tcW w:w="594" w:type="pct"/>
                  <w:vAlign w:val="center"/>
                </w:tcPr>
                <w:p w14:paraId="091303F5">
                  <w:pPr>
                    <w:spacing w:line="360" w:lineRule="exact"/>
                    <w:jc w:val="center"/>
                    <w:rPr>
                      <w:iCs/>
                      <w:snapToGrid w:val="0"/>
                      <w:color w:val="000000" w:themeColor="text1"/>
                      <w:kern w:val="0"/>
                      <w:szCs w:val="21"/>
                      <w14:textFill>
                        <w14:solidFill>
                          <w14:schemeClr w14:val="tx1"/>
                        </w14:solidFill>
                      </w14:textFill>
                    </w:rPr>
                  </w:pPr>
                  <w:r>
                    <w:rPr>
                      <w:iCs/>
                      <w:snapToGrid w:val="0"/>
                      <w:color w:val="000000" w:themeColor="text1"/>
                      <w:kern w:val="0"/>
                      <w:szCs w:val="21"/>
                      <w14:textFill>
                        <w14:solidFill>
                          <w14:schemeClr w14:val="tx1"/>
                        </w14:solidFill>
                      </w14:textFill>
                    </w:rPr>
                    <w:t>评价时段</w:t>
                  </w:r>
                </w:p>
              </w:tc>
              <w:tc>
                <w:tcPr>
                  <w:tcW w:w="614" w:type="pct"/>
                  <w:vAlign w:val="center"/>
                </w:tcPr>
                <w:p w14:paraId="0DF92557">
                  <w:pPr>
                    <w:spacing w:line="360" w:lineRule="exact"/>
                    <w:jc w:val="center"/>
                    <w:rPr>
                      <w:iCs/>
                      <w:snapToGrid w:val="0"/>
                      <w:color w:val="000000" w:themeColor="text1"/>
                      <w:kern w:val="0"/>
                      <w:szCs w:val="21"/>
                      <w14:textFill>
                        <w14:solidFill>
                          <w14:schemeClr w14:val="tx1"/>
                        </w14:solidFill>
                      </w14:textFill>
                    </w:rPr>
                  </w:pPr>
                  <w:r>
                    <w:rPr>
                      <w:iCs/>
                      <w:snapToGrid w:val="0"/>
                      <w:color w:val="000000" w:themeColor="text1"/>
                      <w:kern w:val="0"/>
                      <w:szCs w:val="21"/>
                      <w14:textFill>
                        <w14:solidFill>
                          <w14:schemeClr w14:val="tx1"/>
                        </w14:solidFill>
                      </w14:textFill>
                    </w:rPr>
                    <w:t>评价项目</w:t>
                  </w:r>
                </w:p>
              </w:tc>
              <w:tc>
                <w:tcPr>
                  <w:tcW w:w="1404" w:type="pct"/>
                  <w:vAlign w:val="center"/>
                </w:tcPr>
                <w:p w14:paraId="5916472B">
                  <w:pPr>
                    <w:spacing w:line="360" w:lineRule="exact"/>
                    <w:jc w:val="center"/>
                    <w:rPr>
                      <w:iCs/>
                      <w:snapToGrid w:val="0"/>
                      <w:color w:val="000000" w:themeColor="text1"/>
                      <w:kern w:val="0"/>
                      <w:szCs w:val="21"/>
                      <w14:textFill>
                        <w14:solidFill>
                          <w14:schemeClr w14:val="tx1"/>
                        </w14:solidFill>
                      </w14:textFill>
                    </w:rPr>
                  </w:pPr>
                  <w:r>
                    <w:rPr>
                      <w:iCs/>
                      <w:snapToGrid w:val="0"/>
                      <w:color w:val="000000" w:themeColor="text1"/>
                      <w:kern w:val="0"/>
                      <w:szCs w:val="21"/>
                      <w14:textFill>
                        <w14:solidFill>
                          <w14:schemeClr w14:val="tx1"/>
                        </w14:solidFill>
                      </w14:textFill>
                    </w:rPr>
                    <w:t>现状评价因子</w:t>
                  </w:r>
                </w:p>
              </w:tc>
              <w:tc>
                <w:tcPr>
                  <w:tcW w:w="527" w:type="pct"/>
                  <w:vAlign w:val="center"/>
                </w:tcPr>
                <w:p w14:paraId="3C281E47">
                  <w:pPr>
                    <w:spacing w:line="360" w:lineRule="exact"/>
                    <w:jc w:val="center"/>
                    <w:rPr>
                      <w:iCs/>
                      <w:snapToGrid w:val="0"/>
                      <w:color w:val="000000" w:themeColor="text1"/>
                      <w:kern w:val="0"/>
                      <w:szCs w:val="21"/>
                      <w14:textFill>
                        <w14:solidFill>
                          <w14:schemeClr w14:val="tx1"/>
                        </w14:solidFill>
                      </w14:textFill>
                    </w:rPr>
                  </w:pPr>
                  <w:r>
                    <w:rPr>
                      <w:iCs/>
                      <w:snapToGrid w:val="0"/>
                      <w:color w:val="000000" w:themeColor="text1"/>
                      <w:kern w:val="0"/>
                      <w:szCs w:val="21"/>
                      <w14:textFill>
                        <w14:solidFill>
                          <w14:schemeClr w14:val="tx1"/>
                        </w14:solidFill>
                      </w14:textFill>
                    </w:rPr>
                    <w:t>单位</w:t>
                  </w:r>
                </w:p>
              </w:tc>
              <w:tc>
                <w:tcPr>
                  <w:tcW w:w="1339" w:type="pct"/>
                  <w:vAlign w:val="center"/>
                </w:tcPr>
                <w:p w14:paraId="3B8DD979">
                  <w:pPr>
                    <w:spacing w:line="360" w:lineRule="exact"/>
                    <w:jc w:val="center"/>
                    <w:rPr>
                      <w:iCs/>
                      <w:snapToGrid w:val="0"/>
                      <w:color w:val="000000" w:themeColor="text1"/>
                      <w:kern w:val="0"/>
                      <w:szCs w:val="21"/>
                      <w14:textFill>
                        <w14:solidFill>
                          <w14:schemeClr w14:val="tx1"/>
                        </w14:solidFill>
                      </w14:textFill>
                    </w:rPr>
                  </w:pPr>
                  <w:r>
                    <w:rPr>
                      <w:iCs/>
                      <w:snapToGrid w:val="0"/>
                      <w:color w:val="000000" w:themeColor="text1"/>
                      <w:kern w:val="0"/>
                      <w:szCs w:val="21"/>
                      <w14:textFill>
                        <w14:solidFill>
                          <w14:schemeClr w14:val="tx1"/>
                        </w14:solidFill>
                      </w14:textFill>
                    </w:rPr>
                    <w:t>预测评价因子</w:t>
                  </w:r>
                </w:p>
              </w:tc>
              <w:tc>
                <w:tcPr>
                  <w:tcW w:w="520" w:type="pct"/>
                  <w:vAlign w:val="center"/>
                </w:tcPr>
                <w:p w14:paraId="39730EC1">
                  <w:pPr>
                    <w:spacing w:line="360" w:lineRule="exact"/>
                    <w:jc w:val="center"/>
                    <w:rPr>
                      <w:iCs/>
                      <w:snapToGrid w:val="0"/>
                      <w:color w:val="000000" w:themeColor="text1"/>
                      <w:kern w:val="0"/>
                      <w:szCs w:val="21"/>
                      <w14:textFill>
                        <w14:solidFill>
                          <w14:schemeClr w14:val="tx1"/>
                        </w14:solidFill>
                      </w14:textFill>
                    </w:rPr>
                  </w:pPr>
                  <w:r>
                    <w:rPr>
                      <w:iCs/>
                      <w:snapToGrid w:val="0"/>
                      <w:color w:val="000000" w:themeColor="text1"/>
                      <w:kern w:val="0"/>
                      <w:szCs w:val="21"/>
                      <w14:textFill>
                        <w14:solidFill>
                          <w14:schemeClr w14:val="tx1"/>
                        </w14:solidFill>
                      </w14:textFill>
                    </w:rPr>
                    <w:t>单位</w:t>
                  </w:r>
                </w:p>
              </w:tc>
            </w:tr>
            <w:tr w14:paraId="6F354B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8" w:hRule="atLeast"/>
                <w:jc w:val="center"/>
              </w:trPr>
              <w:tc>
                <w:tcPr>
                  <w:tcW w:w="594" w:type="pct"/>
                  <w:noWrap/>
                  <w:vAlign w:val="center"/>
                </w:tcPr>
                <w:p w14:paraId="47CFC035">
                  <w:pPr>
                    <w:spacing w:line="360" w:lineRule="exact"/>
                    <w:jc w:val="center"/>
                    <w:rPr>
                      <w:iCs/>
                      <w:snapToGrid w:val="0"/>
                      <w:color w:val="000000" w:themeColor="text1"/>
                      <w:kern w:val="0"/>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运营期</w:t>
                  </w:r>
                </w:p>
              </w:tc>
              <w:tc>
                <w:tcPr>
                  <w:tcW w:w="614" w:type="pct"/>
                  <w:vAlign w:val="center"/>
                </w:tcPr>
                <w:p w14:paraId="72DB2F8E">
                  <w:pPr>
                    <w:spacing w:line="360" w:lineRule="exact"/>
                    <w:jc w:val="center"/>
                    <w:rPr>
                      <w:iCs/>
                      <w:snapToGrid w:val="0"/>
                      <w:color w:val="000000" w:themeColor="text1"/>
                      <w:kern w:val="0"/>
                      <w:szCs w:val="21"/>
                      <w14:textFill>
                        <w14:solidFill>
                          <w14:schemeClr w14:val="tx1"/>
                        </w14:solidFill>
                      </w14:textFill>
                    </w:rPr>
                  </w:pPr>
                  <w:r>
                    <w:rPr>
                      <w:iCs/>
                      <w:snapToGrid w:val="0"/>
                      <w:color w:val="000000" w:themeColor="text1"/>
                      <w:kern w:val="0"/>
                      <w:szCs w:val="21"/>
                      <w14:textFill>
                        <w14:solidFill>
                          <w14:schemeClr w14:val="tx1"/>
                        </w14:solidFill>
                      </w14:textFill>
                    </w:rPr>
                    <w:t>声环境</w:t>
                  </w:r>
                </w:p>
              </w:tc>
              <w:tc>
                <w:tcPr>
                  <w:tcW w:w="1404" w:type="pct"/>
                  <w:vAlign w:val="center"/>
                </w:tcPr>
                <w:p w14:paraId="3FB4671F">
                  <w:pPr>
                    <w:spacing w:line="360" w:lineRule="exact"/>
                    <w:jc w:val="center"/>
                    <w:rPr>
                      <w:iCs/>
                      <w:snapToGrid w:val="0"/>
                      <w:color w:val="000000" w:themeColor="text1"/>
                      <w:kern w:val="0"/>
                      <w:szCs w:val="21"/>
                      <w14:textFill>
                        <w14:solidFill>
                          <w14:schemeClr w14:val="tx1"/>
                        </w14:solidFill>
                      </w14:textFill>
                    </w:rPr>
                  </w:pPr>
                  <w:r>
                    <w:rPr>
                      <w:iCs/>
                      <w:snapToGrid w:val="0"/>
                      <w:color w:val="000000" w:themeColor="text1"/>
                      <w:kern w:val="0"/>
                      <w:szCs w:val="21"/>
                      <w14:textFill>
                        <w14:solidFill>
                          <w14:schemeClr w14:val="tx1"/>
                        </w14:solidFill>
                      </w14:textFill>
                    </w:rPr>
                    <w:t>昼间、夜间等效声级，L</w:t>
                  </w:r>
                  <w:r>
                    <w:rPr>
                      <w:iCs/>
                      <w:snapToGrid w:val="0"/>
                      <w:color w:val="000000" w:themeColor="text1"/>
                      <w:kern w:val="0"/>
                      <w:szCs w:val="21"/>
                      <w:vertAlign w:val="subscript"/>
                      <w14:textFill>
                        <w14:solidFill>
                          <w14:schemeClr w14:val="tx1"/>
                        </w14:solidFill>
                      </w14:textFill>
                    </w:rPr>
                    <w:t>eq</w:t>
                  </w:r>
                </w:p>
              </w:tc>
              <w:tc>
                <w:tcPr>
                  <w:tcW w:w="527" w:type="pct"/>
                  <w:vAlign w:val="center"/>
                </w:tcPr>
                <w:p w14:paraId="01EECB58">
                  <w:pPr>
                    <w:spacing w:line="360" w:lineRule="exact"/>
                    <w:rPr>
                      <w:iCs/>
                      <w:snapToGrid w:val="0"/>
                      <w:color w:val="000000" w:themeColor="text1"/>
                      <w:kern w:val="0"/>
                      <w:szCs w:val="21"/>
                      <w14:textFill>
                        <w14:solidFill>
                          <w14:schemeClr w14:val="tx1"/>
                        </w14:solidFill>
                      </w14:textFill>
                    </w:rPr>
                  </w:pPr>
                  <w:r>
                    <w:rPr>
                      <w:color w:val="000000" w:themeColor="text1"/>
                      <w14:textFill>
                        <w14:solidFill>
                          <w14:schemeClr w14:val="tx1"/>
                        </w14:solidFill>
                      </w14:textFill>
                    </w:rPr>
                    <w:t>dB（A）</w:t>
                  </w:r>
                </w:p>
              </w:tc>
              <w:tc>
                <w:tcPr>
                  <w:tcW w:w="1339" w:type="pct"/>
                  <w:vAlign w:val="center"/>
                </w:tcPr>
                <w:p w14:paraId="66E13368">
                  <w:pPr>
                    <w:spacing w:line="360" w:lineRule="exact"/>
                    <w:jc w:val="center"/>
                    <w:rPr>
                      <w:iCs/>
                      <w:snapToGrid w:val="0"/>
                      <w:color w:val="000000" w:themeColor="text1"/>
                      <w:kern w:val="0"/>
                      <w:szCs w:val="21"/>
                      <w14:textFill>
                        <w14:solidFill>
                          <w14:schemeClr w14:val="tx1"/>
                        </w14:solidFill>
                      </w14:textFill>
                    </w:rPr>
                  </w:pPr>
                  <w:r>
                    <w:rPr>
                      <w:iCs/>
                      <w:snapToGrid w:val="0"/>
                      <w:color w:val="000000" w:themeColor="text1"/>
                      <w:kern w:val="0"/>
                      <w:szCs w:val="21"/>
                      <w14:textFill>
                        <w14:solidFill>
                          <w14:schemeClr w14:val="tx1"/>
                        </w14:solidFill>
                      </w14:textFill>
                    </w:rPr>
                    <w:t>昼间、夜间等效声级，L</w:t>
                  </w:r>
                  <w:r>
                    <w:rPr>
                      <w:iCs/>
                      <w:snapToGrid w:val="0"/>
                      <w:color w:val="000000" w:themeColor="text1"/>
                      <w:kern w:val="0"/>
                      <w:szCs w:val="21"/>
                      <w:vertAlign w:val="subscript"/>
                      <w14:textFill>
                        <w14:solidFill>
                          <w14:schemeClr w14:val="tx1"/>
                        </w14:solidFill>
                      </w14:textFill>
                    </w:rPr>
                    <w:t>eq</w:t>
                  </w:r>
                </w:p>
              </w:tc>
              <w:tc>
                <w:tcPr>
                  <w:tcW w:w="520" w:type="pct"/>
                  <w:vAlign w:val="center"/>
                </w:tcPr>
                <w:p w14:paraId="497BB34E">
                  <w:pPr>
                    <w:spacing w:line="360" w:lineRule="exact"/>
                    <w:jc w:val="center"/>
                    <w:rPr>
                      <w:iCs/>
                      <w:snapToGrid w:val="0"/>
                      <w:color w:val="000000" w:themeColor="text1"/>
                      <w:kern w:val="0"/>
                      <w:szCs w:val="21"/>
                      <w14:textFill>
                        <w14:solidFill>
                          <w14:schemeClr w14:val="tx1"/>
                        </w14:solidFill>
                      </w14:textFill>
                    </w:rPr>
                  </w:pPr>
                  <w:r>
                    <w:rPr>
                      <w:color w:val="000000" w:themeColor="text1"/>
                      <w14:textFill>
                        <w14:solidFill>
                          <w14:schemeClr w14:val="tx1"/>
                        </w14:solidFill>
                      </w14:textFill>
                    </w:rPr>
                    <w:t>dB（A）</w:t>
                  </w:r>
                </w:p>
              </w:tc>
            </w:tr>
          </w:tbl>
          <w:p w14:paraId="6497DBB9">
            <w:pPr>
              <w:snapToGrid w:val="0"/>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续</w:t>
            </w:r>
            <w:r>
              <w:rPr>
                <w:b/>
                <w:color w:val="000000" w:themeColor="text1"/>
                <w:sz w:val="24"/>
                <w14:textFill>
                  <w14:solidFill>
                    <w14:schemeClr w14:val="tx1"/>
                  </w14:solidFill>
                </w14:textFill>
              </w:rPr>
              <w:t>表</w:t>
            </w: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5</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本项目</w:t>
            </w:r>
            <w:r>
              <w:rPr>
                <w:b/>
                <w:color w:val="000000" w:themeColor="text1"/>
                <w:sz w:val="24"/>
                <w14:textFill>
                  <w14:solidFill>
                    <w14:schemeClr w14:val="tx1"/>
                  </w14:solidFill>
                </w14:textFill>
              </w:rPr>
              <w:t>评价因子一览表</w:t>
            </w:r>
          </w:p>
          <w:tbl>
            <w:tblPr>
              <w:tblStyle w:val="66"/>
              <w:tblW w:w="4998" w:type="pct"/>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7"/>
              <w:gridCol w:w="696"/>
              <w:gridCol w:w="894"/>
              <w:gridCol w:w="4116"/>
              <w:gridCol w:w="977"/>
              <w:gridCol w:w="602"/>
            </w:tblGrid>
            <w:tr w14:paraId="2770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1" w:type="pct"/>
                  <w:vAlign w:val="center"/>
                </w:tcPr>
                <w:p w14:paraId="0AB86DAD">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评价时段</w:t>
                  </w:r>
                </w:p>
              </w:tc>
              <w:tc>
                <w:tcPr>
                  <w:tcW w:w="443" w:type="pct"/>
                  <w:vAlign w:val="center"/>
                </w:tcPr>
                <w:p w14:paraId="16B1B632">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受影响对象</w:t>
                  </w:r>
                </w:p>
              </w:tc>
              <w:tc>
                <w:tcPr>
                  <w:tcW w:w="569" w:type="pct"/>
                  <w:vAlign w:val="center"/>
                </w:tcPr>
                <w:p w14:paraId="13FED641">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评价因子</w:t>
                  </w:r>
                </w:p>
              </w:tc>
              <w:tc>
                <w:tcPr>
                  <w:tcW w:w="2620" w:type="pct"/>
                  <w:vAlign w:val="center"/>
                </w:tcPr>
                <w:p w14:paraId="41AFE19A">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工程内容及影响方式</w:t>
                  </w:r>
                </w:p>
              </w:tc>
              <w:tc>
                <w:tcPr>
                  <w:tcW w:w="622" w:type="pct"/>
                  <w:vAlign w:val="center"/>
                </w:tcPr>
                <w:p w14:paraId="3D09D69A">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影响性质</w:t>
                  </w:r>
                </w:p>
              </w:tc>
              <w:tc>
                <w:tcPr>
                  <w:tcW w:w="383" w:type="pct"/>
                  <w:vAlign w:val="center"/>
                </w:tcPr>
                <w:p w14:paraId="33195C91">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影响程度</w:t>
                  </w:r>
                </w:p>
              </w:tc>
            </w:tr>
            <w:tr w14:paraId="4802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1" w:type="pct"/>
                  <w:vMerge w:val="restart"/>
                  <w:vAlign w:val="center"/>
                </w:tcPr>
                <w:p w14:paraId="319103B6">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施工期</w:t>
                  </w:r>
                </w:p>
              </w:tc>
              <w:tc>
                <w:tcPr>
                  <w:tcW w:w="443" w:type="pct"/>
                  <w:vMerge w:val="restart"/>
                  <w:vAlign w:val="center"/>
                </w:tcPr>
                <w:p w14:paraId="7F76F1B9">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物种</w:t>
                  </w:r>
                </w:p>
              </w:tc>
              <w:tc>
                <w:tcPr>
                  <w:tcW w:w="569" w:type="pct"/>
                  <w:vMerge w:val="restart"/>
                  <w:vAlign w:val="center"/>
                </w:tcPr>
                <w:p w14:paraId="03196AA3">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分布范围、种群数量</w:t>
                  </w:r>
                </w:p>
              </w:tc>
              <w:tc>
                <w:tcPr>
                  <w:tcW w:w="2620" w:type="pct"/>
                  <w:vAlign w:val="center"/>
                </w:tcPr>
                <w:p w14:paraId="79F5A7C0">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光伏场区、升压站等永久占地产生的直接影响、间接</w:t>
                  </w:r>
                  <w:r>
                    <w:rPr>
                      <w:rFonts w:ascii="Times New Roman" w:hAnsi="Times New Roman" w:cs="Times New Roman"/>
                      <w:color w:val="000000" w:themeColor="text1"/>
                      <w:spacing w:val="15"/>
                      <w:sz w:val="21"/>
                      <w:szCs w:val="21"/>
                      <w:lang w:eastAsia="zh-CN"/>
                      <w14:textFill>
                        <w14:solidFill>
                          <w14:schemeClr w14:val="tx1"/>
                        </w14:solidFill>
                      </w14:textFill>
                    </w:rPr>
                    <w:t>生态影响</w:t>
                  </w:r>
                </w:p>
              </w:tc>
              <w:tc>
                <w:tcPr>
                  <w:tcW w:w="622" w:type="pct"/>
                  <w:vAlign w:val="center"/>
                </w:tcPr>
                <w:p w14:paraId="59047B49">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pacing w:val="7"/>
                      <w:sz w:val="21"/>
                      <w:szCs w:val="21"/>
                      <w14:textFill>
                        <w14:solidFill>
                          <w14:schemeClr w14:val="tx1"/>
                        </w14:solidFill>
                      </w14:textFill>
                    </w:rPr>
                    <w:t>长期、不</w:t>
                  </w:r>
                  <w:r>
                    <w:rPr>
                      <w:color w:val="000000" w:themeColor="text1"/>
                      <w:spacing w:val="3"/>
                      <w:sz w:val="21"/>
                      <w:szCs w:val="21"/>
                      <w14:textFill>
                        <w14:solidFill>
                          <w14:schemeClr w14:val="tx1"/>
                        </w14:solidFill>
                      </w14:textFill>
                    </w:rPr>
                    <w:t>可逆</w:t>
                  </w:r>
                </w:p>
              </w:tc>
              <w:tc>
                <w:tcPr>
                  <w:tcW w:w="383" w:type="pct"/>
                  <w:vAlign w:val="center"/>
                </w:tcPr>
                <w:p w14:paraId="4EDF659A">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r w14:paraId="7151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1" w:type="pct"/>
                  <w:vMerge w:val="continue"/>
                  <w:vAlign w:val="center"/>
                </w:tcPr>
                <w:p w14:paraId="43648A1F">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443" w:type="pct"/>
                  <w:vMerge w:val="continue"/>
                  <w:vAlign w:val="center"/>
                </w:tcPr>
                <w:p w14:paraId="2118BD05">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569" w:type="pct"/>
                  <w:vMerge w:val="continue"/>
                  <w:vAlign w:val="center"/>
                </w:tcPr>
                <w:p w14:paraId="42E4F28E">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2620" w:type="pct"/>
                  <w:vAlign w:val="center"/>
                </w:tcPr>
                <w:p w14:paraId="1E81EBED">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集电线路</w:t>
                  </w:r>
                  <w:r>
                    <w:rPr>
                      <w:rFonts w:ascii="Times New Roman" w:hAnsi="Times New Roman" w:cs="Times New Roman"/>
                      <w:color w:val="000000" w:themeColor="text1"/>
                      <w:spacing w:val="13"/>
                      <w:sz w:val="21"/>
                      <w:szCs w:val="21"/>
                      <w:lang w:eastAsia="zh-CN"/>
                      <w14:textFill>
                        <w14:solidFill>
                          <w14:schemeClr w14:val="tx1"/>
                        </w14:solidFill>
                      </w14:textFill>
                    </w:rPr>
                    <w:t>施工作业带</w:t>
                  </w:r>
                  <w:r>
                    <w:rPr>
                      <w:rFonts w:ascii="Times New Roman" w:hAnsi="Times New Roman" w:cs="Times New Roman"/>
                      <w:color w:val="000000" w:themeColor="text1"/>
                      <w:spacing w:val="18"/>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bidi="ar"/>
                      <w14:textFill>
                        <w14:solidFill>
                          <w14:schemeClr w14:val="tx1"/>
                        </w14:solidFill>
                      </w14:textFill>
                    </w:rPr>
                    <w:t>表土临时堆场、施工临时场地</w:t>
                  </w:r>
                  <w:r>
                    <w:rPr>
                      <w:rFonts w:ascii="Times New Roman" w:hAnsi="Times New Roman" w:cs="Times New Roman"/>
                      <w:color w:val="000000" w:themeColor="text1"/>
                      <w:spacing w:val="13"/>
                      <w:sz w:val="21"/>
                      <w:szCs w:val="21"/>
                      <w:lang w:eastAsia="zh-CN"/>
                      <w14:textFill>
                        <w14:solidFill>
                          <w14:schemeClr w14:val="tx1"/>
                        </w14:solidFill>
                      </w14:textFill>
                    </w:rPr>
                    <w:t>等临时占地产生的直</w:t>
                  </w:r>
                  <w:r>
                    <w:rPr>
                      <w:rFonts w:ascii="Times New Roman" w:hAnsi="Times New Roman" w:cs="Times New Roman"/>
                      <w:color w:val="000000" w:themeColor="text1"/>
                      <w:spacing w:val="15"/>
                      <w:sz w:val="21"/>
                      <w:szCs w:val="21"/>
                      <w:lang w:eastAsia="zh-CN"/>
                      <w14:textFill>
                        <w14:solidFill>
                          <w14:schemeClr w14:val="tx1"/>
                        </w14:solidFill>
                      </w14:textFill>
                    </w:rPr>
                    <w:t>接影响</w:t>
                  </w:r>
                </w:p>
              </w:tc>
              <w:tc>
                <w:tcPr>
                  <w:tcW w:w="622" w:type="pct"/>
                  <w:vAlign w:val="center"/>
                </w:tcPr>
                <w:p w14:paraId="4B78C453">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短期，可逆</w:t>
                  </w:r>
                </w:p>
              </w:tc>
              <w:tc>
                <w:tcPr>
                  <w:tcW w:w="383" w:type="pct"/>
                  <w:vAlign w:val="center"/>
                </w:tcPr>
                <w:p w14:paraId="6AB60F1E">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r w14:paraId="32FC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3" w:hRule="atLeast"/>
              </w:trPr>
              <w:tc>
                <w:tcPr>
                  <w:tcW w:w="361" w:type="pct"/>
                  <w:vMerge w:val="continue"/>
                  <w:vAlign w:val="center"/>
                </w:tcPr>
                <w:p w14:paraId="0CA1E238">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443" w:type="pct"/>
                  <w:vMerge w:val="restart"/>
                  <w:vAlign w:val="center"/>
                </w:tcPr>
                <w:p w14:paraId="6D53D3CB">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群落</w:t>
                  </w:r>
                </w:p>
              </w:tc>
              <w:tc>
                <w:tcPr>
                  <w:tcW w:w="569" w:type="pct"/>
                  <w:vMerge w:val="restart"/>
                  <w:vAlign w:val="center"/>
                </w:tcPr>
                <w:p w14:paraId="1AC05F3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物种组成、群落结构</w:t>
                  </w:r>
                </w:p>
              </w:tc>
              <w:tc>
                <w:tcPr>
                  <w:tcW w:w="2620" w:type="pct"/>
                  <w:vAlign w:val="center"/>
                </w:tcPr>
                <w:p w14:paraId="0B038FB1">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光伏场区、升压站等永久占地产生的直接影响、间接</w:t>
                  </w:r>
                  <w:r>
                    <w:rPr>
                      <w:rFonts w:ascii="Times New Roman" w:hAnsi="Times New Roman" w:cs="Times New Roman"/>
                      <w:color w:val="000000" w:themeColor="text1"/>
                      <w:spacing w:val="15"/>
                      <w:sz w:val="21"/>
                      <w:szCs w:val="21"/>
                      <w:lang w:eastAsia="zh-CN"/>
                      <w14:textFill>
                        <w14:solidFill>
                          <w14:schemeClr w14:val="tx1"/>
                        </w14:solidFill>
                      </w14:textFill>
                    </w:rPr>
                    <w:t>生态影响</w:t>
                  </w:r>
                </w:p>
              </w:tc>
              <w:tc>
                <w:tcPr>
                  <w:tcW w:w="622" w:type="pct"/>
                  <w:vAlign w:val="center"/>
                </w:tcPr>
                <w:p w14:paraId="1E9A2384">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pacing w:val="7"/>
                      <w:sz w:val="21"/>
                      <w:szCs w:val="21"/>
                      <w14:textFill>
                        <w14:solidFill>
                          <w14:schemeClr w14:val="tx1"/>
                        </w14:solidFill>
                      </w14:textFill>
                    </w:rPr>
                    <w:t>长期、不</w:t>
                  </w:r>
                  <w:r>
                    <w:rPr>
                      <w:color w:val="000000" w:themeColor="text1"/>
                      <w:spacing w:val="3"/>
                      <w:sz w:val="21"/>
                      <w:szCs w:val="21"/>
                      <w14:textFill>
                        <w14:solidFill>
                          <w14:schemeClr w14:val="tx1"/>
                        </w14:solidFill>
                      </w14:textFill>
                    </w:rPr>
                    <w:t>可逆</w:t>
                  </w:r>
                </w:p>
              </w:tc>
              <w:tc>
                <w:tcPr>
                  <w:tcW w:w="383" w:type="pct"/>
                  <w:vAlign w:val="center"/>
                </w:tcPr>
                <w:p w14:paraId="133C5240">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r w14:paraId="3963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trPr>
              <w:tc>
                <w:tcPr>
                  <w:tcW w:w="361" w:type="pct"/>
                  <w:vMerge w:val="continue"/>
                  <w:vAlign w:val="center"/>
                </w:tcPr>
                <w:p w14:paraId="311C7FF5">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443" w:type="pct"/>
                  <w:vMerge w:val="continue"/>
                  <w:vAlign w:val="center"/>
                </w:tcPr>
                <w:p w14:paraId="31A11367">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569" w:type="pct"/>
                  <w:vMerge w:val="continue"/>
                  <w:vAlign w:val="center"/>
                </w:tcPr>
                <w:p w14:paraId="735992D0">
                  <w:pPr>
                    <w:spacing w:line="360" w:lineRule="exact"/>
                    <w:jc w:val="center"/>
                    <w:rPr>
                      <w:color w:val="000000" w:themeColor="text1"/>
                      <w:szCs w:val="21"/>
                      <w14:textFill>
                        <w14:solidFill>
                          <w14:schemeClr w14:val="tx1"/>
                        </w14:solidFill>
                      </w14:textFill>
                    </w:rPr>
                  </w:pPr>
                </w:p>
              </w:tc>
              <w:tc>
                <w:tcPr>
                  <w:tcW w:w="2620" w:type="pct"/>
                  <w:vAlign w:val="center"/>
                </w:tcPr>
                <w:p w14:paraId="13510B04">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集电线路</w:t>
                  </w:r>
                  <w:r>
                    <w:rPr>
                      <w:rFonts w:ascii="Times New Roman" w:hAnsi="Times New Roman" w:cs="Times New Roman"/>
                      <w:color w:val="000000" w:themeColor="text1"/>
                      <w:spacing w:val="13"/>
                      <w:sz w:val="21"/>
                      <w:szCs w:val="21"/>
                      <w:lang w:eastAsia="zh-CN"/>
                      <w14:textFill>
                        <w14:solidFill>
                          <w14:schemeClr w14:val="tx1"/>
                        </w14:solidFill>
                      </w14:textFill>
                    </w:rPr>
                    <w:t>施工作业带</w:t>
                  </w:r>
                  <w:r>
                    <w:rPr>
                      <w:rFonts w:ascii="Times New Roman" w:hAnsi="Times New Roman" w:cs="Times New Roman"/>
                      <w:color w:val="000000" w:themeColor="text1"/>
                      <w:spacing w:val="18"/>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bidi="ar"/>
                      <w14:textFill>
                        <w14:solidFill>
                          <w14:schemeClr w14:val="tx1"/>
                        </w14:solidFill>
                      </w14:textFill>
                    </w:rPr>
                    <w:t>表土临时堆场、施工临时场地</w:t>
                  </w:r>
                  <w:r>
                    <w:rPr>
                      <w:rFonts w:ascii="Times New Roman" w:hAnsi="Times New Roman" w:cs="Times New Roman"/>
                      <w:color w:val="000000" w:themeColor="text1"/>
                      <w:spacing w:val="13"/>
                      <w:sz w:val="21"/>
                      <w:szCs w:val="21"/>
                      <w:lang w:eastAsia="zh-CN"/>
                      <w14:textFill>
                        <w14:solidFill>
                          <w14:schemeClr w14:val="tx1"/>
                        </w14:solidFill>
                      </w14:textFill>
                    </w:rPr>
                    <w:t>等临时占地产生的直</w:t>
                  </w:r>
                  <w:r>
                    <w:rPr>
                      <w:rFonts w:ascii="Times New Roman" w:hAnsi="Times New Roman" w:cs="Times New Roman"/>
                      <w:color w:val="000000" w:themeColor="text1"/>
                      <w:spacing w:val="15"/>
                      <w:sz w:val="21"/>
                      <w:szCs w:val="21"/>
                      <w:lang w:eastAsia="zh-CN"/>
                      <w14:textFill>
                        <w14:solidFill>
                          <w14:schemeClr w14:val="tx1"/>
                        </w14:solidFill>
                      </w14:textFill>
                    </w:rPr>
                    <w:t>接影响</w:t>
                  </w:r>
                </w:p>
              </w:tc>
              <w:tc>
                <w:tcPr>
                  <w:tcW w:w="622" w:type="pct"/>
                  <w:vAlign w:val="center"/>
                </w:tcPr>
                <w:p w14:paraId="2D02CF35">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短期，可逆</w:t>
                  </w:r>
                </w:p>
              </w:tc>
              <w:tc>
                <w:tcPr>
                  <w:tcW w:w="383" w:type="pct"/>
                  <w:vAlign w:val="center"/>
                </w:tcPr>
                <w:p w14:paraId="14907E4A">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r w14:paraId="1B32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61" w:type="pct"/>
                  <w:vMerge w:val="continue"/>
                  <w:vAlign w:val="center"/>
                </w:tcPr>
                <w:p w14:paraId="03441423">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443" w:type="pct"/>
                  <w:vMerge w:val="restart"/>
                  <w:vAlign w:val="center"/>
                </w:tcPr>
                <w:p w14:paraId="23D0BC41">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生境</w:t>
                  </w:r>
                </w:p>
              </w:tc>
              <w:tc>
                <w:tcPr>
                  <w:tcW w:w="569" w:type="pct"/>
                  <w:vMerge w:val="restart"/>
                  <w:vAlign w:val="center"/>
                </w:tcPr>
                <w:p w14:paraId="2BE0F564">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质量、连通性、破碎化程度</w:t>
                  </w:r>
                </w:p>
              </w:tc>
              <w:tc>
                <w:tcPr>
                  <w:tcW w:w="2620" w:type="pct"/>
                  <w:vAlign w:val="center"/>
                </w:tcPr>
                <w:p w14:paraId="50EBEF39">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光伏场区、升压站等永久占地产生的直接影响、间接</w:t>
                  </w:r>
                  <w:r>
                    <w:rPr>
                      <w:rFonts w:ascii="Times New Roman" w:hAnsi="Times New Roman" w:cs="Times New Roman"/>
                      <w:color w:val="000000" w:themeColor="text1"/>
                      <w:spacing w:val="15"/>
                      <w:sz w:val="21"/>
                      <w:szCs w:val="21"/>
                      <w:lang w:eastAsia="zh-CN"/>
                      <w14:textFill>
                        <w14:solidFill>
                          <w14:schemeClr w14:val="tx1"/>
                        </w14:solidFill>
                      </w14:textFill>
                    </w:rPr>
                    <w:t>生态影响</w:t>
                  </w:r>
                </w:p>
              </w:tc>
              <w:tc>
                <w:tcPr>
                  <w:tcW w:w="622" w:type="pct"/>
                  <w:vAlign w:val="center"/>
                </w:tcPr>
                <w:p w14:paraId="3CBECFE8">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pacing w:val="7"/>
                      <w:sz w:val="21"/>
                      <w:szCs w:val="21"/>
                      <w14:textFill>
                        <w14:solidFill>
                          <w14:schemeClr w14:val="tx1"/>
                        </w14:solidFill>
                      </w14:textFill>
                    </w:rPr>
                    <w:t>长期、不</w:t>
                  </w:r>
                  <w:r>
                    <w:rPr>
                      <w:color w:val="000000" w:themeColor="text1"/>
                      <w:spacing w:val="3"/>
                      <w:sz w:val="21"/>
                      <w:szCs w:val="21"/>
                      <w14:textFill>
                        <w14:solidFill>
                          <w14:schemeClr w14:val="tx1"/>
                        </w14:solidFill>
                      </w14:textFill>
                    </w:rPr>
                    <w:t>可逆</w:t>
                  </w:r>
                </w:p>
              </w:tc>
              <w:tc>
                <w:tcPr>
                  <w:tcW w:w="383" w:type="pct"/>
                  <w:vAlign w:val="center"/>
                </w:tcPr>
                <w:p w14:paraId="365EF8B6">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r w14:paraId="3215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trPr>
              <w:tc>
                <w:tcPr>
                  <w:tcW w:w="361" w:type="pct"/>
                  <w:vMerge w:val="continue"/>
                  <w:vAlign w:val="center"/>
                </w:tcPr>
                <w:p w14:paraId="7D55670A">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443" w:type="pct"/>
                  <w:vMerge w:val="continue"/>
                  <w:vAlign w:val="center"/>
                </w:tcPr>
                <w:p w14:paraId="04C51EEA">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569" w:type="pct"/>
                  <w:vMerge w:val="continue"/>
                  <w:vAlign w:val="center"/>
                </w:tcPr>
                <w:p w14:paraId="07712539">
                  <w:pPr>
                    <w:spacing w:line="360" w:lineRule="exact"/>
                    <w:jc w:val="center"/>
                    <w:rPr>
                      <w:color w:val="000000" w:themeColor="text1"/>
                      <w:szCs w:val="21"/>
                      <w14:textFill>
                        <w14:solidFill>
                          <w14:schemeClr w14:val="tx1"/>
                        </w14:solidFill>
                      </w14:textFill>
                    </w:rPr>
                  </w:pPr>
                </w:p>
              </w:tc>
              <w:tc>
                <w:tcPr>
                  <w:tcW w:w="2620" w:type="pct"/>
                  <w:vAlign w:val="center"/>
                </w:tcPr>
                <w:p w14:paraId="0CA88A84">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集电线路</w:t>
                  </w:r>
                  <w:r>
                    <w:rPr>
                      <w:rFonts w:ascii="Times New Roman" w:hAnsi="Times New Roman" w:cs="Times New Roman"/>
                      <w:color w:val="000000" w:themeColor="text1"/>
                      <w:spacing w:val="13"/>
                      <w:sz w:val="21"/>
                      <w:szCs w:val="21"/>
                      <w:lang w:eastAsia="zh-CN"/>
                      <w14:textFill>
                        <w14:solidFill>
                          <w14:schemeClr w14:val="tx1"/>
                        </w14:solidFill>
                      </w14:textFill>
                    </w:rPr>
                    <w:t>施工作业带</w:t>
                  </w:r>
                  <w:r>
                    <w:rPr>
                      <w:rFonts w:ascii="Times New Roman" w:hAnsi="Times New Roman" w:cs="Times New Roman"/>
                      <w:color w:val="000000" w:themeColor="text1"/>
                      <w:spacing w:val="18"/>
                      <w:sz w:val="21"/>
                      <w:szCs w:val="21"/>
                      <w:lang w:eastAsia="zh-CN"/>
                      <w14:textFill>
                        <w14:solidFill>
                          <w14:schemeClr w14:val="tx1"/>
                        </w14:solidFill>
                      </w14:textFill>
                    </w:rPr>
                    <w:t>、</w:t>
                  </w:r>
                  <w:r>
                    <w:rPr>
                      <w:rFonts w:ascii="Times New Roman" w:hAnsi="Times New Roman" w:cs="Times New Roman"/>
                      <w:color w:val="000000" w:themeColor="text1"/>
                      <w:sz w:val="21"/>
                      <w:szCs w:val="21"/>
                      <w:lang w:eastAsia="zh-CN" w:bidi="ar"/>
                      <w14:textFill>
                        <w14:solidFill>
                          <w14:schemeClr w14:val="tx1"/>
                        </w14:solidFill>
                      </w14:textFill>
                    </w:rPr>
                    <w:t>表土临时堆场、施工临时场地</w:t>
                  </w:r>
                  <w:r>
                    <w:rPr>
                      <w:rFonts w:ascii="Times New Roman" w:hAnsi="Times New Roman" w:cs="Times New Roman"/>
                      <w:color w:val="000000" w:themeColor="text1"/>
                      <w:spacing w:val="13"/>
                      <w:sz w:val="21"/>
                      <w:szCs w:val="21"/>
                      <w:lang w:eastAsia="zh-CN"/>
                      <w14:textFill>
                        <w14:solidFill>
                          <w14:schemeClr w14:val="tx1"/>
                        </w14:solidFill>
                      </w14:textFill>
                    </w:rPr>
                    <w:t>等临时占地产生的直</w:t>
                  </w:r>
                  <w:r>
                    <w:rPr>
                      <w:rFonts w:ascii="Times New Roman" w:hAnsi="Times New Roman" w:cs="Times New Roman"/>
                      <w:color w:val="000000" w:themeColor="text1"/>
                      <w:spacing w:val="15"/>
                      <w:sz w:val="21"/>
                      <w:szCs w:val="21"/>
                      <w:lang w:eastAsia="zh-CN"/>
                      <w14:textFill>
                        <w14:solidFill>
                          <w14:schemeClr w14:val="tx1"/>
                        </w14:solidFill>
                      </w14:textFill>
                    </w:rPr>
                    <w:t>接影响</w:t>
                  </w:r>
                </w:p>
              </w:tc>
              <w:tc>
                <w:tcPr>
                  <w:tcW w:w="622" w:type="pct"/>
                  <w:vAlign w:val="center"/>
                </w:tcPr>
                <w:p w14:paraId="1D2488A6">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短期，可逆</w:t>
                  </w:r>
                </w:p>
              </w:tc>
              <w:tc>
                <w:tcPr>
                  <w:tcW w:w="383" w:type="pct"/>
                  <w:vAlign w:val="center"/>
                </w:tcPr>
                <w:p w14:paraId="76510949">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r w14:paraId="5327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61" w:type="pct"/>
                  <w:vMerge w:val="continue"/>
                  <w:vAlign w:val="center"/>
                </w:tcPr>
                <w:p w14:paraId="45C6C661">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443" w:type="pct"/>
                  <w:vMerge w:val="restart"/>
                  <w:vAlign w:val="center"/>
                </w:tcPr>
                <w:p w14:paraId="55AB1CCD">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生态系统</w:t>
                  </w:r>
                </w:p>
              </w:tc>
              <w:tc>
                <w:tcPr>
                  <w:tcW w:w="569" w:type="pct"/>
                  <w:vMerge w:val="restart"/>
                  <w:vAlign w:val="center"/>
                </w:tcPr>
                <w:p w14:paraId="415710F0">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植被覆盖度、生产力、生物量、生态系统功能</w:t>
                  </w:r>
                </w:p>
              </w:tc>
              <w:tc>
                <w:tcPr>
                  <w:tcW w:w="2620" w:type="pct"/>
                  <w:vAlign w:val="center"/>
                </w:tcPr>
                <w:p w14:paraId="331116E4">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光伏场区、升压站等永久占地产生的直接影响、间接</w:t>
                  </w:r>
                  <w:r>
                    <w:rPr>
                      <w:rFonts w:ascii="Times New Roman" w:hAnsi="Times New Roman" w:cs="Times New Roman"/>
                      <w:color w:val="000000" w:themeColor="text1"/>
                      <w:spacing w:val="15"/>
                      <w:sz w:val="21"/>
                      <w:szCs w:val="21"/>
                      <w:lang w:eastAsia="zh-CN"/>
                      <w14:textFill>
                        <w14:solidFill>
                          <w14:schemeClr w14:val="tx1"/>
                        </w14:solidFill>
                      </w14:textFill>
                    </w:rPr>
                    <w:t>生态影响</w:t>
                  </w:r>
                </w:p>
              </w:tc>
              <w:tc>
                <w:tcPr>
                  <w:tcW w:w="622" w:type="pct"/>
                  <w:vAlign w:val="center"/>
                </w:tcPr>
                <w:p w14:paraId="6083DA00">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pacing w:val="7"/>
                      <w:sz w:val="21"/>
                      <w:szCs w:val="21"/>
                      <w14:textFill>
                        <w14:solidFill>
                          <w14:schemeClr w14:val="tx1"/>
                        </w14:solidFill>
                      </w14:textFill>
                    </w:rPr>
                    <w:t>长期、不</w:t>
                  </w:r>
                  <w:r>
                    <w:rPr>
                      <w:color w:val="000000" w:themeColor="text1"/>
                      <w:spacing w:val="3"/>
                      <w:sz w:val="21"/>
                      <w:szCs w:val="21"/>
                      <w14:textFill>
                        <w14:solidFill>
                          <w14:schemeClr w14:val="tx1"/>
                        </w14:solidFill>
                      </w14:textFill>
                    </w:rPr>
                    <w:t>可逆</w:t>
                  </w:r>
                </w:p>
              </w:tc>
              <w:tc>
                <w:tcPr>
                  <w:tcW w:w="383" w:type="pct"/>
                  <w:vAlign w:val="center"/>
                </w:tcPr>
                <w:p w14:paraId="28EFD4C2">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r w14:paraId="769E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361" w:type="pct"/>
                  <w:vMerge w:val="continue"/>
                  <w:vAlign w:val="center"/>
                </w:tcPr>
                <w:p w14:paraId="1B689570">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443" w:type="pct"/>
                  <w:vMerge w:val="continue"/>
                  <w:vAlign w:val="center"/>
                </w:tcPr>
                <w:p w14:paraId="2DA926E2">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569" w:type="pct"/>
                  <w:vMerge w:val="continue"/>
                  <w:vAlign w:val="center"/>
                </w:tcPr>
                <w:p w14:paraId="206279C2">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2620" w:type="pct"/>
                  <w:vAlign w:val="center"/>
                </w:tcPr>
                <w:p w14:paraId="26A566DA">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集电线路</w:t>
                  </w:r>
                  <w:r>
                    <w:rPr>
                      <w:rFonts w:ascii="Times New Roman" w:hAnsi="Times New Roman" w:cs="Times New Roman"/>
                      <w:color w:val="000000" w:themeColor="text1"/>
                      <w:spacing w:val="13"/>
                      <w:sz w:val="21"/>
                      <w:szCs w:val="21"/>
                      <w:lang w:eastAsia="zh-CN"/>
                      <w14:textFill>
                        <w14:solidFill>
                          <w14:schemeClr w14:val="tx1"/>
                        </w14:solidFill>
                      </w14:textFill>
                    </w:rPr>
                    <w:t>施工作业带</w:t>
                  </w:r>
                  <w:r>
                    <w:rPr>
                      <w:rFonts w:ascii="Times New Roman" w:hAnsi="Times New Roman" w:cs="Times New Roman"/>
                      <w:color w:val="000000" w:themeColor="text1"/>
                      <w:spacing w:val="18"/>
                      <w:sz w:val="21"/>
                      <w:szCs w:val="21"/>
                      <w:lang w:eastAsia="zh-CN"/>
                      <w14:textFill>
                        <w14:solidFill>
                          <w14:schemeClr w14:val="tx1"/>
                        </w14:solidFill>
                      </w14:textFill>
                    </w:rPr>
                    <w:t>、</w:t>
                  </w:r>
                  <w:r>
                    <w:rPr>
                      <w:rFonts w:ascii="Times New Roman" w:hAnsi="Times New Roman" w:cs="Times New Roman"/>
                      <w:color w:val="000000" w:themeColor="text1"/>
                      <w:szCs w:val="21"/>
                      <w:lang w:eastAsia="zh-CN" w:bidi="ar"/>
                      <w14:textFill>
                        <w14:solidFill>
                          <w14:schemeClr w14:val="tx1"/>
                        </w14:solidFill>
                      </w14:textFill>
                    </w:rPr>
                    <w:t>表土临时堆场、施工临时场地</w:t>
                  </w:r>
                  <w:r>
                    <w:rPr>
                      <w:rFonts w:ascii="Times New Roman" w:hAnsi="Times New Roman" w:cs="Times New Roman"/>
                      <w:color w:val="000000" w:themeColor="text1"/>
                      <w:spacing w:val="13"/>
                      <w:sz w:val="21"/>
                      <w:szCs w:val="21"/>
                      <w:lang w:eastAsia="zh-CN"/>
                      <w14:textFill>
                        <w14:solidFill>
                          <w14:schemeClr w14:val="tx1"/>
                        </w14:solidFill>
                      </w14:textFill>
                    </w:rPr>
                    <w:t>等临时占地产生的直</w:t>
                  </w:r>
                  <w:r>
                    <w:rPr>
                      <w:rFonts w:ascii="Times New Roman" w:hAnsi="Times New Roman" w:cs="Times New Roman"/>
                      <w:color w:val="000000" w:themeColor="text1"/>
                      <w:spacing w:val="15"/>
                      <w:sz w:val="21"/>
                      <w:szCs w:val="21"/>
                      <w:lang w:eastAsia="zh-CN"/>
                      <w14:textFill>
                        <w14:solidFill>
                          <w14:schemeClr w14:val="tx1"/>
                        </w14:solidFill>
                      </w14:textFill>
                    </w:rPr>
                    <w:t>接影响</w:t>
                  </w:r>
                </w:p>
              </w:tc>
              <w:tc>
                <w:tcPr>
                  <w:tcW w:w="622" w:type="pct"/>
                  <w:vAlign w:val="center"/>
                </w:tcPr>
                <w:p w14:paraId="2AB7F15B">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短期，可逆</w:t>
                  </w:r>
                </w:p>
              </w:tc>
              <w:tc>
                <w:tcPr>
                  <w:tcW w:w="383" w:type="pct"/>
                  <w:vAlign w:val="center"/>
                </w:tcPr>
                <w:p w14:paraId="26F1E11C">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r w14:paraId="56C8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trPr>
              <w:tc>
                <w:tcPr>
                  <w:tcW w:w="361" w:type="pct"/>
                  <w:vMerge w:val="continue"/>
                  <w:vAlign w:val="center"/>
                </w:tcPr>
                <w:p w14:paraId="2D8EDEEC">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443" w:type="pct"/>
                  <w:vMerge w:val="restart"/>
                  <w:vAlign w:val="center"/>
                </w:tcPr>
                <w:p w14:paraId="65BE5B7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生物多样性</w:t>
                  </w:r>
                </w:p>
              </w:tc>
              <w:tc>
                <w:tcPr>
                  <w:tcW w:w="569" w:type="pct"/>
                  <w:vMerge w:val="restart"/>
                  <w:vAlign w:val="center"/>
                </w:tcPr>
                <w:p w14:paraId="24E5480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物种丰富度、均匀度、优势度</w:t>
                  </w:r>
                </w:p>
              </w:tc>
              <w:tc>
                <w:tcPr>
                  <w:tcW w:w="2620" w:type="pct"/>
                  <w:vAlign w:val="center"/>
                </w:tcPr>
                <w:p w14:paraId="4E40F949">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光伏场区、升压站等永久占地产生的直接影响、间接</w:t>
                  </w:r>
                  <w:r>
                    <w:rPr>
                      <w:rFonts w:ascii="Times New Roman" w:hAnsi="Times New Roman" w:cs="Times New Roman"/>
                      <w:color w:val="000000" w:themeColor="text1"/>
                      <w:spacing w:val="15"/>
                      <w:sz w:val="21"/>
                      <w:szCs w:val="21"/>
                      <w:lang w:eastAsia="zh-CN"/>
                      <w14:textFill>
                        <w14:solidFill>
                          <w14:schemeClr w14:val="tx1"/>
                        </w14:solidFill>
                      </w14:textFill>
                    </w:rPr>
                    <w:t>生态影响</w:t>
                  </w:r>
                </w:p>
              </w:tc>
              <w:tc>
                <w:tcPr>
                  <w:tcW w:w="622" w:type="pct"/>
                  <w:vAlign w:val="center"/>
                </w:tcPr>
                <w:p w14:paraId="24BF0C38">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pacing w:val="7"/>
                      <w:sz w:val="21"/>
                      <w:szCs w:val="21"/>
                      <w14:textFill>
                        <w14:solidFill>
                          <w14:schemeClr w14:val="tx1"/>
                        </w14:solidFill>
                      </w14:textFill>
                    </w:rPr>
                    <w:t>长期、不</w:t>
                  </w:r>
                  <w:r>
                    <w:rPr>
                      <w:color w:val="000000" w:themeColor="text1"/>
                      <w:spacing w:val="3"/>
                      <w:sz w:val="21"/>
                      <w:szCs w:val="21"/>
                      <w14:textFill>
                        <w14:solidFill>
                          <w14:schemeClr w14:val="tx1"/>
                        </w14:solidFill>
                      </w14:textFill>
                    </w:rPr>
                    <w:t>可逆</w:t>
                  </w:r>
                </w:p>
              </w:tc>
              <w:tc>
                <w:tcPr>
                  <w:tcW w:w="383" w:type="pct"/>
                  <w:vAlign w:val="center"/>
                </w:tcPr>
                <w:p w14:paraId="63853A5A">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r w14:paraId="0C0E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361" w:type="pct"/>
                  <w:vMerge w:val="continue"/>
                  <w:vAlign w:val="center"/>
                </w:tcPr>
                <w:p w14:paraId="42A9996A">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443" w:type="pct"/>
                  <w:vMerge w:val="continue"/>
                  <w:vAlign w:val="center"/>
                </w:tcPr>
                <w:p w14:paraId="3763905E">
                  <w:pPr>
                    <w:spacing w:line="360" w:lineRule="exact"/>
                    <w:jc w:val="center"/>
                    <w:rPr>
                      <w:color w:val="000000" w:themeColor="text1"/>
                      <w:szCs w:val="21"/>
                      <w14:textFill>
                        <w14:solidFill>
                          <w14:schemeClr w14:val="tx1"/>
                        </w14:solidFill>
                      </w14:textFill>
                    </w:rPr>
                  </w:pPr>
                </w:p>
              </w:tc>
              <w:tc>
                <w:tcPr>
                  <w:tcW w:w="569" w:type="pct"/>
                  <w:vMerge w:val="continue"/>
                  <w:vAlign w:val="center"/>
                </w:tcPr>
                <w:p w14:paraId="1C492912">
                  <w:pPr>
                    <w:spacing w:line="360" w:lineRule="exact"/>
                    <w:jc w:val="center"/>
                    <w:rPr>
                      <w:color w:val="000000" w:themeColor="text1"/>
                      <w:szCs w:val="21"/>
                      <w14:textFill>
                        <w14:solidFill>
                          <w14:schemeClr w14:val="tx1"/>
                        </w14:solidFill>
                      </w14:textFill>
                    </w:rPr>
                  </w:pPr>
                </w:p>
              </w:tc>
              <w:tc>
                <w:tcPr>
                  <w:tcW w:w="2620" w:type="pct"/>
                  <w:vAlign w:val="center"/>
                </w:tcPr>
                <w:p w14:paraId="6524322A">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集电线路</w:t>
                  </w:r>
                  <w:r>
                    <w:rPr>
                      <w:rFonts w:ascii="Times New Roman" w:hAnsi="Times New Roman" w:cs="Times New Roman"/>
                      <w:color w:val="000000" w:themeColor="text1"/>
                      <w:spacing w:val="13"/>
                      <w:sz w:val="21"/>
                      <w:szCs w:val="21"/>
                      <w:lang w:eastAsia="zh-CN"/>
                      <w14:textFill>
                        <w14:solidFill>
                          <w14:schemeClr w14:val="tx1"/>
                        </w14:solidFill>
                      </w14:textFill>
                    </w:rPr>
                    <w:t>施工作业带</w:t>
                  </w:r>
                  <w:r>
                    <w:rPr>
                      <w:rFonts w:ascii="Times New Roman" w:hAnsi="Times New Roman" w:cs="Times New Roman"/>
                      <w:color w:val="000000" w:themeColor="text1"/>
                      <w:spacing w:val="18"/>
                      <w:sz w:val="21"/>
                      <w:szCs w:val="21"/>
                      <w:lang w:eastAsia="zh-CN"/>
                      <w14:textFill>
                        <w14:solidFill>
                          <w14:schemeClr w14:val="tx1"/>
                        </w14:solidFill>
                      </w14:textFill>
                    </w:rPr>
                    <w:t>、</w:t>
                  </w:r>
                  <w:r>
                    <w:rPr>
                      <w:rFonts w:ascii="Times New Roman" w:hAnsi="Times New Roman" w:cs="Times New Roman"/>
                      <w:color w:val="000000" w:themeColor="text1"/>
                      <w:szCs w:val="21"/>
                      <w:lang w:eastAsia="zh-CN" w:bidi="ar"/>
                      <w14:textFill>
                        <w14:solidFill>
                          <w14:schemeClr w14:val="tx1"/>
                        </w14:solidFill>
                      </w14:textFill>
                    </w:rPr>
                    <w:t>表土临时堆场、施工临时场地</w:t>
                  </w:r>
                  <w:r>
                    <w:rPr>
                      <w:rFonts w:ascii="Times New Roman" w:hAnsi="Times New Roman" w:cs="Times New Roman"/>
                      <w:color w:val="000000" w:themeColor="text1"/>
                      <w:spacing w:val="13"/>
                      <w:sz w:val="21"/>
                      <w:szCs w:val="21"/>
                      <w:lang w:eastAsia="zh-CN"/>
                      <w14:textFill>
                        <w14:solidFill>
                          <w14:schemeClr w14:val="tx1"/>
                        </w14:solidFill>
                      </w14:textFill>
                    </w:rPr>
                    <w:t>等临时占地产生的直</w:t>
                  </w:r>
                  <w:r>
                    <w:rPr>
                      <w:rFonts w:ascii="Times New Roman" w:hAnsi="Times New Roman" w:cs="Times New Roman"/>
                      <w:color w:val="000000" w:themeColor="text1"/>
                      <w:spacing w:val="15"/>
                      <w:sz w:val="21"/>
                      <w:szCs w:val="21"/>
                      <w:lang w:eastAsia="zh-CN"/>
                      <w14:textFill>
                        <w14:solidFill>
                          <w14:schemeClr w14:val="tx1"/>
                        </w14:solidFill>
                      </w14:textFill>
                    </w:rPr>
                    <w:t>接影响</w:t>
                  </w:r>
                </w:p>
              </w:tc>
              <w:tc>
                <w:tcPr>
                  <w:tcW w:w="622" w:type="pct"/>
                  <w:vAlign w:val="center"/>
                </w:tcPr>
                <w:p w14:paraId="662E6021">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短期，可逆</w:t>
                  </w:r>
                </w:p>
              </w:tc>
              <w:tc>
                <w:tcPr>
                  <w:tcW w:w="383" w:type="pct"/>
                  <w:vAlign w:val="center"/>
                </w:tcPr>
                <w:p w14:paraId="3CE0DF7E">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r w14:paraId="2CAA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361" w:type="pct"/>
                  <w:vMerge w:val="continue"/>
                  <w:vAlign w:val="center"/>
                </w:tcPr>
                <w:p w14:paraId="269BF53C">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443" w:type="pct"/>
                  <w:vMerge w:val="restart"/>
                  <w:vAlign w:val="center"/>
                </w:tcPr>
                <w:p w14:paraId="5408777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生态敏感区</w:t>
                  </w:r>
                </w:p>
              </w:tc>
              <w:tc>
                <w:tcPr>
                  <w:tcW w:w="569" w:type="pct"/>
                  <w:vMerge w:val="restart"/>
                  <w:vAlign w:val="center"/>
                </w:tcPr>
                <w:p w14:paraId="01B2D4B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主要保护对象、功能</w:t>
                  </w:r>
                </w:p>
              </w:tc>
              <w:tc>
                <w:tcPr>
                  <w:tcW w:w="2620" w:type="pct"/>
                  <w:vAlign w:val="center"/>
                </w:tcPr>
                <w:p w14:paraId="73B4DF01">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光伏场区、升压等永久占地产生的直接影响、间接</w:t>
                  </w:r>
                  <w:r>
                    <w:rPr>
                      <w:rFonts w:ascii="Times New Roman" w:hAnsi="Times New Roman" w:cs="Times New Roman"/>
                      <w:color w:val="000000" w:themeColor="text1"/>
                      <w:spacing w:val="15"/>
                      <w:sz w:val="21"/>
                      <w:szCs w:val="21"/>
                      <w:lang w:eastAsia="zh-CN"/>
                      <w14:textFill>
                        <w14:solidFill>
                          <w14:schemeClr w14:val="tx1"/>
                        </w14:solidFill>
                      </w14:textFill>
                    </w:rPr>
                    <w:t>生态影响</w:t>
                  </w:r>
                </w:p>
              </w:tc>
              <w:tc>
                <w:tcPr>
                  <w:tcW w:w="622" w:type="pct"/>
                  <w:vAlign w:val="center"/>
                </w:tcPr>
                <w:p w14:paraId="161CD3DA">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pacing w:val="7"/>
                      <w:sz w:val="21"/>
                      <w:szCs w:val="21"/>
                      <w14:textFill>
                        <w14:solidFill>
                          <w14:schemeClr w14:val="tx1"/>
                        </w14:solidFill>
                      </w14:textFill>
                    </w:rPr>
                    <w:t>长期、不</w:t>
                  </w:r>
                  <w:r>
                    <w:rPr>
                      <w:color w:val="000000" w:themeColor="text1"/>
                      <w:spacing w:val="3"/>
                      <w:sz w:val="21"/>
                      <w:szCs w:val="21"/>
                      <w14:textFill>
                        <w14:solidFill>
                          <w14:schemeClr w14:val="tx1"/>
                        </w14:solidFill>
                      </w14:textFill>
                    </w:rPr>
                    <w:t>可逆</w:t>
                  </w:r>
                </w:p>
              </w:tc>
              <w:tc>
                <w:tcPr>
                  <w:tcW w:w="383" w:type="pct"/>
                  <w:vAlign w:val="center"/>
                </w:tcPr>
                <w:p w14:paraId="17E21571">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r w14:paraId="4228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trPr>
              <w:tc>
                <w:tcPr>
                  <w:tcW w:w="361" w:type="pct"/>
                  <w:vMerge w:val="continue"/>
                  <w:vAlign w:val="center"/>
                </w:tcPr>
                <w:p w14:paraId="37E39F16">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443" w:type="pct"/>
                  <w:vMerge w:val="continue"/>
                  <w:vAlign w:val="center"/>
                </w:tcPr>
                <w:p w14:paraId="762D3882">
                  <w:pPr>
                    <w:spacing w:line="360" w:lineRule="exact"/>
                    <w:jc w:val="center"/>
                    <w:rPr>
                      <w:color w:val="000000" w:themeColor="text1"/>
                      <w:szCs w:val="21"/>
                      <w14:textFill>
                        <w14:solidFill>
                          <w14:schemeClr w14:val="tx1"/>
                        </w14:solidFill>
                      </w14:textFill>
                    </w:rPr>
                  </w:pPr>
                </w:p>
              </w:tc>
              <w:tc>
                <w:tcPr>
                  <w:tcW w:w="569" w:type="pct"/>
                  <w:vMerge w:val="continue"/>
                  <w:vAlign w:val="center"/>
                </w:tcPr>
                <w:p w14:paraId="28F3C8F7">
                  <w:pPr>
                    <w:spacing w:line="360" w:lineRule="exact"/>
                    <w:jc w:val="center"/>
                    <w:rPr>
                      <w:color w:val="000000" w:themeColor="text1"/>
                      <w:szCs w:val="21"/>
                      <w14:textFill>
                        <w14:solidFill>
                          <w14:schemeClr w14:val="tx1"/>
                        </w14:solidFill>
                      </w14:textFill>
                    </w:rPr>
                  </w:pPr>
                </w:p>
              </w:tc>
              <w:tc>
                <w:tcPr>
                  <w:tcW w:w="2620" w:type="pct"/>
                  <w:vAlign w:val="center"/>
                </w:tcPr>
                <w:p w14:paraId="6F4B9176">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集电线路</w:t>
                  </w:r>
                  <w:r>
                    <w:rPr>
                      <w:rFonts w:ascii="Times New Roman" w:hAnsi="Times New Roman" w:cs="Times New Roman"/>
                      <w:color w:val="000000" w:themeColor="text1"/>
                      <w:spacing w:val="13"/>
                      <w:sz w:val="21"/>
                      <w:szCs w:val="21"/>
                      <w:lang w:eastAsia="zh-CN"/>
                      <w14:textFill>
                        <w14:solidFill>
                          <w14:schemeClr w14:val="tx1"/>
                        </w14:solidFill>
                      </w14:textFill>
                    </w:rPr>
                    <w:t>施工作业带</w:t>
                  </w:r>
                  <w:r>
                    <w:rPr>
                      <w:rFonts w:ascii="Times New Roman" w:hAnsi="Times New Roman" w:cs="Times New Roman"/>
                      <w:color w:val="000000" w:themeColor="text1"/>
                      <w:spacing w:val="18"/>
                      <w:sz w:val="21"/>
                      <w:szCs w:val="21"/>
                      <w:lang w:eastAsia="zh-CN"/>
                      <w14:textFill>
                        <w14:solidFill>
                          <w14:schemeClr w14:val="tx1"/>
                        </w14:solidFill>
                      </w14:textFill>
                    </w:rPr>
                    <w:t>、</w:t>
                  </w:r>
                  <w:r>
                    <w:rPr>
                      <w:rFonts w:ascii="Times New Roman" w:hAnsi="Times New Roman" w:cs="Times New Roman"/>
                      <w:color w:val="000000" w:themeColor="text1"/>
                      <w:szCs w:val="21"/>
                      <w:lang w:eastAsia="zh-CN" w:bidi="ar"/>
                      <w14:textFill>
                        <w14:solidFill>
                          <w14:schemeClr w14:val="tx1"/>
                        </w14:solidFill>
                      </w14:textFill>
                    </w:rPr>
                    <w:t>表土临时堆场、施工临时场地</w:t>
                  </w:r>
                  <w:r>
                    <w:rPr>
                      <w:rFonts w:ascii="Times New Roman" w:hAnsi="Times New Roman" w:cs="Times New Roman"/>
                      <w:color w:val="000000" w:themeColor="text1"/>
                      <w:spacing w:val="13"/>
                      <w:sz w:val="21"/>
                      <w:szCs w:val="21"/>
                      <w:lang w:eastAsia="zh-CN"/>
                      <w14:textFill>
                        <w14:solidFill>
                          <w14:schemeClr w14:val="tx1"/>
                        </w14:solidFill>
                      </w14:textFill>
                    </w:rPr>
                    <w:t>等临时占地产生的直</w:t>
                  </w:r>
                  <w:r>
                    <w:rPr>
                      <w:rFonts w:ascii="Times New Roman" w:hAnsi="Times New Roman" w:cs="Times New Roman"/>
                      <w:color w:val="000000" w:themeColor="text1"/>
                      <w:spacing w:val="15"/>
                      <w:sz w:val="21"/>
                      <w:szCs w:val="21"/>
                      <w:lang w:eastAsia="zh-CN"/>
                      <w14:textFill>
                        <w14:solidFill>
                          <w14:schemeClr w14:val="tx1"/>
                        </w14:solidFill>
                      </w14:textFill>
                    </w:rPr>
                    <w:t>接影响</w:t>
                  </w:r>
                </w:p>
              </w:tc>
              <w:tc>
                <w:tcPr>
                  <w:tcW w:w="622" w:type="pct"/>
                  <w:vAlign w:val="center"/>
                </w:tcPr>
                <w:p w14:paraId="3D88BBBC">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短期，可逆</w:t>
                  </w:r>
                </w:p>
              </w:tc>
              <w:tc>
                <w:tcPr>
                  <w:tcW w:w="383" w:type="pct"/>
                  <w:vAlign w:val="center"/>
                </w:tcPr>
                <w:p w14:paraId="5EE554BB">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r w14:paraId="2DD5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trPr>
              <w:tc>
                <w:tcPr>
                  <w:tcW w:w="361" w:type="pct"/>
                  <w:vMerge w:val="continue"/>
                  <w:vAlign w:val="center"/>
                </w:tcPr>
                <w:p w14:paraId="131A054C">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443" w:type="pct"/>
                  <w:vMerge w:val="restart"/>
                  <w:shd w:val="clear" w:color="auto" w:fill="auto"/>
                  <w:vAlign w:val="center"/>
                </w:tcPr>
                <w:p w14:paraId="72376C01">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5"/>
                      <w:sz w:val="21"/>
                      <w:szCs w:val="21"/>
                      <w14:textFill>
                        <w14:solidFill>
                          <w14:schemeClr w14:val="tx1"/>
                        </w14:solidFill>
                      </w14:textFill>
                    </w:rPr>
                    <w:t>自然景</w:t>
                  </w:r>
                  <w:r>
                    <w:rPr>
                      <w:rFonts w:ascii="Times New Roman" w:hAnsi="Times New Roman" w:cs="Times New Roman"/>
                      <w:color w:val="000000" w:themeColor="text1"/>
                      <w:sz w:val="21"/>
                      <w:szCs w:val="21"/>
                      <w14:textFill>
                        <w14:solidFill>
                          <w14:schemeClr w14:val="tx1"/>
                        </w14:solidFill>
                      </w14:textFill>
                    </w:rPr>
                    <w:t>观</w:t>
                  </w:r>
                </w:p>
              </w:tc>
              <w:tc>
                <w:tcPr>
                  <w:tcW w:w="569" w:type="pct"/>
                  <w:vMerge w:val="restart"/>
                  <w:shd w:val="clear" w:color="auto" w:fill="auto"/>
                  <w:vAlign w:val="center"/>
                </w:tcPr>
                <w:p w14:paraId="23864EC4">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7"/>
                      <w:sz w:val="21"/>
                      <w:szCs w:val="21"/>
                      <w14:textFill>
                        <w14:solidFill>
                          <w14:schemeClr w14:val="tx1"/>
                        </w14:solidFill>
                      </w14:textFill>
                    </w:rPr>
                    <w:t>景观优势度</w:t>
                  </w:r>
                </w:p>
              </w:tc>
              <w:tc>
                <w:tcPr>
                  <w:tcW w:w="2620" w:type="pct"/>
                  <w:shd w:val="clear" w:color="auto" w:fill="auto"/>
                  <w:vAlign w:val="center"/>
                </w:tcPr>
                <w:p w14:paraId="4D3ECE24">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光伏场区、升压站等永久占地产生的直接影响、间接</w:t>
                  </w:r>
                  <w:r>
                    <w:rPr>
                      <w:rFonts w:ascii="Times New Roman" w:hAnsi="Times New Roman" w:cs="Times New Roman"/>
                      <w:color w:val="000000" w:themeColor="text1"/>
                      <w:spacing w:val="15"/>
                      <w:sz w:val="21"/>
                      <w:szCs w:val="21"/>
                      <w:lang w:eastAsia="zh-CN"/>
                      <w14:textFill>
                        <w14:solidFill>
                          <w14:schemeClr w14:val="tx1"/>
                        </w14:solidFill>
                      </w14:textFill>
                    </w:rPr>
                    <w:t>生态影响</w:t>
                  </w:r>
                </w:p>
              </w:tc>
              <w:tc>
                <w:tcPr>
                  <w:tcW w:w="622" w:type="pct"/>
                  <w:vAlign w:val="center"/>
                </w:tcPr>
                <w:p w14:paraId="777E8665">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pacing w:val="7"/>
                      <w:sz w:val="21"/>
                      <w:szCs w:val="21"/>
                      <w14:textFill>
                        <w14:solidFill>
                          <w14:schemeClr w14:val="tx1"/>
                        </w14:solidFill>
                      </w14:textFill>
                    </w:rPr>
                    <w:t>长期、不</w:t>
                  </w:r>
                  <w:r>
                    <w:rPr>
                      <w:color w:val="000000" w:themeColor="text1"/>
                      <w:spacing w:val="3"/>
                      <w:sz w:val="21"/>
                      <w:szCs w:val="21"/>
                      <w14:textFill>
                        <w14:solidFill>
                          <w14:schemeClr w14:val="tx1"/>
                        </w14:solidFill>
                      </w14:textFill>
                    </w:rPr>
                    <w:t>可逆</w:t>
                  </w:r>
                </w:p>
              </w:tc>
              <w:tc>
                <w:tcPr>
                  <w:tcW w:w="383" w:type="pct"/>
                  <w:vAlign w:val="center"/>
                </w:tcPr>
                <w:p w14:paraId="3E26BA09">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r w14:paraId="4BB5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 w:hRule="atLeast"/>
              </w:trPr>
              <w:tc>
                <w:tcPr>
                  <w:tcW w:w="361" w:type="pct"/>
                  <w:vMerge w:val="continue"/>
                  <w:vAlign w:val="center"/>
                </w:tcPr>
                <w:p w14:paraId="580BCF27">
                  <w:pPr>
                    <w:pStyle w:val="65"/>
                    <w:spacing w:after="0" w:line="360" w:lineRule="exact"/>
                    <w:ind w:left="0" w:leftChars="0" w:firstLine="0" w:firstLineChars="0"/>
                    <w:jc w:val="center"/>
                    <w:rPr>
                      <w:color w:val="000000" w:themeColor="text1"/>
                      <w:sz w:val="21"/>
                      <w:szCs w:val="21"/>
                      <w14:textFill>
                        <w14:solidFill>
                          <w14:schemeClr w14:val="tx1"/>
                        </w14:solidFill>
                      </w14:textFill>
                    </w:rPr>
                  </w:pPr>
                </w:p>
              </w:tc>
              <w:tc>
                <w:tcPr>
                  <w:tcW w:w="443" w:type="pct"/>
                  <w:vMerge w:val="continue"/>
                  <w:shd w:val="clear" w:color="auto" w:fill="auto"/>
                  <w:vAlign w:val="center"/>
                </w:tcPr>
                <w:p w14:paraId="38E2A9DE">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pacing w:val="-5"/>
                      <w:sz w:val="21"/>
                      <w:szCs w:val="21"/>
                      <w14:textFill>
                        <w14:solidFill>
                          <w14:schemeClr w14:val="tx1"/>
                        </w14:solidFill>
                      </w14:textFill>
                    </w:rPr>
                  </w:pPr>
                </w:p>
              </w:tc>
              <w:tc>
                <w:tcPr>
                  <w:tcW w:w="569" w:type="pct"/>
                  <w:vMerge w:val="continue"/>
                  <w:shd w:val="clear" w:color="auto" w:fill="auto"/>
                  <w:vAlign w:val="center"/>
                </w:tcPr>
                <w:p w14:paraId="1181314B">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pacing w:val="7"/>
                      <w:sz w:val="21"/>
                      <w:szCs w:val="21"/>
                      <w14:textFill>
                        <w14:solidFill>
                          <w14:schemeClr w14:val="tx1"/>
                        </w14:solidFill>
                      </w14:textFill>
                    </w:rPr>
                  </w:pPr>
                </w:p>
              </w:tc>
              <w:tc>
                <w:tcPr>
                  <w:tcW w:w="2620" w:type="pct"/>
                  <w:shd w:val="clear" w:color="auto" w:fill="auto"/>
                  <w:vAlign w:val="center"/>
                </w:tcPr>
                <w:p w14:paraId="01F25193">
                  <w:pPr>
                    <w:pStyle w:val="615"/>
                    <w:widowControl/>
                    <w:kinsoku w:val="0"/>
                    <w:autoSpaceDE w:val="0"/>
                    <w:autoSpaceDN w:val="0"/>
                    <w:adjustRightInd w:val="0"/>
                    <w:snapToGrid w:val="0"/>
                    <w:spacing w:line="360" w:lineRule="exact"/>
                    <w:jc w:val="center"/>
                    <w:textAlignment w:val="baseline"/>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8"/>
                      <w:sz w:val="21"/>
                      <w:szCs w:val="21"/>
                      <w:lang w:eastAsia="zh-CN"/>
                      <w14:textFill>
                        <w14:solidFill>
                          <w14:schemeClr w14:val="tx1"/>
                        </w14:solidFill>
                      </w14:textFill>
                    </w:rPr>
                    <w:t>集电线路</w:t>
                  </w:r>
                  <w:r>
                    <w:rPr>
                      <w:rFonts w:ascii="Times New Roman" w:hAnsi="Times New Roman" w:cs="Times New Roman"/>
                      <w:color w:val="000000" w:themeColor="text1"/>
                      <w:spacing w:val="13"/>
                      <w:sz w:val="21"/>
                      <w:szCs w:val="21"/>
                      <w:lang w:eastAsia="zh-CN"/>
                      <w14:textFill>
                        <w14:solidFill>
                          <w14:schemeClr w14:val="tx1"/>
                        </w14:solidFill>
                      </w14:textFill>
                    </w:rPr>
                    <w:t>施工作业带</w:t>
                  </w:r>
                  <w:r>
                    <w:rPr>
                      <w:rFonts w:ascii="Times New Roman" w:hAnsi="Times New Roman" w:cs="Times New Roman"/>
                      <w:color w:val="000000" w:themeColor="text1"/>
                      <w:spacing w:val="18"/>
                      <w:sz w:val="21"/>
                      <w:szCs w:val="21"/>
                      <w:lang w:eastAsia="zh-CN"/>
                      <w14:textFill>
                        <w14:solidFill>
                          <w14:schemeClr w14:val="tx1"/>
                        </w14:solidFill>
                      </w14:textFill>
                    </w:rPr>
                    <w:t>、</w:t>
                  </w:r>
                  <w:r>
                    <w:rPr>
                      <w:rFonts w:ascii="Times New Roman" w:hAnsi="Times New Roman" w:cs="Times New Roman"/>
                      <w:color w:val="000000" w:themeColor="text1"/>
                      <w:szCs w:val="21"/>
                      <w:lang w:eastAsia="zh-CN" w:bidi="ar"/>
                      <w14:textFill>
                        <w14:solidFill>
                          <w14:schemeClr w14:val="tx1"/>
                        </w14:solidFill>
                      </w14:textFill>
                    </w:rPr>
                    <w:t>表土临时堆场、施工临时场地</w:t>
                  </w:r>
                  <w:r>
                    <w:rPr>
                      <w:rFonts w:ascii="Times New Roman" w:hAnsi="Times New Roman" w:cs="Times New Roman"/>
                      <w:color w:val="000000" w:themeColor="text1"/>
                      <w:spacing w:val="13"/>
                      <w:sz w:val="21"/>
                      <w:szCs w:val="21"/>
                      <w:lang w:eastAsia="zh-CN"/>
                      <w14:textFill>
                        <w14:solidFill>
                          <w14:schemeClr w14:val="tx1"/>
                        </w14:solidFill>
                      </w14:textFill>
                    </w:rPr>
                    <w:t>等临时占地产生的直</w:t>
                  </w:r>
                  <w:r>
                    <w:rPr>
                      <w:rFonts w:ascii="Times New Roman" w:hAnsi="Times New Roman" w:cs="Times New Roman"/>
                      <w:color w:val="000000" w:themeColor="text1"/>
                      <w:spacing w:val="15"/>
                      <w:sz w:val="21"/>
                      <w:szCs w:val="21"/>
                      <w:lang w:eastAsia="zh-CN"/>
                      <w14:textFill>
                        <w14:solidFill>
                          <w14:schemeClr w14:val="tx1"/>
                        </w14:solidFill>
                      </w14:textFill>
                    </w:rPr>
                    <w:t>接影响</w:t>
                  </w:r>
                </w:p>
              </w:tc>
              <w:tc>
                <w:tcPr>
                  <w:tcW w:w="622" w:type="pct"/>
                  <w:vAlign w:val="center"/>
                </w:tcPr>
                <w:p w14:paraId="28EF9185">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短期，可逆</w:t>
                  </w:r>
                </w:p>
              </w:tc>
              <w:tc>
                <w:tcPr>
                  <w:tcW w:w="383" w:type="pct"/>
                  <w:vAlign w:val="center"/>
                </w:tcPr>
                <w:p w14:paraId="29444BA9">
                  <w:pPr>
                    <w:pStyle w:val="65"/>
                    <w:spacing w:after="0" w:line="360" w:lineRule="exact"/>
                    <w:ind w:left="0" w:leftChars="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弱</w:t>
                  </w:r>
                </w:p>
              </w:tc>
            </w:tr>
          </w:tbl>
          <w:p w14:paraId="7E4FD50C">
            <w:pPr>
              <w:snapToGrid w:val="0"/>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、评价范围</w:t>
            </w:r>
          </w:p>
          <w:p w14:paraId="39A4E2F5">
            <w:pPr>
              <w:adjustRightInd w:val="0"/>
              <w:snapToGrid w:val="0"/>
              <w:spacing w:line="440" w:lineRule="exact"/>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w:t>
            </w:r>
            <w:r>
              <w:rPr>
                <w:rFonts w:hint="eastAsia"/>
                <w:bCs/>
                <w:color w:val="000000" w:themeColor="text1"/>
                <w:sz w:val="24"/>
                <w:szCs w:val="22"/>
                <w14:textFill>
                  <w14:solidFill>
                    <w14:schemeClr w14:val="tx1"/>
                  </w14:solidFill>
                </w14:textFill>
              </w:rPr>
              <w:t>1</w:t>
            </w:r>
            <w:r>
              <w:rPr>
                <w:bCs/>
                <w:color w:val="000000" w:themeColor="text1"/>
                <w:sz w:val="24"/>
                <w:szCs w:val="22"/>
                <w14:textFill>
                  <w14:solidFill>
                    <w14:schemeClr w14:val="tx1"/>
                  </w14:solidFill>
                </w14:textFill>
              </w:rPr>
              <w:t>）声环境影响评价范围</w:t>
            </w:r>
          </w:p>
          <w:p w14:paraId="13C8F758">
            <w:pPr>
              <w:adjustRightInd w:val="0"/>
              <w:snapToGrid w:val="0"/>
              <w:spacing w:line="440" w:lineRule="exact"/>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根据《环境影响评价技术导则  声环境》（HJ2.4-2021）中关于声环境影响评价相关规定，升压站声环境评价范围为站区边界外</w:t>
            </w:r>
            <w:r>
              <w:rPr>
                <w:rFonts w:hint="eastAsia"/>
                <w:bCs/>
                <w:color w:val="000000" w:themeColor="text1"/>
                <w:sz w:val="24"/>
                <w:szCs w:val="22"/>
                <w14:textFill>
                  <w14:solidFill>
                    <w14:schemeClr w14:val="tx1"/>
                  </w14:solidFill>
                </w14:textFill>
              </w:rPr>
              <w:t>5</w:t>
            </w:r>
            <w:r>
              <w:rPr>
                <w:bCs/>
                <w:color w:val="000000" w:themeColor="text1"/>
                <w:sz w:val="24"/>
                <w:szCs w:val="22"/>
                <w14:textFill>
                  <w14:solidFill>
                    <w14:schemeClr w14:val="tx1"/>
                  </w14:solidFill>
                </w14:textFill>
              </w:rPr>
              <w:t>0m区域。</w:t>
            </w:r>
          </w:p>
          <w:p w14:paraId="67867366">
            <w:pPr>
              <w:adjustRightInd w:val="0"/>
              <w:snapToGrid w:val="0"/>
              <w:spacing w:line="440" w:lineRule="exact"/>
              <w:ind w:firstLine="480" w:firstLineChars="200"/>
              <w:rPr>
                <w:bCs/>
                <w:color w:val="000000" w:themeColor="text1"/>
                <w:sz w:val="24"/>
                <w:szCs w:val="22"/>
                <w14:textFill>
                  <w14:solidFill>
                    <w14:schemeClr w14:val="tx1"/>
                  </w14:solidFill>
                </w14:textFill>
              </w:rPr>
            </w:pPr>
            <w:r>
              <w:rPr>
                <w:bCs/>
                <w:color w:val="000000" w:themeColor="text1"/>
                <w:sz w:val="24"/>
                <w:szCs w:val="22"/>
                <w14:textFill>
                  <w14:solidFill>
                    <w14:schemeClr w14:val="tx1"/>
                  </w14:solidFill>
                </w14:textFill>
              </w:rPr>
              <w:t>（</w:t>
            </w:r>
            <w:r>
              <w:rPr>
                <w:rFonts w:hint="eastAsia"/>
                <w:bCs/>
                <w:color w:val="000000" w:themeColor="text1"/>
                <w:sz w:val="24"/>
                <w:szCs w:val="22"/>
                <w14:textFill>
                  <w14:solidFill>
                    <w14:schemeClr w14:val="tx1"/>
                  </w14:solidFill>
                </w14:textFill>
              </w:rPr>
              <w:t>2</w:t>
            </w:r>
            <w:r>
              <w:rPr>
                <w:bCs/>
                <w:color w:val="000000" w:themeColor="text1"/>
                <w:sz w:val="24"/>
                <w:szCs w:val="22"/>
                <w14:textFill>
                  <w14:solidFill>
                    <w14:schemeClr w14:val="tx1"/>
                  </w14:solidFill>
                </w14:textFill>
              </w:rPr>
              <w:t>）生态环境评价范围</w:t>
            </w:r>
          </w:p>
          <w:p w14:paraId="12DC932E">
            <w:pPr>
              <w:autoSpaceDE w:val="0"/>
              <w:autoSpaceDN w:val="0"/>
              <w:adjustRightInd w:val="0"/>
              <w:spacing w:line="440" w:lineRule="exact"/>
              <w:ind w:firstLine="480" w:firstLineChars="200"/>
              <w:rPr>
                <w:color w:val="000000" w:themeColor="text1"/>
                <w:kern w:val="0"/>
                <w:sz w:val="24"/>
                <w14:textFill>
                  <w14:solidFill>
                    <w14:schemeClr w14:val="tx1"/>
                  </w14:solidFill>
                </w14:textFill>
              </w:rPr>
            </w:pPr>
            <w:r>
              <w:rPr>
                <w:bCs/>
                <w:color w:val="000000" w:themeColor="text1"/>
                <w:sz w:val="24"/>
                <w:szCs w:val="22"/>
                <w14:textFill>
                  <w14:solidFill>
                    <w14:schemeClr w14:val="tx1"/>
                  </w14:solidFill>
                </w14:textFill>
              </w:rPr>
              <w:t>根据</w:t>
            </w:r>
            <w:r>
              <w:rPr>
                <w:rFonts w:hint="eastAsia"/>
                <w:bCs/>
                <w:color w:val="000000" w:themeColor="text1"/>
                <w:sz w:val="24"/>
                <w:szCs w:val="22"/>
                <w14:textFill>
                  <w14:solidFill>
                    <w14:schemeClr w14:val="tx1"/>
                  </w14:solidFill>
                </w14:textFill>
              </w:rPr>
              <w:t>《环境影响评价技术导则 生态影响》（HJ19-2022）</w:t>
            </w:r>
            <w:r>
              <w:rPr>
                <w:bCs/>
                <w:color w:val="000000" w:themeColor="text1"/>
                <w:sz w:val="24"/>
                <w:szCs w:val="22"/>
                <w14:textFill>
                  <w14:solidFill>
                    <w14:schemeClr w14:val="tx1"/>
                  </w14:solidFill>
                </w14:textFill>
              </w:rPr>
              <w:t>生态影响评价范围的规定，本次评价将</w:t>
            </w:r>
            <w:r>
              <w:rPr>
                <w:rFonts w:hint="eastAsia"/>
                <w:bCs/>
                <w:color w:val="000000" w:themeColor="text1"/>
                <w:sz w:val="24"/>
                <w:szCs w:val="22"/>
                <w14:textFill>
                  <w14:solidFill>
                    <w14:schemeClr w14:val="tx1"/>
                  </w14:solidFill>
                </w14:textFill>
              </w:rPr>
              <w:t>厂区</w:t>
            </w:r>
            <w:r>
              <w:rPr>
                <w:bCs/>
                <w:color w:val="000000" w:themeColor="text1"/>
                <w:sz w:val="24"/>
                <w:szCs w:val="22"/>
                <w14:textFill>
                  <w14:solidFill>
                    <w14:schemeClr w14:val="tx1"/>
                  </w14:solidFill>
                </w14:textFill>
              </w:rPr>
              <w:t>围墙外500m内范围作为本项目生态评价范围，将输电线路边导线地面投影外两侧各</w:t>
            </w:r>
            <w:r>
              <w:rPr>
                <w:rFonts w:hint="eastAsia"/>
                <w:bCs/>
                <w:color w:val="000000" w:themeColor="text1"/>
                <w:sz w:val="24"/>
                <w:szCs w:val="22"/>
                <w14:textFill>
                  <w14:solidFill>
                    <w14:schemeClr w14:val="tx1"/>
                  </w14:solidFill>
                </w14:textFill>
              </w:rPr>
              <w:t>1k</w:t>
            </w:r>
            <w:r>
              <w:rPr>
                <w:bCs/>
                <w:color w:val="000000" w:themeColor="text1"/>
                <w:sz w:val="24"/>
                <w:szCs w:val="22"/>
                <w14:textFill>
                  <w14:solidFill>
                    <w14:schemeClr w14:val="tx1"/>
                  </w14:solidFill>
                </w14:textFill>
              </w:rPr>
              <w:t>m带状区域作为输电线路生态评价范围。</w:t>
            </w:r>
          </w:p>
          <w:p w14:paraId="662F4257">
            <w:pPr>
              <w:snapToGrid w:val="0"/>
              <w:spacing w:line="440" w:lineRule="exact"/>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3、环境保护目标</w:t>
            </w:r>
          </w:p>
          <w:p w14:paraId="048AC077">
            <w:pPr>
              <w:kinsoku w:val="0"/>
              <w:overflowPunct w:val="0"/>
              <w:autoSpaceDE w:val="0"/>
              <w:autoSpaceDN w:val="0"/>
              <w:adjustRightInd w:val="0"/>
              <w:snapToGrid w:val="0"/>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根据现状调查，该项目区周边附近无国家、省、市重点保护文物、自然保护区、濒危珍稀动植物和风景旅游区等重点保护目标。</w:t>
            </w:r>
            <w:r>
              <w:rPr>
                <w:rFonts w:hint="eastAsia"/>
                <w:color w:val="000000" w:themeColor="text1"/>
                <w:kern w:val="0"/>
                <w:sz w:val="24"/>
                <w14:textFill>
                  <w14:solidFill>
                    <w14:schemeClr w14:val="tx1"/>
                  </w14:solidFill>
                </w14:textFill>
              </w:rPr>
              <w:t>项目环境保护目标具体情况见下表。</w:t>
            </w:r>
          </w:p>
          <w:p w14:paraId="0CEAF60B">
            <w:pPr>
              <w:kinsoku w:val="0"/>
              <w:overflowPunct w:val="0"/>
              <w:autoSpaceDE w:val="0"/>
              <w:autoSpaceDN w:val="0"/>
              <w:adjustRightInd w:val="0"/>
              <w:snapToGrid w:val="0"/>
              <w:spacing w:line="440" w:lineRule="exact"/>
              <w:ind w:firstLine="482" w:firstLineChars="200"/>
              <w:jc w:val="left"/>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表3-</w:t>
            </w:r>
            <w:r>
              <w:rPr>
                <w:rFonts w:hint="eastAsia"/>
                <w:b/>
                <w:color w:val="000000" w:themeColor="text1"/>
                <w:kern w:val="0"/>
                <w:sz w:val="24"/>
                <w14:textFill>
                  <w14:solidFill>
                    <w14:schemeClr w14:val="tx1"/>
                  </w14:solidFill>
                </w14:textFill>
              </w:rPr>
              <w:t>6</w:t>
            </w:r>
            <w:r>
              <w:rPr>
                <w:b/>
                <w:color w:val="000000" w:themeColor="text1"/>
                <w:kern w:val="0"/>
                <w:sz w:val="24"/>
                <w14:textFill>
                  <w14:solidFill>
                    <w14:schemeClr w14:val="tx1"/>
                  </w14:solidFill>
                </w14:textFill>
              </w:rPr>
              <w:t xml:space="preserve">   </w:t>
            </w:r>
            <w:r>
              <w:rPr>
                <w:rFonts w:hint="eastAsia"/>
                <w:b/>
                <w:color w:val="000000" w:themeColor="text1"/>
                <w:kern w:val="0"/>
                <w:sz w:val="24"/>
                <w14:textFill>
                  <w14:solidFill>
                    <w14:schemeClr w14:val="tx1"/>
                  </w14:solidFill>
                </w14:textFill>
              </w:rPr>
              <w:t>本项目</w:t>
            </w:r>
            <w:r>
              <w:rPr>
                <w:b/>
                <w:color w:val="000000" w:themeColor="text1"/>
                <w:kern w:val="0"/>
                <w:sz w:val="24"/>
                <w14:textFill>
                  <w14:solidFill>
                    <w14:schemeClr w14:val="tx1"/>
                  </w14:solidFill>
                </w14:textFill>
              </w:rPr>
              <w:t>环境保护目标一览表</w:t>
            </w:r>
          </w:p>
          <w:tbl>
            <w:tblPr>
              <w:tblStyle w:val="6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83"/>
              <w:gridCol w:w="1499"/>
              <w:gridCol w:w="1501"/>
              <w:gridCol w:w="1128"/>
              <w:gridCol w:w="1562"/>
              <w:gridCol w:w="1679"/>
            </w:tblGrid>
            <w:tr w14:paraId="2FE2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Align w:val="center"/>
                </w:tcPr>
                <w:p w14:paraId="04D0D8C4">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bookmarkStart w:id="19" w:name="_Hlk144564702"/>
                  <w:r>
                    <w:rPr>
                      <w:rFonts w:hint="eastAsia"/>
                      <w:color w:val="000000" w:themeColor="text1"/>
                      <w:kern w:val="0"/>
                      <w:szCs w:val="21"/>
                      <w14:textFill>
                        <w14:solidFill>
                          <w14:schemeClr w14:val="tx1"/>
                        </w14:solidFill>
                      </w14:textFill>
                    </w:rPr>
                    <w:t>保护类别</w:t>
                  </w:r>
                </w:p>
              </w:tc>
              <w:tc>
                <w:tcPr>
                  <w:tcW w:w="958" w:type="pct"/>
                  <w:vAlign w:val="center"/>
                </w:tcPr>
                <w:p w14:paraId="1B3F428E">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保护目标</w:t>
                  </w:r>
                </w:p>
              </w:tc>
              <w:tc>
                <w:tcPr>
                  <w:tcW w:w="959" w:type="pct"/>
                  <w:vAlign w:val="center"/>
                </w:tcPr>
                <w:p w14:paraId="02F78949">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地块位置</w:t>
                  </w:r>
                </w:p>
              </w:tc>
              <w:tc>
                <w:tcPr>
                  <w:tcW w:w="722" w:type="pct"/>
                  <w:vAlign w:val="center"/>
                </w:tcPr>
                <w:p w14:paraId="0B799C98">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厂界最近距离（m）</w:t>
                  </w:r>
                </w:p>
              </w:tc>
              <w:tc>
                <w:tcPr>
                  <w:tcW w:w="996" w:type="pct"/>
                  <w:vAlign w:val="center"/>
                </w:tcPr>
                <w:p w14:paraId="6FD447B9">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相对本项目方位</w:t>
                  </w:r>
                </w:p>
              </w:tc>
              <w:tc>
                <w:tcPr>
                  <w:tcW w:w="1050" w:type="pct"/>
                  <w:vAlign w:val="center"/>
                </w:tcPr>
                <w:p w14:paraId="2B4AC27A">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保护级别</w:t>
                  </w:r>
                </w:p>
              </w:tc>
            </w:tr>
            <w:tr w14:paraId="6735D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restart"/>
                  <w:vAlign w:val="center"/>
                </w:tcPr>
                <w:p w14:paraId="3BDD8683">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大气环境</w:t>
                  </w:r>
                </w:p>
              </w:tc>
              <w:tc>
                <w:tcPr>
                  <w:tcW w:w="958" w:type="pct"/>
                  <w:vAlign w:val="center"/>
                </w:tcPr>
                <w:p w14:paraId="6E7A8A43">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佟庄村</w:t>
                  </w:r>
                </w:p>
              </w:tc>
              <w:tc>
                <w:tcPr>
                  <w:tcW w:w="959" w:type="pct"/>
                  <w:vMerge w:val="restart"/>
                  <w:vAlign w:val="center"/>
                </w:tcPr>
                <w:p w14:paraId="69A7535B">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光伏场区/升压站</w:t>
                  </w:r>
                </w:p>
              </w:tc>
              <w:tc>
                <w:tcPr>
                  <w:tcW w:w="722" w:type="pct"/>
                  <w:vAlign w:val="center"/>
                </w:tcPr>
                <w:p w14:paraId="28906274">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35</w:t>
                  </w:r>
                </w:p>
              </w:tc>
              <w:tc>
                <w:tcPr>
                  <w:tcW w:w="996" w:type="pct"/>
                  <w:vAlign w:val="center"/>
                </w:tcPr>
                <w:p w14:paraId="5BD4B99E">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光伏东区东南侧</w:t>
                  </w:r>
                </w:p>
              </w:tc>
              <w:tc>
                <w:tcPr>
                  <w:tcW w:w="1050" w:type="pct"/>
                  <w:vMerge w:val="restart"/>
                  <w:vAlign w:val="center"/>
                </w:tcPr>
                <w:p w14:paraId="5B5ECCEE">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《环境空气质量标准》（GB3095-2012）二级标准及其修改单要求</w:t>
                  </w:r>
                </w:p>
              </w:tc>
            </w:tr>
            <w:tr w14:paraId="014B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61EB843A">
                  <w:pPr>
                    <w:kinsoku w:val="0"/>
                    <w:overflowPunct w:val="0"/>
                    <w:autoSpaceDE w:val="0"/>
                    <w:autoSpaceDN w:val="0"/>
                    <w:adjustRightInd w:val="0"/>
                    <w:snapToGrid w:val="0"/>
                    <w:spacing w:line="360" w:lineRule="exact"/>
                    <w:jc w:val="center"/>
                    <w:rPr>
                      <w:color w:val="000000" w:themeColor="text1"/>
                      <w14:textFill>
                        <w14:solidFill>
                          <w14:schemeClr w14:val="tx1"/>
                        </w14:solidFill>
                      </w14:textFill>
                    </w:rPr>
                  </w:pPr>
                </w:p>
              </w:tc>
              <w:tc>
                <w:tcPr>
                  <w:tcW w:w="958" w:type="pct"/>
                  <w:vAlign w:val="center"/>
                </w:tcPr>
                <w:p w14:paraId="06C13B63">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李家窝村</w:t>
                  </w:r>
                </w:p>
              </w:tc>
              <w:tc>
                <w:tcPr>
                  <w:tcW w:w="959" w:type="pct"/>
                  <w:vMerge w:val="continue"/>
                  <w:vAlign w:val="center"/>
                </w:tcPr>
                <w:p w14:paraId="2C84BED8">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722" w:type="pct"/>
                  <w:vAlign w:val="center"/>
                </w:tcPr>
                <w:p w14:paraId="0B130056">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280</w:t>
                  </w:r>
                </w:p>
              </w:tc>
              <w:tc>
                <w:tcPr>
                  <w:tcW w:w="996" w:type="pct"/>
                  <w:vAlign w:val="center"/>
                </w:tcPr>
                <w:p w14:paraId="18582841">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光伏北区南侧</w:t>
                  </w:r>
                </w:p>
              </w:tc>
              <w:tc>
                <w:tcPr>
                  <w:tcW w:w="1050" w:type="pct"/>
                  <w:vMerge w:val="continue"/>
                  <w:vAlign w:val="center"/>
                </w:tcPr>
                <w:p w14:paraId="2940277F">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r>
            <w:tr w14:paraId="0775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61CFA2D3">
                  <w:pPr>
                    <w:kinsoku w:val="0"/>
                    <w:overflowPunct w:val="0"/>
                    <w:autoSpaceDE w:val="0"/>
                    <w:autoSpaceDN w:val="0"/>
                    <w:adjustRightInd w:val="0"/>
                    <w:snapToGrid w:val="0"/>
                    <w:spacing w:line="360" w:lineRule="exact"/>
                    <w:jc w:val="center"/>
                    <w:rPr>
                      <w:color w:val="000000" w:themeColor="text1"/>
                      <w14:textFill>
                        <w14:solidFill>
                          <w14:schemeClr w14:val="tx1"/>
                        </w14:solidFill>
                      </w14:textFill>
                    </w:rPr>
                  </w:pPr>
                </w:p>
              </w:tc>
              <w:tc>
                <w:tcPr>
                  <w:tcW w:w="958" w:type="pct"/>
                  <w:vAlign w:val="center"/>
                </w:tcPr>
                <w:p w14:paraId="0847443F">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刘家窝村</w:t>
                  </w:r>
                </w:p>
              </w:tc>
              <w:tc>
                <w:tcPr>
                  <w:tcW w:w="959" w:type="pct"/>
                  <w:vMerge w:val="continue"/>
                  <w:vAlign w:val="center"/>
                </w:tcPr>
                <w:p w14:paraId="333CD46E">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722" w:type="pct"/>
                  <w:vAlign w:val="center"/>
                </w:tcPr>
                <w:p w14:paraId="22A5FE9F">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200</w:t>
                  </w:r>
                </w:p>
              </w:tc>
              <w:tc>
                <w:tcPr>
                  <w:tcW w:w="996" w:type="pct"/>
                  <w:vAlign w:val="center"/>
                </w:tcPr>
                <w:p w14:paraId="6B107358">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光伏北区南侧</w:t>
                  </w:r>
                </w:p>
              </w:tc>
              <w:tc>
                <w:tcPr>
                  <w:tcW w:w="1050" w:type="pct"/>
                  <w:vMerge w:val="continue"/>
                  <w:vAlign w:val="center"/>
                </w:tcPr>
                <w:p w14:paraId="4FC856C3">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r>
            <w:tr w14:paraId="7FD0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1B15808D">
                  <w:pPr>
                    <w:kinsoku w:val="0"/>
                    <w:overflowPunct w:val="0"/>
                    <w:autoSpaceDE w:val="0"/>
                    <w:autoSpaceDN w:val="0"/>
                    <w:adjustRightInd w:val="0"/>
                    <w:snapToGrid w:val="0"/>
                    <w:spacing w:line="360" w:lineRule="exact"/>
                    <w:jc w:val="center"/>
                    <w:rPr>
                      <w:color w:val="000000" w:themeColor="text1"/>
                      <w14:textFill>
                        <w14:solidFill>
                          <w14:schemeClr w14:val="tx1"/>
                        </w14:solidFill>
                      </w14:textFill>
                    </w:rPr>
                  </w:pPr>
                </w:p>
              </w:tc>
              <w:tc>
                <w:tcPr>
                  <w:tcW w:w="958" w:type="pct"/>
                  <w:vAlign w:val="center"/>
                </w:tcPr>
                <w:p w14:paraId="6C827894">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东平台村</w:t>
                  </w:r>
                </w:p>
              </w:tc>
              <w:tc>
                <w:tcPr>
                  <w:tcW w:w="959" w:type="pct"/>
                  <w:vMerge w:val="continue"/>
                  <w:vAlign w:val="center"/>
                </w:tcPr>
                <w:p w14:paraId="412CD50D">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722" w:type="pct"/>
                  <w:vAlign w:val="center"/>
                </w:tcPr>
                <w:p w14:paraId="2C4C3D3B">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165</w:t>
                  </w:r>
                </w:p>
              </w:tc>
              <w:tc>
                <w:tcPr>
                  <w:tcW w:w="996" w:type="pct"/>
                  <w:vAlign w:val="center"/>
                </w:tcPr>
                <w:p w14:paraId="4ED09E65">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光伏西区北侧</w:t>
                  </w:r>
                </w:p>
              </w:tc>
              <w:tc>
                <w:tcPr>
                  <w:tcW w:w="1050" w:type="pct"/>
                  <w:vMerge w:val="continue"/>
                  <w:vAlign w:val="center"/>
                </w:tcPr>
                <w:p w14:paraId="1E7A7772">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r>
            <w:tr w14:paraId="0E0E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0A58AD98">
                  <w:pPr>
                    <w:kinsoku w:val="0"/>
                    <w:overflowPunct w:val="0"/>
                    <w:autoSpaceDE w:val="0"/>
                    <w:autoSpaceDN w:val="0"/>
                    <w:adjustRightInd w:val="0"/>
                    <w:snapToGrid w:val="0"/>
                    <w:spacing w:line="360" w:lineRule="exact"/>
                    <w:jc w:val="center"/>
                    <w:rPr>
                      <w:color w:val="000000" w:themeColor="text1"/>
                      <w14:textFill>
                        <w14:solidFill>
                          <w14:schemeClr w14:val="tx1"/>
                        </w14:solidFill>
                      </w14:textFill>
                    </w:rPr>
                  </w:pPr>
                </w:p>
              </w:tc>
              <w:tc>
                <w:tcPr>
                  <w:tcW w:w="958" w:type="pct"/>
                  <w:vAlign w:val="center"/>
                </w:tcPr>
                <w:p w14:paraId="7C88A41A">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刘台子村</w:t>
                  </w:r>
                </w:p>
              </w:tc>
              <w:tc>
                <w:tcPr>
                  <w:tcW w:w="959" w:type="pct"/>
                  <w:vMerge w:val="continue"/>
                  <w:vAlign w:val="center"/>
                </w:tcPr>
                <w:p w14:paraId="67673579">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722" w:type="pct"/>
                  <w:vAlign w:val="center"/>
                </w:tcPr>
                <w:p w14:paraId="3F08B0E4">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460</w:t>
                  </w:r>
                </w:p>
              </w:tc>
              <w:tc>
                <w:tcPr>
                  <w:tcW w:w="996" w:type="pct"/>
                  <w:vAlign w:val="center"/>
                </w:tcPr>
                <w:p w14:paraId="66BD0A45">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光伏西区北侧</w:t>
                  </w:r>
                </w:p>
              </w:tc>
              <w:tc>
                <w:tcPr>
                  <w:tcW w:w="1050" w:type="pct"/>
                  <w:vMerge w:val="continue"/>
                  <w:vAlign w:val="center"/>
                </w:tcPr>
                <w:p w14:paraId="291295AC">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r>
            <w:tr w14:paraId="0BE6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09109760">
                  <w:pPr>
                    <w:kinsoku w:val="0"/>
                    <w:overflowPunct w:val="0"/>
                    <w:autoSpaceDE w:val="0"/>
                    <w:autoSpaceDN w:val="0"/>
                    <w:adjustRightInd w:val="0"/>
                    <w:snapToGrid w:val="0"/>
                    <w:spacing w:line="360" w:lineRule="exact"/>
                    <w:jc w:val="center"/>
                    <w:rPr>
                      <w:color w:val="000000" w:themeColor="text1"/>
                      <w14:textFill>
                        <w14:solidFill>
                          <w14:schemeClr w14:val="tx1"/>
                        </w14:solidFill>
                      </w14:textFill>
                    </w:rPr>
                  </w:pPr>
                </w:p>
              </w:tc>
              <w:tc>
                <w:tcPr>
                  <w:tcW w:w="958" w:type="pct"/>
                  <w:vAlign w:val="center"/>
                </w:tcPr>
                <w:p w14:paraId="6CE9BC26">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芦庄</w:t>
                  </w:r>
                </w:p>
              </w:tc>
              <w:tc>
                <w:tcPr>
                  <w:tcW w:w="959" w:type="pct"/>
                  <w:vMerge w:val="continue"/>
                  <w:vAlign w:val="center"/>
                </w:tcPr>
                <w:p w14:paraId="7AA12C3B">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722" w:type="pct"/>
                  <w:vAlign w:val="center"/>
                </w:tcPr>
                <w:p w14:paraId="25B6C865">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305</w:t>
                  </w:r>
                </w:p>
              </w:tc>
              <w:tc>
                <w:tcPr>
                  <w:tcW w:w="996" w:type="pct"/>
                  <w:vAlign w:val="center"/>
                </w:tcPr>
                <w:p w14:paraId="64A8AF9F">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光伏西区北侧</w:t>
                  </w:r>
                </w:p>
              </w:tc>
              <w:tc>
                <w:tcPr>
                  <w:tcW w:w="1050" w:type="pct"/>
                  <w:vMerge w:val="continue"/>
                  <w:vAlign w:val="center"/>
                </w:tcPr>
                <w:p w14:paraId="219E5CF8">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r>
            <w:tr w14:paraId="1796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10A6FAFC">
                  <w:pPr>
                    <w:kinsoku w:val="0"/>
                    <w:overflowPunct w:val="0"/>
                    <w:autoSpaceDE w:val="0"/>
                    <w:autoSpaceDN w:val="0"/>
                    <w:adjustRightInd w:val="0"/>
                    <w:snapToGrid w:val="0"/>
                    <w:spacing w:line="360" w:lineRule="exact"/>
                    <w:jc w:val="center"/>
                    <w:rPr>
                      <w:color w:val="000000" w:themeColor="text1"/>
                      <w14:textFill>
                        <w14:solidFill>
                          <w14:schemeClr w14:val="tx1"/>
                        </w14:solidFill>
                      </w14:textFill>
                    </w:rPr>
                  </w:pPr>
                </w:p>
              </w:tc>
              <w:tc>
                <w:tcPr>
                  <w:tcW w:w="958" w:type="pct"/>
                  <w:vAlign w:val="center"/>
                </w:tcPr>
                <w:p w14:paraId="461BD6B0">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新刘庄村</w:t>
                  </w:r>
                </w:p>
              </w:tc>
              <w:tc>
                <w:tcPr>
                  <w:tcW w:w="959" w:type="pct"/>
                  <w:vMerge w:val="continue"/>
                  <w:vAlign w:val="center"/>
                </w:tcPr>
                <w:p w14:paraId="77110EEF">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722" w:type="pct"/>
                  <w:vAlign w:val="center"/>
                </w:tcPr>
                <w:p w14:paraId="6A470F05">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330</w:t>
                  </w:r>
                </w:p>
              </w:tc>
              <w:tc>
                <w:tcPr>
                  <w:tcW w:w="996" w:type="pct"/>
                  <w:vAlign w:val="center"/>
                </w:tcPr>
                <w:p w14:paraId="07186BB8">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光伏在北区东侧</w:t>
                  </w:r>
                </w:p>
              </w:tc>
              <w:tc>
                <w:tcPr>
                  <w:tcW w:w="1050" w:type="pct"/>
                  <w:vMerge w:val="continue"/>
                  <w:vAlign w:val="center"/>
                </w:tcPr>
                <w:p w14:paraId="4492F600">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r>
            <w:tr w14:paraId="5605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76181407">
                  <w:pPr>
                    <w:kinsoku w:val="0"/>
                    <w:overflowPunct w:val="0"/>
                    <w:autoSpaceDE w:val="0"/>
                    <w:autoSpaceDN w:val="0"/>
                    <w:adjustRightInd w:val="0"/>
                    <w:snapToGrid w:val="0"/>
                    <w:spacing w:line="360" w:lineRule="exact"/>
                    <w:jc w:val="center"/>
                    <w:rPr>
                      <w:color w:val="000000" w:themeColor="text1"/>
                      <w14:textFill>
                        <w14:solidFill>
                          <w14:schemeClr w14:val="tx1"/>
                        </w14:solidFill>
                      </w14:textFill>
                    </w:rPr>
                  </w:pPr>
                </w:p>
              </w:tc>
              <w:tc>
                <w:tcPr>
                  <w:tcW w:w="958" w:type="pct"/>
                  <w:vAlign w:val="center"/>
                </w:tcPr>
                <w:p w14:paraId="0B821ED3">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陈庄子村</w:t>
                  </w:r>
                </w:p>
              </w:tc>
              <w:tc>
                <w:tcPr>
                  <w:tcW w:w="959" w:type="pct"/>
                  <w:vMerge w:val="continue"/>
                  <w:vAlign w:val="center"/>
                </w:tcPr>
                <w:p w14:paraId="3C5A1C00">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722" w:type="pct"/>
                  <w:vAlign w:val="center"/>
                </w:tcPr>
                <w:p w14:paraId="36A71193">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335</w:t>
                  </w:r>
                </w:p>
              </w:tc>
              <w:tc>
                <w:tcPr>
                  <w:tcW w:w="996" w:type="pct"/>
                  <w:vAlign w:val="center"/>
                </w:tcPr>
                <w:p w14:paraId="5450B412">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光伏在北区北侧</w:t>
                  </w:r>
                </w:p>
              </w:tc>
              <w:tc>
                <w:tcPr>
                  <w:tcW w:w="1050" w:type="pct"/>
                  <w:vMerge w:val="continue"/>
                  <w:vAlign w:val="center"/>
                </w:tcPr>
                <w:p w14:paraId="604908EF">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r>
            <w:tr w14:paraId="1149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7C43EC18">
                  <w:pPr>
                    <w:kinsoku w:val="0"/>
                    <w:overflowPunct w:val="0"/>
                    <w:autoSpaceDE w:val="0"/>
                    <w:autoSpaceDN w:val="0"/>
                    <w:adjustRightInd w:val="0"/>
                    <w:snapToGrid w:val="0"/>
                    <w:spacing w:line="360" w:lineRule="exact"/>
                    <w:jc w:val="center"/>
                    <w:rPr>
                      <w:color w:val="000000" w:themeColor="text1"/>
                      <w14:textFill>
                        <w14:solidFill>
                          <w14:schemeClr w14:val="tx1"/>
                        </w14:solidFill>
                      </w14:textFill>
                    </w:rPr>
                  </w:pPr>
                </w:p>
              </w:tc>
              <w:tc>
                <w:tcPr>
                  <w:tcW w:w="958" w:type="pct"/>
                  <w:vAlign w:val="center"/>
                </w:tcPr>
                <w:p w14:paraId="20162306">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莫家屯村</w:t>
                  </w:r>
                </w:p>
              </w:tc>
              <w:tc>
                <w:tcPr>
                  <w:tcW w:w="959" w:type="pct"/>
                  <w:vMerge w:val="continue"/>
                  <w:vAlign w:val="center"/>
                </w:tcPr>
                <w:p w14:paraId="548ACB8A">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722" w:type="pct"/>
                  <w:vAlign w:val="center"/>
                </w:tcPr>
                <w:p w14:paraId="2BFADADC">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400</w:t>
                  </w:r>
                </w:p>
              </w:tc>
              <w:tc>
                <w:tcPr>
                  <w:tcW w:w="996" w:type="pct"/>
                  <w:vAlign w:val="center"/>
                </w:tcPr>
                <w:p w14:paraId="4A0174E0">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光伏在北区北侧</w:t>
                  </w:r>
                </w:p>
              </w:tc>
              <w:tc>
                <w:tcPr>
                  <w:tcW w:w="1050" w:type="pct"/>
                  <w:vMerge w:val="continue"/>
                  <w:vAlign w:val="center"/>
                </w:tcPr>
                <w:p w14:paraId="715D1722">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r>
            <w:tr w14:paraId="38ED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27CE408C">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958" w:type="pct"/>
                  <w:vAlign w:val="center"/>
                </w:tcPr>
                <w:p w14:paraId="539FE013">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夜明峪村</w:t>
                  </w:r>
                </w:p>
              </w:tc>
              <w:tc>
                <w:tcPr>
                  <w:tcW w:w="959" w:type="pct"/>
                  <w:vMerge w:val="continue"/>
                  <w:vAlign w:val="center"/>
                </w:tcPr>
                <w:p w14:paraId="0F802EC4">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722" w:type="pct"/>
                  <w:vAlign w:val="center"/>
                </w:tcPr>
                <w:p w14:paraId="143081C7">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35</w:t>
                  </w:r>
                </w:p>
              </w:tc>
              <w:tc>
                <w:tcPr>
                  <w:tcW w:w="996" w:type="pct"/>
                  <w:vAlign w:val="center"/>
                </w:tcPr>
                <w:p w14:paraId="10E7CA1F">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光伏在北区南侧</w:t>
                  </w:r>
                </w:p>
              </w:tc>
              <w:tc>
                <w:tcPr>
                  <w:tcW w:w="1050" w:type="pct"/>
                  <w:vMerge w:val="continue"/>
                  <w:vAlign w:val="center"/>
                </w:tcPr>
                <w:p w14:paraId="2851747B">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r>
            <w:tr w14:paraId="65B0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3AC41B1F">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958" w:type="pct"/>
                  <w:vAlign w:val="center"/>
                </w:tcPr>
                <w:p w14:paraId="2D809763">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潘庄村</w:t>
                  </w:r>
                </w:p>
              </w:tc>
              <w:tc>
                <w:tcPr>
                  <w:tcW w:w="959" w:type="pct"/>
                  <w:vMerge w:val="continue"/>
                  <w:vAlign w:val="center"/>
                </w:tcPr>
                <w:p w14:paraId="58FEBDC2">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722" w:type="pct"/>
                  <w:vAlign w:val="center"/>
                </w:tcPr>
                <w:p w14:paraId="540A9923">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c>
                <w:tcPr>
                  <w:tcW w:w="996" w:type="pct"/>
                  <w:vAlign w:val="center"/>
                </w:tcPr>
                <w:p w14:paraId="122A5291">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光伏在北区西侧</w:t>
                  </w:r>
                </w:p>
              </w:tc>
              <w:tc>
                <w:tcPr>
                  <w:tcW w:w="1050" w:type="pct"/>
                  <w:vMerge w:val="continue"/>
                  <w:vAlign w:val="center"/>
                </w:tcPr>
                <w:p w14:paraId="51DA8276">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r>
            <w:tr w14:paraId="1F59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Align w:val="center"/>
                </w:tcPr>
                <w:p w14:paraId="561A0C4D">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水环</w:t>
                  </w:r>
                </w:p>
                <w:p w14:paraId="4006DE15">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境</w:t>
                  </w:r>
                </w:p>
              </w:tc>
              <w:tc>
                <w:tcPr>
                  <w:tcW w:w="3637" w:type="pct"/>
                  <w:gridSpan w:val="4"/>
                  <w:vAlign w:val="center"/>
                </w:tcPr>
                <w:p w14:paraId="7E327F5D">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厂界外500米范围内无地下水集中式饮用水水源和热水矿泉水、温泉等特殊地下水资源</w:t>
                  </w:r>
                </w:p>
              </w:tc>
              <w:tc>
                <w:tcPr>
                  <w:tcW w:w="1050" w:type="pct"/>
                  <w:vAlign w:val="center"/>
                </w:tcPr>
                <w:p w14:paraId="31C79F78">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r>
            <w:tr w14:paraId="5C72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restart"/>
                  <w:vAlign w:val="center"/>
                </w:tcPr>
                <w:p w14:paraId="2AE086D0">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声环境</w:t>
                  </w:r>
                </w:p>
              </w:tc>
              <w:tc>
                <w:tcPr>
                  <w:tcW w:w="958" w:type="pct"/>
                  <w:vAlign w:val="center"/>
                </w:tcPr>
                <w:p w14:paraId="1147B2D5">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佟庄村北侧1#</w:t>
                  </w:r>
                </w:p>
              </w:tc>
              <w:tc>
                <w:tcPr>
                  <w:tcW w:w="959" w:type="pct"/>
                  <w:vMerge w:val="restart"/>
                  <w:vAlign w:val="center"/>
                </w:tcPr>
                <w:p w14:paraId="57C8E4EE">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光伏场区/升压站</w:t>
                  </w:r>
                </w:p>
              </w:tc>
              <w:tc>
                <w:tcPr>
                  <w:tcW w:w="722" w:type="pct"/>
                  <w:vAlign w:val="center"/>
                </w:tcPr>
                <w:p w14:paraId="398E8CE0">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35</w:t>
                  </w:r>
                </w:p>
              </w:tc>
              <w:tc>
                <w:tcPr>
                  <w:tcW w:w="996" w:type="pct"/>
                  <w:vAlign w:val="center"/>
                </w:tcPr>
                <w:p w14:paraId="1C697361">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光伏东区东南侧</w:t>
                  </w:r>
                </w:p>
              </w:tc>
              <w:tc>
                <w:tcPr>
                  <w:tcW w:w="1050" w:type="pct"/>
                  <w:vMerge w:val="restart"/>
                  <w:vAlign w:val="center"/>
                </w:tcPr>
                <w:p w14:paraId="4B181E90">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《声环境质量</w:t>
                  </w:r>
                </w:p>
                <w:p w14:paraId="0E2CE353">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标准》（GB3096-2008）中的1类功能区标准</w:t>
                  </w:r>
                </w:p>
              </w:tc>
            </w:tr>
            <w:tr w14:paraId="37DB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64E043C4">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958" w:type="pct"/>
                  <w:vAlign w:val="center"/>
                </w:tcPr>
                <w:p w14:paraId="444848AD">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夜明峪村北侧2#</w:t>
                  </w:r>
                </w:p>
              </w:tc>
              <w:tc>
                <w:tcPr>
                  <w:tcW w:w="959" w:type="pct"/>
                  <w:vMerge w:val="continue"/>
                  <w:vAlign w:val="center"/>
                </w:tcPr>
                <w:p w14:paraId="333A5C0B">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722" w:type="pct"/>
                  <w:vAlign w:val="center"/>
                </w:tcPr>
                <w:p w14:paraId="63C6B17A">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35</w:t>
                  </w:r>
                </w:p>
              </w:tc>
              <w:tc>
                <w:tcPr>
                  <w:tcW w:w="996" w:type="pct"/>
                  <w:vAlign w:val="center"/>
                </w:tcPr>
                <w:p w14:paraId="29B3A06C">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光伏在北区南侧</w:t>
                  </w:r>
                </w:p>
              </w:tc>
              <w:tc>
                <w:tcPr>
                  <w:tcW w:w="1050" w:type="pct"/>
                  <w:vMerge w:val="continue"/>
                  <w:vAlign w:val="center"/>
                </w:tcPr>
                <w:p w14:paraId="4A33C26A">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r>
            <w:tr w14:paraId="6DDB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Merge w:val="continue"/>
                  <w:vAlign w:val="center"/>
                </w:tcPr>
                <w:p w14:paraId="18C2B911">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958" w:type="pct"/>
                  <w:vAlign w:val="center"/>
                </w:tcPr>
                <w:p w14:paraId="4C92DD38">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潘庄村南侧3#</w:t>
                  </w:r>
                </w:p>
              </w:tc>
              <w:tc>
                <w:tcPr>
                  <w:tcW w:w="959" w:type="pct"/>
                  <w:vMerge w:val="continue"/>
                  <w:vAlign w:val="center"/>
                </w:tcPr>
                <w:p w14:paraId="62DC51D8">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c>
                <w:tcPr>
                  <w:tcW w:w="722" w:type="pct"/>
                  <w:vAlign w:val="center"/>
                </w:tcPr>
                <w:p w14:paraId="0D6C4FAF">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15</w:t>
                  </w:r>
                </w:p>
              </w:tc>
              <w:tc>
                <w:tcPr>
                  <w:tcW w:w="996" w:type="pct"/>
                  <w:vAlign w:val="center"/>
                </w:tcPr>
                <w:p w14:paraId="2812130C">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光伏在北区西侧</w:t>
                  </w:r>
                </w:p>
              </w:tc>
              <w:tc>
                <w:tcPr>
                  <w:tcW w:w="1050" w:type="pct"/>
                  <w:vMerge w:val="continue"/>
                  <w:vAlign w:val="center"/>
                </w:tcPr>
                <w:p w14:paraId="7416F1ED">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p>
              </w:tc>
            </w:tr>
            <w:tr w14:paraId="75BC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311" w:type="pct"/>
                  <w:vAlign w:val="center"/>
                </w:tcPr>
                <w:p w14:paraId="0D908E29">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生态环境</w:t>
                  </w:r>
                </w:p>
              </w:tc>
              <w:tc>
                <w:tcPr>
                  <w:tcW w:w="3637" w:type="pct"/>
                  <w:gridSpan w:val="4"/>
                  <w:vAlign w:val="center"/>
                </w:tcPr>
                <w:p w14:paraId="399BD435">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本项目占地范围内生态系统、动植物等</w:t>
                  </w:r>
                </w:p>
              </w:tc>
              <w:tc>
                <w:tcPr>
                  <w:tcW w:w="1050" w:type="pct"/>
                  <w:vAlign w:val="center"/>
                </w:tcPr>
                <w:p w14:paraId="378C63B2">
                  <w:pPr>
                    <w:kinsoku w:val="0"/>
                    <w:overflowPunct w:val="0"/>
                    <w:autoSpaceDE w:val="0"/>
                    <w:autoSpaceDN w:val="0"/>
                    <w:adjustRightInd w:val="0"/>
                    <w:snapToGrid w:val="0"/>
                    <w:spacing w:line="36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区域生态环境无明显退化</w:t>
                  </w:r>
                </w:p>
              </w:tc>
            </w:tr>
            <w:bookmarkEnd w:id="19"/>
          </w:tbl>
          <w:p w14:paraId="662032AD">
            <w:pPr>
              <w:pStyle w:val="46"/>
              <w:kinsoku w:val="0"/>
              <w:overflowPunct w:val="0"/>
              <w:autoSpaceDE w:val="0"/>
              <w:autoSpaceDN w:val="0"/>
              <w:adjustRightInd w:val="0"/>
              <w:spacing w:line="440" w:lineRule="exact"/>
              <w:jc w:val="both"/>
              <w:rPr>
                <w:color w:val="000000" w:themeColor="text1"/>
                <w:sz w:val="24"/>
                <w:szCs w:val="24"/>
                <w14:textFill>
                  <w14:solidFill>
                    <w14:schemeClr w14:val="tx1"/>
                  </w14:solidFill>
                </w14:textFill>
              </w:rPr>
            </w:pPr>
          </w:p>
        </w:tc>
      </w:tr>
      <w:tr w14:paraId="36BAE8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Align w:val="center"/>
          </w:tcPr>
          <w:p w14:paraId="1A197407">
            <w:pPr>
              <w:kinsoku w:val="0"/>
              <w:overflowPunct w:val="0"/>
              <w:autoSpaceDE w:val="0"/>
              <w:autoSpaceDN w:val="0"/>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评价标准</w:t>
            </w:r>
          </w:p>
        </w:tc>
        <w:tc>
          <w:tcPr>
            <w:tcW w:w="4459" w:type="pct"/>
            <w:vAlign w:val="center"/>
          </w:tcPr>
          <w:p w14:paraId="633195A8">
            <w:pPr>
              <w:adjustRightInd w:val="0"/>
              <w:snapToGrid w:val="0"/>
              <w:spacing w:line="440" w:lineRule="exact"/>
              <w:jc w:val="left"/>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 xml:space="preserve">1 </w:t>
            </w:r>
            <w:r>
              <w:rPr>
                <w:rFonts w:hint="eastAsia" w:cs="宋体"/>
                <w:b/>
                <w:color w:val="000000" w:themeColor="text1"/>
                <w:sz w:val="24"/>
                <w:lang w:bidi="ar"/>
                <w14:textFill>
                  <w14:solidFill>
                    <w14:schemeClr w14:val="tx1"/>
                  </w14:solidFill>
                </w14:textFill>
              </w:rPr>
              <w:t>环境质量标准</w:t>
            </w:r>
          </w:p>
          <w:p w14:paraId="43F1471F">
            <w:pPr>
              <w:adjustRightInd w:val="0"/>
              <w:snapToGrid w:val="0"/>
              <w:spacing w:line="440" w:lineRule="exact"/>
              <w:ind w:firstLine="482" w:firstLineChars="200"/>
              <w:rPr>
                <w:b/>
                <w:color w:val="000000" w:themeColor="text1"/>
                <w:kern w:val="0"/>
                <w:sz w:val="24"/>
                <w14:textFill>
                  <w14:solidFill>
                    <w14:schemeClr w14:val="tx1"/>
                  </w14:solidFill>
                </w14:textFill>
              </w:rPr>
            </w:pPr>
            <w:r>
              <w:rPr>
                <w:rFonts w:hint="eastAsia" w:cs="宋体"/>
                <w:b/>
                <w:color w:val="000000" w:themeColor="text1"/>
                <w:kern w:val="0"/>
                <w:sz w:val="24"/>
                <w:lang w:bidi="ar"/>
                <w14:textFill>
                  <w14:solidFill>
                    <w14:schemeClr w14:val="tx1"/>
                  </w14:solidFill>
                </w14:textFill>
              </w:rPr>
              <w:t>（</w:t>
            </w:r>
            <w:r>
              <w:rPr>
                <w:b/>
                <w:color w:val="000000" w:themeColor="text1"/>
                <w:kern w:val="0"/>
                <w:sz w:val="24"/>
                <w:lang w:bidi="ar"/>
                <w14:textFill>
                  <w14:solidFill>
                    <w14:schemeClr w14:val="tx1"/>
                  </w14:solidFill>
                </w14:textFill>
              </w:rPr>
              <w:t>1</w:t>
            </w:r>
            <w:r>
              <w:rPr>
                <w:rFonts w:hint="eastAsia" w:cs="宋体"/>
                <w:b/>
                <w:color w:val="000000" w:themeColor="text1"/>
                <w:kern w:val="0"/>
                <w:sz w:val="24"/>
                <w:lang w:bidi="ar"/>
                <w14:textFill>
                  <w14:solidFill>
                    <w14:schemeClr w14:val="tx1"/>
                  </w14:solidFill>
                </w14:textFill>
              </w:rPr>
              <w:t>）环境空气质量</w:t>
            </w:r>
          </w:p>
          <w:p w14:paraId="7A056D27">
            <w:pPr>
              <w:tabs>
                <w:tab w:val="left" w:pos="4859"/>
              </w:tabs>
              <w:adjustRightInd w:val="0"/>
              <w:snapToGrid w:val="0"/>
              <w:spacing w:line="440" w:lineRule="exact"/>
              <w:ind w:firstLine="480" w:firstLineChars="200"/>
              <w:rPr>
                <w:snapToGrid w:val="0"/>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本项目位于遵化市铁厂镇，工程所处区域为</w:t>
            </w:r>
            <w:r>
              <w:rPr>
                <w:rFonts w:hint="eastAsia" w:cs="宋体"/>
                <w:color w:val="000000" w:themeColor="text1"/>
                <w:sz w:val="24"/>
                <w:lang w:val="en-US" w:eastAsia="zh-CN" w:bidi="ar"/>
                <w14:textFill>
                  <w14:solidFill>
                    <w14:schemeClr w14:val="tx1"/>
                  </w14:solidFill>
                </w14:textFill>
              </w:rPr>
              <w:t>荒山荒坡</w:t>
            </w:r>
            <w:r>
              <w:rPr>
                <w:rFonts w:hint="eastAsia" w:cs="宋体"/>
                <w:color w:val="000000" w:themeColor="text1"/>
                <w:sz w:val="24"/>
                <w:lang w:bidi="ar"/>
                <w14:textFill>
                  <w14:solidFill>
                    <w14:schemeClr w14:val="tx1"/>
                  </w14:solidFill>
                </w14:textFill>
              </w:rPr>
              <w:t>，无大型工业企业分布，</w:t>
            </w:r>
            <w:r>
              <w:rPr>
                <w:rFonts w:hint="eastAsia" w:cs="宋体"/>
                <w:snapToGrid w:val="0"/>
                <w:color w:val="000000" w:themeColor="text1"/>
                <w:sz w:val="24"/>
                <w:lang w:bidi="ar"/>
                <w14:textFill>
                  <w14:solidFill>
                    <w14:schemeClr w14:val="tx1"/>
                  </w14:solidFill>
                </w14:textFill>
              </w:rPr>
              <w:t>属于环境空气质量功能二类区，执行《环境空气质量标准》（</w:t>
            </w:r>
            <w:r>
              <w:rPr>
                <w:snapToGrid w:val="0"/>
                <w:color w:val="000000" w:themeColor="text1"/>
                <w:sz w:val="24"/>
                <w:lang w:bidi="ar"/>
                <w14:textFill>
                  <w14:solidFill>
                    <w14:schemeClr w14:val="tx1"/>
                  </w14:solidFill>
                </w14:textFill>
              </w:rPr>
              <w:t>GB3095-2012</w:t>
            </w:r>
            <w:r>
              <w:rPr>
                <w:rFonts w:hint="eastAsia" w:cs="宋体"/>
                <w:snapToGrid w:val="0"/>
                <w:color w:val="000000" w:themeColor="text1"/>
                <w:sz w:val="24"/>
                <w:lang w:bidi="ar"/>
                <w14:textFill>
                  <w14:solidFill>
                    <w14:schemeClr w14:val="tx1"/>
                  </w14:solidFill>
                </w14:textFill>
              </w:rPr>
              <w:t>）二类区标准及修改单，详见表</w:t>
            </w:r>
            <w:r>
              <w:rPr>
                <w:snapToGrid w:val="0"/>
                <w:color w:val="000000" w:themeColor="text1"/>
                <w:sz w:val="24"/>
                <w:lang w:bidi="ar"/>
                <w14:textFill>
                  <w14:solidFill>
                    <w14:schemeClr w14:val="tx1"/>
                  </w14:solidFill>
                </w14:textFill>
              </w:rPr>
              <w:t>3-</w:t>
            </w:r>
            <w:r>
              <w:rPr>
                <w:rFonts w:hint="eastAsia"/>
                <w:snapToGrid w:val="0"/>
                <w:color w:val="000000" w:themeColor="text1"/>
                <w:sz w:val="24"/>
                <w:lang w:bidi="ar"/>
                <w14:textFill>
                  <w14:solidFill>
                    <w14:schemeClr w14:val="tx1"/>
                  </w14:solidFill>
                </w14:textFill>
              </w:rPr>
              <w:t>7</w:t>
            </w:r>
            <w:r>
              <w:rPr>
                <w:rFonts w:hint="eastAsia" w:cs="宋体"/>
                <w:snapToGrid w:val="0"/>
                <w:color w:val="000000" w:themeColor="text1"/>
                <w:sz w:val="24"/>
                <w:lang w:bidi="ar"/>
                <w14:textFill>
                  <w14:solidFill>
                    <w14:schemeClr w14:val="tx1"/>
                  </w14:solidFill>
                </w14:textFill>
              </w:rPr>
              <w:t>。</w:t>
            </w:r>
          </w:p>
          <w:p w14:paraId="12BEBEAE">
            <w:pPr>
              <w:spacing w:line="440" w:lineRule="exact"/>
              <w:ind w:firstLine="482" w:firstLineChars="200"/>
              <w:rPr>
                <w:b/>
                <w:snapToGrid w:val="0"/>
                <w:color w:val="000000" w:themeColor="text1"/>
                <w:sz w:val="24"/>
                <w14:textFill>
                  <w14:solidFill>
                    <w14:schemeClr w14:val="tx1"/>
                  </w14:solidFill>
                </w14:textFill>
              </w:rPr>
            </w:pPr>
            <w:r>
              <w:rPr>
                <w:rFonts w:hint="eastAsia" w:cs="宋体"/>
                <w:b/>
                <w:snapToGrid w:val="0"/>
                <w:color w:val="000000" w:themeColor="text1"/>
                <w:sz w:val="24"/>
                <w:lang w:bidi="ar"/>
                <w14:textFill>
                  <w14:solidFill>
                    <w14:schemeClr w14:val="tx1"/>
                  </w14:solidFill>
                </w14:textFill>
              </w:rPr>
              <w:t>表</w:t>
            </w:r>
            <w:r>
              <w:rPr>
                <w:b/>
                <w:snapToGrid w:val="0"/>
                <w:color w:val="000000" w:themeColor="text1"/>
                <w:sz w:val="24"/>
                <w:lang w:bidi="ar"/>
                <w14:textFill>
                  <w14:solidFill>
                    <w14:schemeClr w14:val="tx1"/>
                  </w14:solidFill>
                </w14:textFill>
              </w:rPr>
              <w:t>3-</w:t>
            </w:r>
            <w:r>
              <w:rPr>
                <w:rFonts w:hint="eastAsia"/>
                <w:b/>
                <w:snapToGrid w:val="0"/>
                <w:color w:val="000000" w:themeColor="text1"/>
                <w:sz w:val="24"/>
                <w:lang w:bidi="ar"/>
                <w14:textFill>
                  <w14:solidFill>
                    <w14:schemeClr w14:val="tx1"/>
                  </w14:solidFill>
                </w14:textFill>
              </w:rPr>
              <w:t>7</w:t>
            </w:r>
            <w:r>
              <w:rPr>
                <w:rFonts w:hint="eastAsia"/>
                <w:b/>
                <w:color w:val="000000" w:themeColor="text1"/>
                <w:sz w:val="24"/>
                <w:lang w:bidi="ar"/>
                <w14:textFill>
                  <w14:solidFill>
                    <w14:schemeClr w14:val="tx1"/>
                  </w14:solidFill>
                </w14:textFill>
              </w:rPr>
              <w:t xml:space="preserve">    </w:t>
            </w:r>
            <w:r>
              <w:rPr>
                <w:rFonts w:hint="eastAsia" w:cs="宋体"/>
                <w:b/>
                <w:snapToGrid w:val="0"/>
                <w:color w:val="000000" w:themeColor="text1"/>
                <w:sz w:val="24"/>
                <w:lang w:bidi="ar"/>
                <w14:textFill>
                  <w14:solidFill>
                    <w14:schemeClr w14:val="tx1"/>
                  </w14:solidFill>
                </w14:textFill>
              </w:rPr>
              <w:t>环境空气质量执行标准</w:t>
            </w:r>
          </w:p>
          <w:tbl>
            <w:tblPr>
              <w:tblStyle w:val="6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9"/>
              <w:gridCol w:w="2038"/>
              <w:gridCol w:w="1135"/>
              <w:gridCol w:w="835"/>
              <w:gridCol w:w="2488"/>
            </w:tblGrid>
            <w:tr w14:paraId="69B19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585A2">
                  <w:pPr>
                    <w:adjustRightInd w:val="0"/>
                    <w:snapToGrid w:val="0"/>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污染物项目</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E56FE">
                  <w:pPr>
                    <w:adjustRightInd w:val="0"/>
                    <w:snapToGrid w:val="0"/>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平均时间</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93D74">
                  <w:pPr>
                    <w:adjustRightInd w:val="0"/>
                    <w:snapToGrid w:val="0"/>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浓度限值</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1F3B3">
                  <w:pPr>
                    <w:adjustRightInd w:val="0"/>
                    <w:snapToGrid w:val="0"/>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单位</w:t>
                  </w:r>
                </w:p>
              </w:tc>
              <w:tc>
                <w:tcPr>
                  <w:tcW w:w="15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01F51">
                  <w:pPr>
                    <w:adjustRightInd w:val="0"/>
                    <w:snapToGrid w:val="0"/>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执行标准</w:t>
                  </w:r>
                </w:p>
              </w:tc>
            </w:tr>
            <w:tr w14:paraId="22E6B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A5838A">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SO</w:t>
                  </w:r>
                  <w:r>
                    <w:rPr>
                      <w:color w:val="000000" w:themeColor="text1"/>
                      <w:szCs w:val="21"/>
                      <w:vertAlign w:val="subscript"/>
                      <w:lang w:bidi="ar"/>
                      <w14:textFill>
                        <w14:solidFill>
                          <w14:schemeClr w14:val="tx1"/>
                        </w14:solidFill>
                      </w14:textFill>
                    </w:rPr>
                    <w:t>2</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0EC5E">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年平均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D334A">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60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5F205">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5A79FD">
                  <w:pPr>
                    <w:adjustRightInd w:val="0"/>
                    <w:snapToGrid w:val="0"/>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《环境空气质量标准》</w:t>
                  </w:r>
                </w:p>
                <w:p w14:paraId="12DF93DA">
                  <w:pPr>
                    <w:adjustRightInd w:val="0"/>
                    <w:snapToGrid w:val="0"/>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w:t>
                  </w:r>
                  <w:r>
                    <w:rPr>
                      <w:color w:val="000000" w:themeColor="text1"/>
                      <w:szCs w:val="21"/>
                      <w:lang w:bidi="ar"/>
                      <w14:textFill>
                        <w14:solidFill>
                          <w14:schemeClr w14:val="tx1"/>
                        </w14:solidFill>
                      </w14:textFill>
                    </w:rPr>
                    <w:t>GB3095-2012</w:t>
                  </w:r>
                  <w:r>
                    <w:rPr>
                      <w:rFonts w:hint="eastAsia" w:cs="宋体"/>
                      <w:color w:val="000000" w:themeColor="text1"/>
                      <w:szCs w:val="21"/>
                      <w:lang w:bidi="ar"/>
                      <w14:textFill>
                        <w14:solidFill>
                          <w14:schemeClr w14:val="tx1"/>
                        </w14:solidFill>
                      </w14:textFill>
                    </w:rPr>
                    <w:t>）二类区</w:t>
                  </w:r>
                </w:p>
              </w:tc>
            </w:tr>
            <w:tr w14:paraId="055E5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0CF0B">
                  <w:pPr>
                    <w:spacing w:line="360" w:lineRule="exact"/>
                    <w:rPr>
                      <w:color w:val="000000" w:themeColor="text1"/>
                      <w:sz w:val="20"/>
                      <w:szCs w:val="20"/>
                      <w14:textFill>
                        <w14:solidFill>
                          <w14:schemeClr w14:val="tx1"/>
                        </w14:solidFill>
                      </w14:textFill>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00173">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24</w:t>
                  </w:r>
                  <w:r>
                    <w:rPr>
                      <w:rFonts w:hint="eastAsia" w:cs="宋体"/>
                      <w:color w:val="000000" w:themeColor="text1"/>
                      <w:szCs w:val="21"/>
                      <w:lang w:bidi="ar"/>
                      <w14:textFill>
                        <w14:solidFill>
                          <w14:schemeClr w14:val="tx1"/>
                        </w14:solidFill>
                      </w14:textFill>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421EF">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150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27AFA">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6A2B0">
                  <w:pPr>
                    <w:spacing w:line="360" w:lineRule="exact"/>
                    <w:rPr>
                      <w:color w:val="000000" w:themeColor="text1"/>
                      <w:sz w:val="20"/>
                      <w:szCs w:val="20"/>
                      <w14:textFill>
                        <w14:solidFill>
                          <w14:schemeClr w14:val="tx1"/>
                        </w14:solidFill>
                      </w14:textFill>
                    </w:rPr>
                  </w:pPr>
                </w:p>
              </w:tc>
            </w:tr>
            <w:tr w14:paraId="60745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3E48A">
                  <w:pPr>
                    <w:spacing w:line="360" w:lineRule="exact"/>
                    <w:rPr>
                      <w:color w:val="000000" w:themeColor="text1"/>
                      <w:sz w:val="20"/>
                      <w:szCs w:val="20"/>
                      <w14:textFill>
                        <w14:solidFill>
                          <w14:schemeClr w14:val="tx1"/>
                        </w14:solidFill>
                      </w14:textFill>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A6271">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r>
                    <w:rPr>
                      <w:rFonts w:hint="eastAsia" w:cs="宋体"/>
                      <w:color w:val="000000" w:themeColor="text1"/>
                      <w:szCs w:val="21"/>
                      <w:lang w:bidi="ar"/>
                      <w14:textFill>
                        <w14:solidFill>
                          <w14:schemeClr w14:val="tx1"/>
                        </w14:solidFill>
                      </w14:textFill>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DD302">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500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E7B22">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B852D">
                  <w:pPr>
                    <w:spacing w:line="360" w:lineRule="exact"/>
                    <w:rPr>
                      <w:color w:val="000000" w:themeColor="text1"/>
                      <w:sz w:val="20"/>
                      <w:szCs w:val="20"/>
                      <w14:textFill>
                        <w14:solidFill>
                          <w14:schemeClr w14:val="tx1"/>
                        </w14:solidFill>
                      </w14:textFill>
                    </w:rPr>
                  </w:pPr>
                </w:p>
              </w:tc>
            </w:tr>
            <w:tr w14:paraId="3AA5A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0865B9">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NO</w:t>
                  </w:r>
                  <w:r>
                    <w:rPr>
                      <w:color w:val="000000" w:themeColor="text1"/>
                      <w:szCs w:val="21"/>
                      <w:vertAlign w:val="subscript"/>
                      <w:lang w:bidi="ar"/>
                      <w14:textFill>
                        <w14:solidFill>
                          <w14:schemeClr w14:val="tx1"/>
                        </w14:solidFill>
                      </w14:textFill>
                    </w:rPr>
                    <w:t>2</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CB7F1">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年平均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A9574">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40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53B20">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2D41B">
                  <w:pPr>
                    <w:spacing w:line="360" w:lineRule="exact"/>
                    <w:rPr>
                      <w:color w:val="000000" w:themeColor="text1"/>
                      <w:sz w:val="20"/>
                      <w:szCs w:val="20"/>
                      <w14:textFill>
                        <w14:solidFill>
                          <w14:schemeClr w14:val="tx1"/>
                        </w14:solidFill>
                      </w14:textFill>
                    </w:rPr>
                  </w:pPr>
                </w:p>
              </w:tc>
            </w:tr>
            <w:tr w14:paraId="3ED56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4D10C">
                  <w:pPr>
                    <w:spacing w:line="360" w:lineRule="exact"/>
                    <w:rPr>
                      <w:color w:val="000000" w:themeColor="text1"/>
                      <w:sz w:val="20"/>
                      <w:szCs w:val="20"/>
                      <w14:textFill>
                        <w14:solidFill>
                          <w14:schemeClr w14:val="tx1"/>
                        </w14:solidFill>
                      </w14:textFill>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D28FB">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24</w:t>
                  </w:r>
                  <w:r>
                    <w:rPr>
                      <w:rFonts w:hint="eastAsia" w:cs="宋体"/>
                      <w:color w:val="000000" w:themeColor="text1"/>
                      <w:szCs w:val="21"/>
                      <w:lang w:bidi="ar"/>
                      <w14:textFill>
                        <w14:solidFill>
                          <w14:schemeClr w14:val="tx1"/>
                        </w14:solidFill>
                      </w14:textFill>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049D8">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80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645CD">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30C6E">
                  <w:pPr>
                    <w:spacing w:line="360" w:lineRule="exact"/>
                    <w:rPr>
                      <w:color w:val="000000" w:themeColor="text1"/>
                      <w:sz w:val="20"/>
                      <w:szCs w:val="20"/>
                      <w14:textFill>
                        <w14:solidFill>
                          <w14:schemeClr w14:val="tx1"/>
                        </w14:solidFill>
                      </w14:textFill>
                    </w:rPr>
                  </w:pPr>
                </w:p>
              </w:tc>
            </w:tr>
            <w:tr w14:paraId="58B55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B4A5E">
                  <w:pPr>
                    <w:spacing w:line="360" w:lineRule="exact"/>
                    <w:rPr>
                      <w:color w:val="000000" w:themeColor="text1"/>
                      <w:sz w:val="20"/>
                      <w:szCs w:val="20"/>
                      <w14:textFill>
                        <w14:solidFill>
                          <w14:schemeClr w14:val="tx1"/>
                        </w14:solidFill>
                      </w14:textFill>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1943B">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r>
                    <w:rPr>
                      <w:rFonts w:hint="eastAsia" w:cs="宋体"/>
                      <w:color w:val="000000" w:themeColor="text1"/>
                      <w:szCs w:val="21"/>
                      <w:lang w:bidi="ar"/>
                      <w14:textFill>
                        <w14:solidFill>
                          <w14:schemeClr w14:val="tx1"/>
                        </w14:solidFill>
                      </w14:textFill>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A4511">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200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4BF3F">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A4AC4">
                  <w:pPr>
                    <w:spacing w:line="360" w:lineRule="exact"/>
                    <w:rPr>
                      <w:color w:val="000000" w:themeColor="text1"/>
                      <w:sz w:val="20"/>
                      <w:szCs w:val="20"/>
                      <w14:textFill>
                        <w14:solidFill>
                          <w14:schemeClr w14:val="tx1"/>
                        </w14:solidFill>
                      </w14:textFill>
                    </w:rPr>
                  </w:pPr>
                </w:p>
              </w:tc>
            </w:tr>
            <w:tr w14:paraId="3F5D1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97CA18">
                  <w:pPr>
                    <w:widowControl/>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CO</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180CC">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24</w:t>
                  </w:r>
                  <w:r>
                    <w:rPr>
                      <w:rFonts w:hint="eastAsia" w:cs="宋体"/>
                      <w:color w:val="000000" w:themeColor="text1"/>
                      <w:szCs w:val="21"/>
                      <w:lang w:bidi="ar"/>
                      <w14:textFill>
                        <w14:solidFill>
                          <w14:schemeClr w14:val="tx1"/>
                        </w14:solidFill>
                      </w14:textFill>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86A14">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05097">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mg/m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445CE">
                  <w:pPr>
                    <w:spacing w:line="360" w:lineRule="exact"/>
                    <w:rPr>
                      <w:color w:val="000000" w:themeColor="text1"/>
                      <w:sz w:val="20"/>
                      <w:szCs w:val="20"/>
                      <w14:textFill>
                        <w14:solidFill>
                          <w14:schemeClr w14:val="tx1"/>
                        </w14:solidFill>
                      </w14:textFill>
                    </w:rPr>
                  </w:pPr>
                </w:p>
              </w:tc>
            </w:tr>
            <w:tr w14:paraId="61101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10B20">
                  <w:pPr>
                    <w:spacing w:line="360" w:lineRule="exact"/>
                    <w:rPr>
                      <w:color w:val="000000" w:themeColor="text1"/>
                      <w:sz w:val="20"/>
                      <w:szCs w:val="20"/>
                      <w14:textFill>
                        <w14:solidFill>
                          <w14:schemeClr w14:val="tx1"/>
                        </w14:solidFill>
                      </w14:textFill>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B3C13">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r>
                    <w:rPr>
                      <w:rFonts w:hint="eastAsia" w:cs="宋体"/>
                      <w:color w:val="000000" w:themeColor="text1"/>
                      <w:szCs w:val="21"/>
                      <w:lang w:bidi="ar"/>
                      <w14:textFill>
                        <w14:solidFill>
                          <w14:schemeClr w14:val="tx1"/>
                        </w14:solidFill>
                      </w14:textFill>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A96F3">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D2364">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mg/m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D093D">
                  <w:pPr>
                    <w:spacing w:line="360" w:lineRule="exact"/>
                    <w:rPr>
                      <w:color w:val="000000" w:themeColor="text1"/>
                      <w:sz w:val="20"/>
                      <w:szCs w:val="20"/>
                      <w14:textFill>
                        <w14:solidFill>
                          <w14:schemeClr w14:val="tx1"/>
                        </w14:solidFill>
                      </w14:textFill>
                    </w:rPr>
                  </w:pPr>
                </w:p>
              </w:tc>
            </w:tr>
            <w:tr w14:paraId="74E91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0AA0FF">
                  <w:pPr>
                    <w:widowControl/>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O</w:t>
                  </w:r>
                  <w:r>
                    <w:rPr>
                      <w:color w:val="000000" w:themeColor="text1"/>
                      <w:szCs w:val="21"/>
                      <w:vertAlign w:val="subscript"/>
                      <w:lang w:bidi="ar"/>
                      <w14:textFill>
                        <w14:solidFill>
                          <w14:schemeClr w14:val="tx1"/>
                        </w14:solidFill>
                      </w14:textFill>
                    </w:rPr>
                    <w:t>3</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E496F">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日最大</w:t>
                  </w:r>
                  <w:r>
                    <w:rPr>
                      <w:color w:val="000000" w:themeColor="text1"/>
                      <w:szCs w:val="21"/>
                      <w:lang w:bidi="ar"/>
                      <w14:textFill>
                        <w14:solidFill>
                          <w14:schemeClr w14:val="tx1"/>
                        </w14:solidFill>
                      </w14:textFill>
                    </w:rPr>
                    <w:t>8</w:t>
                  </w:r>
                  <w:r>
                    <w:rPr>
                      <w:rFonts w:hint="eastAsia" w:cs="宋体"/>
                      <w:color w:val="000000" w:themeColor="text1"/>
                      <w:szCs w:val="21"/>
                      <w:lang w:bidi="ar"/>
                      <w14:textFill>
                        <w14:solidFill>
                          <w14:schemeClr w14:val="tx1"/>
                        </w14:solidFill>
                      </w14:textFill>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91796">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160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2F0E9">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E5853">
                  <w:pPr>
                    <w:spacing w:line="360" w:lineRule="exact"/>
                    <w:rPr>
                      <w:color w:val="000000" w:themeColor="text1"/>
                      <w:sz w:val="20"/>
                      <w:szCs w:val="20"/>
                      <w14:textFill>
                        <w14:solidFill>
                          <w14:schemeClr w14:val="tx1"/>
                        </w14:solidFill>
                      </w14:textFill>
                    </w:rPr>
                  </w:pPr>
                </w:p>
              </w:tc>
            </w:tr>
            <w:tr w14:paraId="07752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D916E">
                  <w:pPr>
                    <w:spacing w:line="360" w:lineRule="exact"/>
                    <w:rPr>
                      <w:color w:val="000000" w:themeColor="text1"/>
                      <w:sz w:val="20"/>
                      <w:szCs w:val="20"/>
                      <w14:textFill>
                        <w14:solidFill>
                          <w14:schemeClr w14:val="tx1"/>
                        </w14:solidFill>
                      </w14:textFill>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54CC0">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r>
                    <w:rPr>
                      <w:rFonts w:hint="eastAsia" w:cs="宋体"/>
                      <w:color w:val="000000" w:themeColor="text1"/>
                      <w:szCs w:val="21"/>
                      <w:lang w:bidi="ar"/>
                      <w14:textFill>
                        <w14:solidFill>
                          <w14:schemeClr w14:val="tx1"/>
                        </w14:solidFill>
                      </w14:textFill>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AE6AA">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200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05F68">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49FFD">
                  <w:pPr>
                    <w:spacing w:line="360" w:lineRule="exact"/>
                    <w:rPr>
                      <w:color w:val="000000" w:themeColor="text1"/>
                      <w:sz w:val="20"/>
                      <w:szCs w:val="20"/>
                      <w14:textFill>
                        <w14:solidFill>
                          <w14:schemeClr w14:val="tx1"/>
                        </w14:solidFill>
                      </w14:textFill>
                    </w:rPr>
                  </w:pPr>
                </w:p>
              </w:tc>
            </w:tr>
            <w:tr w14:paraId="2AC24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683913">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PM</w:t>
                  </w:r>
                  <w:r>
                    <w:rPr>
                      <w:color w:val="000000" w:themeColor="text1"/>
                      <w:szCs w:val="21"/>
                      <w:vertAlign w:val="subscript"/>
                      <w:lang w:bidi="ar"/>
                      <w14:textFill>
                        <w14:solidFill>
                          <w14:schemeClr w14:val="tx1"/>
                        </w14:solidFill>
                      </w14:textFill>
                    </w:rPr>
                    <w:t>10</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59B8F">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年平均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51948">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70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B5EAC">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6EA8B">
                  <w:pPr>
                    <w:spacing w:line="360" w:lineRule="exact"/>
                    <w:rPr>
                      <w:color w:val="000000" w:themeColor="text1"/>
                      <w:sz w:val="20"/>
                      <w:szCs w:val="20"/>
                      <w14:textFill>
                        <w14:solidFill>
                          <w14:schemeClr w14:val="tx1"/>
                        </w14:solidFill>
                      </w14:textFill>
                    </w:rPr>
                  </w:pPr>
                </w:p>
              </w:tc>
            </w:tr>
            <w:tr w14:paraId="6FB25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F073C">
                  <w:pPr>
                    <w:spacing w:line="360" w:lineRule="exact"/>
                    <w:rPr>
                      <w:color w:val="000000" w:themeColor="text1"/>
                      <w:sz w:val="20"/>
                      <w:szCs w:val="20"/>
                      <w14:textFill>
                        <w14:solidFill>
                          <w14:schemeClr w14:val="tx1"/>
                        </w14:solidFill>
                      </w14:textFill>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3325D">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24</w:t>
                  </w:r>
                  <w:r>
                    <w:rPr>
                      <w:rFonts w:hint="eastAsia" w:cs="宋体"/>
                      <w:color w:val="000000" w:themeColor="text1"/>
                      <w:szCs w:val="21"/>
                      <w:lang w:bidi="ar"/>
                      <w14:textFill>
                        <w14:solidFill>
                          <w14:schemeClr w14:val="tx1"/>
                        </w14:solidFill>
                      </w14:textFill>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3348B">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150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D6D99">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ED115">
                  <w:pPr>
                    <w:spacing w:line="360" w:lineRule="exact"/>
                    <w:rPr>
                      <w:color w:val="000000" w:themeColor="text1"/>
                      <w:sz w:val="20"/>
                      <w:szCs w:val="20"/>
                      <w14:textFill>
                        <w14:solidFill>
                          <w14:schemeClr w14:val="tx1"/>
                        </w14:solidFill>
                      </w14:textFill>
                    </w:rPr>
                  </w:pPr>
                </w:p>
              </w:tc>
            </w:tr>
            <w:tr w14:paraId="6884A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C8B4DD">
                  <w:pPr>
                    <w:widowControl/>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PM</w:t>
                  </w:r>
                  <w:r>
                    <w:rPr>
                      <w:color w:val="000000" w:themeColor="text1"/>
                      <w:szCs w:val="21"/>
                      <w:vertAlign w:val="subscript"/>
                      <w:lang w:bidi="ar"/>
                      <w14:textFill>
                        <w14:solidFill>
                          <w14:schemeClr w14:val="tx1"/>
                        </w14:solidFill>
                      </w14:textFill>
                    </w:rPr>
                    <w:t>2.5</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01E81">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年平均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576AF">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35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B6FF4">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2A9ED">
                  <w:pPr>
                    <w:spacing w:line="360" w:lineRule="exact"/>
                    <w:rPr>
                      <w:color w:val="000000" w:themeColor="text1"/>
                      <w:sz w:val="20"/>
                      <w:szCs w:val="20"/>
                      <w14:textFill>
                        <w14:solidFill>
                          <w14:schemeClr w14:val="tx1"/>
                        </w14:solidFill>
                      </w14:textFill>
                    </w:rPr>
                  </w:pPr>
                </w:p>
              </w:tc>
            </w:tr>
            <w:tr w14:paraId="3AA6D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885F2">
                  <w:pPr>
                    <w:spacing w:line="360" w:lineRule="exact"/>
                    <w:rPr>
                      <w:color w:val="000000" w:themeColor="text1"/>
                      <w:sz w:val="20"/>
                      <w:szCs w:val="20"/>
                      <w14:textFill>
                        <w14:solidFill>
                          <w14:schemeClr w14:val="tx1"/>
                        </w14:solidFill>
                      </w14:textFill>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38000">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24</w:t>
                  </w:r>
                  <w:r>
                    <w:rPr>
                      <w:rFonts w:hint="eastAsia" w:cs="宋体"/>
                      <w:color w:val="000000" w:themeColor="text1"/>
                      <w:szCs w:val="21"/>
                      <w:lang w:bidi="ar"/>
                      <w14:textFill>
                        <w14:solidFill>
                          <w14:schemeClr w14:val="tx1"/>
                        </w14:solidFill>
                      </w14:textFill>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A97F7">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75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7414A">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036AB">
                  <w:pPr>
                    <w:spacing w:line="360" w:lineRule="exact"/>
                    <w:rPr>
                      <w:color w:val="000000" w:themeColor="text1"/>
                      <w:sz w:val="20"/>
                      <w:szCs w:val="20"/>
                      <w14:textFill>
                        <w14:solidFill>
                          <w14:schemeClr w14:val="tx1"/>
                        </w14:solidFill>
                      </w14:textFill>
                    </w:rPr>
                  </w:pPr>
                </w:p>
              </w:tc>
            </w:tr>
            <w:tr w14:paraId="7D54D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0D0D7D">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TSP</w:t>
                  </w: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7462F">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年平均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CA504">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200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19AED">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F09A9">
                  <w:pPr>
                    <w:spacing w:line="360" w:lineRule="exact"/>
                    <w:rPr>
                      <w:color w:val="000000" w:themeColor="text1"/>
                      <w:sz w:val="20"/>
                      <w:szCs w:val="20"/>
                      <w14:textFill>
                        <w14:solidFill>
                          <w14:schemeClr w14:val="tx1"/>
                        </w14:solidFill>
                      </w14:textFill>
                    </w:rPr>
                  </w:pPr>
                </w:p>
              </w:tc>
            </w:tr>
            <w:tr w14:paraId="13475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6D85A">
                  <w:pPr>
                    <w:spacing w:line="360" w:lineRule="exact"/>
                    <w:rPr>
                      <w:color w:val="000000" w:themeColor="text1"/>
                      <w:sz w:val="20"/>
                      <w:szCs w:val="20"/>
                      <w14:textFill>
                        <w14:solidFill>
                          <w14:schemeClr w14:val="tx1"/>
                        </w14:solidFill>
                      </w14:textFill>
                    </w:rPr>
                  </w:pPr>
                </w:p>
              </w:tc>
              <w:tc>
                <w:tcPr>
                  <w:tcW w:w="12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5F9FF">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24</w:t>
                  </w:r>
                  <w:r>
                    <w:rPr>
                      <w:rFonts w:hint="eastAsia" w:cs="宋体"/>
                      <w:color w:val="000000" w:themeColor="text1"/>
                      <w:szCs w:val="21"/>
                      <w:lang w:bidi="ar"/>
                      <w14:textFill>
                        <w14:solidFill>
                          <w14:schemeClr w14:val="tx1"/>
                        </w14:solidFill>
                      </w14:textFill>
                    </w:rPr>
                    <w:t>小时平均</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1F98A">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300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83F49">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µg/m</w:t>
                  </w:r>
                  <w:r>
                    <w:rPr>
                      <w:color w:val="000000" w:themeColor="text1"/>
                      <w:szCs w:val="21"/>
                      <w:vertAlign w:val="superscript"/>
                      <w:lang w:bidi="ar"/>
                      <w14:textFill>
                        <w14:solidFill>
                          <w14:schemeClr w14:val="tx1"/>
                        </w14:solidFill>
                      </w14:textFill>
                    </w:rPr>
                    <w:t>3</w:t>
                  </w:r>
                </w:p>
              </w:tc>
              <w:tc>
                <w:tcPr>
                  <w:tcW w:w="15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20C6C">
                  <w:pPr>
                    <w:spacing w:line="360" w:lineRule="exact"/>
                    <w:rPr>
                      <w:color w:val="000000" w:themeColor="text1"/>
                      <w:sz w:val="20"/>
                      <w:szCs w:val="20"/>
                      <w14:textFill>
                        <w14:solidFill>
                          <w14:schemeClr w14:val="tx1"/>
                        </w14:solidFill>
                      </w14:textFill>
                    </w:rPr>
                  </w:pPr>
                </w:p>
              </w:tc>
            </w:tr>
          </w:tbl>
          <w:p w14:paraId="75F0E2D6">
            <w:pPr>
              <w:adjustRightInd w:val="0"/>
              <w:snapToGrid w:val="0"/>
              <w:spacing w:line="440" w:lineRule="exact"/>
              <w:ind w:firstLine="482" w:firstLineChars="200"/>
              <w:rPr>
                <w:b/>
                <w:color w:val="000000" w:themeColor="text1"/>
                <w:sz w:val="24"/>
                <w14:textFill>
                  <w14:solidFill>
                    <w14:schemeClr w14:val="tx1"/>
                  </w14:solidFill>
                </w14:textFill>
              </w:rPr>
            </w:pPr>
            <w:r>
              <w:rPr>
                <w:rFonts w:hint="eastAsia" w:cs="宋体"/>
                <w:b/>
                <w:color w:val="000000" w:themeColor="text1"/>
                <w:sz w:val="24"/>
                <w:lang w:bidi="ar"/>
                <w14:textFill>
                  <w14:solidFill>
                    <w14:schemeClr w14:val="tx1"/>
                  </w14:solidFill>
                </w14:textFill>
              </w:rPr>
              <w:t>（</w:t>
            </w:r>
            <w:r>
              <w:rPr>
                <w:rFonts w:hint="eastAsia"/>
                <w:b/>
                <w:color w:val="000000" w:themeColor="text1"/>
                <w:sz w:val="24"/>
                <w:lang w:bidi="ar"/>
                <w14:textFill>
                  <w14:solidFill>
                    <w14:schemeClr w14:val="tx1"/>
                  </w14:solidFill>
                </w14:textFill>
              </w:rPr>
              <w:t>2</w:t>
            </w:r>
            <w:r>
              <w:rPr>
                <w:rFonts w:hint="eastAsia" w:cs="宋体"/>
                <w:b/>
                <w:color w:val="000000" w:themeColor="text1"/>
                <w:sz w:val="24"/>
                <w:lang w:bidi="ar"/>
                <w14:textFill>
                  <w14:solidFill>
                    <w14:schemeClr w14:val="tx1"/>
                  </w14:solidFill>
                </w14:textFill>
              </w:rPr>
              <w:t>）声环境</w:t>
            </w:r>
          </w:p>
          <w:p w14:paraId="5D7FC579">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shd w:val="clear" w:color="auto" w:fill="FFFFFF"/>
                <w:lang w:bidi="ar"/>
                <w14:textFill>
                  <w14:solidFill>
                    <w14:schemeClr w14:val="tx1"/>
                  </w14:solidFill>
                </w14:textFill>
              </w:rPr>
              <w:t>项目</w:t>
            </w:r>
            <w:r>
              <w:rPr>
                <w:rFonts w:hint="eastAsia" w:cs="宋体"/>
                <w:color w:val="000000" w:themeColor="text1"/>
                <w:sz w:val="24"/>
                <w:lang w:bidi="ar"/>
                <w14:textFill>
                  <w14:solidFill>
                    <w14:schemeClr w14:val="tx1"/>
                  </w14:solidFill>
                </w14:textFill>
              </w:rPr>
              <w:t>工程</w:t>
            </w:r>
            <w:r>
              <w:rPr>
                <w:rFonts w:hint="eastAsia" w:cs="宋体"/>
                <w:color w:val="000000" w:themeColor="text1"/>
                <w:sz w:val="24"/>
                <w:shd w:val="clear" w:color="auto" w:fill="FFFFFF"/>
                <w:lang w:eastAsia="zh-CN" w:bidi="ar"/>
                <w14:textFill>
                  <w14:solidFill>
                    <w14:schemeClr w14:val="tx1"/>
                  </w14:solidFill>
                </w14:textFill>
              </w:rPr>
              <w:t>位于</w:t>
            </w:r>
            <w:r>
              <w:rPr>
                <w:rFonts w:hint="eastAsia" w:cs="宋体"/>
                <w:color w:val="000000" w:themeColor="text1"/>
                <w:sz w:val="24"/>
                <w:lang w:bidi="ar"/>
                <w14:textFill>
                  <w14:solidFill>
                    <w14:schemeClr w14:val="tx1"/>
                  </w14:solidFill>
                </w14:textFill>
              </w:rPr>
              <w:t>遵化市铁厂镇，工程所处区域为</w:t>
            </w:r>
            <w:r>
              <w:rPr>
                <w:rFonts w:hint="eastAsia" w:cs="宋体"/>
                <w:color w:val="000000" w:themeColor="text1"/>
                <w:sz w:val="24"/>
                <w:lang w:val="en-US" w:eastAsia="zh-CN" w:bidi="ar"/>
                <w14:textFill>
                  <w14:solidFill>
                    <w14:schemeClr w14:val="tx1"/>
                  </w14:solidFill>
                </w14:textFill>
              </w:rPr>
              <w:t>荒山荒坡</w:t>
            </w:r>
            <w:r>
              <w:rPr>
                <w:rFonts w:hint="eastAsia" w:cs="宋体"/>
                <w:color w:val="000000" w:themeColor="text1"/>
                <w:sz w:val="24"/>
                <w:lang w:bidi="ar"/>
                <w14:textFill>
                  <w14:solidFill>
                    <w14:schemeClr w14:val="tx1"/>
                  </w14:solidFill>
                </w14:textFill>
              </w:rPr>
              <w:t>，按区域声环境功能要求，项目区声环境执行《声环境质量标准》（</w:t>
            </w:r>
            <w:r>
              <w:rPr>
                <w:color w:val="000000" w:themeColor="text1"/>
                <w:sz w:val="24"/>
                <w:lang w:bidi="ar"/>
                <w14:textFill>
                  <w14:solidFill>
                    <w14:schemeClr w14:val="tx1"/>
                  </w14:solidFill>
                </w14:textFill>
              </w:rPr>
              <w:t>GB3096-2008</w:t>
            </w: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1</w:t>
            </w:r>
            <w:r>
              <w:rPr>
                <w:rFonts w:hint="eastAsia" w:cs="宋体"/>
                <w:color w:val="000000" w:themeColor="text1"/>
                <w:sz w:val="24"/>
                <w:lang w:bidi="ar"/>
                <w14:textFill>
                  <w14:solidFill>
                    <w14:schemeClr w14:val="tx1"/>
                  </w14:solidFill>
                </w14:textFill>
              </w:rPr>
              <w:t>类标准，详见表</w:t>
            </w:r>
            <w:r>
              <w:rPr>
                <w:color w:val="000000" w:themeColor="text1"/>
                <w:sz w:val="24"/>
                <w:lang w:bidi="ar"/>
                <w14:textFill>
                  <w14:solidFill>
                    <w14:schemeClr w14:val="tx1"/>
                  </w14:solidFill>
                </w14:textFill>
              </w:rPr>
              <w:t>3-</w:t>
            </w:r>
            <w:r>
              <w:rPr>
                <w:rFonts w:hint="eastAsia"/>
                <w:color w:val="000000" w:themeColor="text1"/>
                <w:sz w:val="24"/>
                <w:lang w:bidi="ar"/>
                <w14:textFill>
                  <w14:solidFill>
                    <w14:schemeClr w14:val="tx1"/>
                  </w14:solidFill>
                </w14:textFill>
              </w:rPr>
              <w:t>8</w:t>
            </w:r>
            <w:r>
              <w:rPr>
                <w:rFonts w:hint="eastAsia" w:cs="宋体"/>
                <w:color w:val="000000" w:themeColor="text1"/>
                <w:sz w:val="24"/>
                <w:lang w:bidi="ar"/>
                <w14:textFill>
                  <w14:solidFill>
                    <w14:schemeClr w14:val="tx1"/>
                  </w14:solidFill>
                </w14:textFill>
              </w:rPr>
              <w:t>。</w:t>
            </w:r>
          </w:p>
          <w:p w14:paraId="3511C4BB">
            <w:pPr>
              <w:spacing w:line="440" w:lineRule="exact"/>
              <w:ind w:firstLine="482" w:firstLineChars="200"/>
              <w:jc w:val="left"/>
              <w:rPr>
                <w:b/>
                <w:color w:val="000000" w:themeColor="text1"/>
                <w:sz w:val="24"/>
                <w14:textFill>
                  <w14:solidFill>
                    <w14:schemeClr w14:val="tx1"/>
                  </w14:solidFill>
                </w14:textFill>
              </w:rPr>
            </w:pPr>
            <w:r>
              <w:rPr>
                <w:rFonts w:hint="eastAsia" w:cs="宋体"/>
                <w:b/>
                <w:color w:val="000000" w:themeColor="text1"/>
                <w:sz w:val="24"/>
                <w:lang w:bidi="ar"/>
                <w14:textFill>
                  <w14:solidFill>
                    <w14:schemeClr w14:val="tx1"/>
                  </w14:solidFill>
                </w14:textFill>
              </w:rPr>
              <w:t>表</w:t>
            </w:r>
            <w:r>
              <w:rPr>
                <w:b/>
                <w:color w:val="000000" w:themeColor="text1"/>
                <w:sz w:val="24"/>
                <w:lang w:bidi="ar"/>
                <w14:textFill>
                  <w14:solidFill>
                    <w14:schemeClr w14:val="tx1"/>
                  </w14:solidFill>
                </w14:textFill>
              </w:rPr>
              <w:t>3-</w:t>
            </w:r>
            <w:r>
              <w:rPr>
                <w:rFonts w:hint="eastAsia"/>
                <w:b/>
                <w:color w:val="000000" w:themeColor="text1"/>
                <w:sz w:val="24"/>
                <w:lang w:bidi="ar"/>
                <w14:textFill>
                  <w14:solidFill>
                    <w14:schemeClr w14:val="tx1"/>
                  </w14:solidFill>
                </w14:textFill>
              </w:rPr>
              <w:t>8</w:t>
            </w:r>
            <w:r>
              <w:rPr>
                <w:b/>
                <w:color w:val="000000" w:themeColor="text1"/>
                <w:sz w:val="24"/>
                <w:lang w:bidi="ar"/>
                <w14:textFill>
                  <w14:solidFill>
                    <w14:schemeClr w14:val="tx1"/>
                  </w14:solidFill>
                </w14:textFill>
              </w:rPr>
              <w:t xml:space="preserve">    </w:t>
            </w:r>
            <w:r>
              <w:rPr>
                <w:rFonts w:hint="eastAsia" w:cs="宋体"/>
                <w:b/>
                <w:color w:val="000000" w:themeColor="text1"/>
                <w:sz w:val="24"/>
                <w:lang w:bidi="ar"/>
                <w14:textFill>
                  <w14:solidFill>
                    <w14:schemeClr w14:val="tx1"/>
                  </w14:solidFill>
                </w14:textFill>
              </w:rPr>
              <w:t>声环境质量标准</w:t>
            </w:r>
          </w:p>
          <w:tbl>
            <w:tblPr>
              <w:tblStyle w:val="6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2975"/>
              <w:gridCol w:w="1799"/>
              <w:gridCol w:w="1800"/>
            </w:tblGrid>
            <w:tr w14:paraId="3AE0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F4C818">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类别</w:t>
                  </w:r>
                </w:p>
              </w:tc>
              <w:tc>
                <w:tcPr>
                  <w:tcW w:w="189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D74386">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适用区域</w:t>
                  </w:r>
                </w:p>
              </w:tc>
              <w:tc>
                <w:tcPr>
                  <w:tcW w:w="229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BA2C93">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等效声级</w:t>
                  </w:r>
                  <w:r>
                    <w:rPr>
                      <w:color w:val="000000" w:themeColor="text1"/>
                      <w:szCs w:val="21"/>
                      <w:lang w:bidi="ar"/>
                      <w14:textFill>
                        <w14:solidFill>
                          <w14:schemeClr w14:val="tx1"/>
                        </w14:solidFill>
                      </w14:textFill>
                    </w:rPr>
                    <w:t>[ dB(A)]</w:t>
                  </w:r>
                </w:p>
              </w:tc>
            </w:tr>
            <w:tr w14:paraId="3705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BD39FC">
                  <w:pPr>
                    <w:spacing w:line="360" w:lineRule="exact"/>
                    <w:rPr>
                      <w:color w:val="000000" w:themeColor="text1"/>
                      <w:sz w:val="20"/>
                      <w:szCs w:val="20"/>
                      <w14:textFill>
                        <w14:solidFill>
                          <w14:schemeClr w14:val="tx1"/>
                        </w14:solidFill>
                      </w14:textFill>
                    </w:rPr>
                  </w:pPr>
                </w:p>
              </w:tc>
              <w:tc>
                <w:tcPr>
                  <w:tcW w:w="189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AB7CE8">
                  <w:pPr>
                    <w:spacing w:line="360" w:lineRule="exact"/>
                    <w:rPr>
                      <w:color w:val="000000" w:themeColor="text1"/>
                      <w:sz w:val="20"/>
                      <w:szCs w:val="20"/>
                      <w14:textFill>
                        <w14:solidFill>
                          <w14:schemeClr w14:val="tx1"/>
                        </w14:solidFill>
                      </w14:textFill>
                    </w:rPr>
                  </w:pP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14:paraId="1EAAED2D">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昼间</w:t>
                  </w: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14:paraId="2C54C6CB">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夜间</w:t>
                  </w:r>
                </w:p>
              </w:tc>
            </w:tr>
            <w:tr w14:paraId="3489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5" w:type="pct"/>
                  <w:tcBorders>
                    <w:top w:val="single" w:color="auto" w:sz="4" w:space="0"/>
                    <w:left w:val="single" w:color="auto" w:sz="4" w:space="0"/>
                    <w:bottom w:val="single" w:color="auto" w:sz="4" w:space="0"/>
                    <w:right w:val="single" w:color="auto" w:sz="4" w:space="0"/>
                  </w:tcBorders>
                  <w:shd w:val="clear" w:color="auto" w:fill="auto"/>
                  <w:vAlign w:val="center"/>
                </w:tcPr>
                <w:p w14:paraId="0795F25F">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r>
                    <w:rPr>
                      <w:rFonts w:hint="eastAsia" w:cs="宋体"/>
                      <w:color w:val="000000" w:themeColor="text1"/>
                      <w:szCs w:val="21"/>
                      <w:lang w:bidi="ar"/>
                      <w14:textFill>
                        <w14:solidFill>
                          <w14:schemeClr w14:val="tx1"/>
                        </w14:solidFill>
                      </w14:textFill>
                    </w:rPr>
                    <w:t>类</w:t>
                  </w:r>
                </w:p>
              </w:tc>
              <w:tc>
                <w:tcPr>
                  <w:tcW w:w="1893" w:type="pct"/>
                  <w:tcBorders>
                    <w:top w:val="single" w:color="auto" w:sz="4" w:space="0"/>
                    <w:left w:val="single" w:color="auto" w:sz="4" w:space="0"/>
                    <w:bottom w:val="single" w:color="auto" w:sz="4" w:space="0"/>
                    <w:right w:val="single" w:color="auto" w:sz="4" w:space="0"/>
                  </w:tcBorders>
                  <w:shd w:val="clear" w:color="auto" w:fill="auto"/>
                  <w:vAlign w:val="center"/>
                </w:tcPr>
                <w:p w14:paraId="1576431B">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项目所在区域</w:t>
                  </w: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14:paraId="41B1E2CD">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55</w:t>
                  </w: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14:paraId="2BD9FF33">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45</w:t>
                  </w:r>
                </w:p>
              </w:tc>
            </w:tr>
          </w:tbl>
          <w:p w14:paraId="1D28515E">
            <w:pPr>
              <w:kinsoku w:val="0"/>
              <w:overflowPunct w:val="0"/>
              <w:autoSpaceDE w:val="0"/>
              <w:autoSpaceDN w:val="0"/>
              <w:adjustRightInd w:val="0"/>
              <w:snapToGrid w:val="0"/>
              <w:spacing w:line="440" w:lineRule="exact"/>
              <w:rPr>
                <w:b/>
                <w:bCs/>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2、</w:t>
            </w:r>
            <w:r>
              <w:rPr>
                <w:b/>
                <w:bCs/>
                <w:color w:val="000000" w:themeColor="text1"/>
                <w:kern w:val="0"/>
                <w:sz w:val="24"/>
                <w:szCs w:val="20"/>
                <w14:textFill>
                  <w14:solidFill>
                    <w14:schemeClr w14:val="tx1"/>
                  </w14:solidFill>
                </w14:textFill>
              </w:rPr>
              <w:t>污染物排放标准</w:t>
            </w:r>
          </w:p>
          <w:p w14:paraId="302D2455">
            <w:pPr>
              <w:kinsoku w:val="0"/>
              <w:overflowPunct w:val="0"/>
              <w:autoSpaceDE w:val="0"/>
              <w:autoSpaceDN w:val="0"/>
              <w:adjustRightInd w:val="0"/>
              <w:snapToGrid w:val="0"/>
              <w:spacing w:line="440" w:lineRule="exact"/>
              <w:ind w:firstLine="482" w:firstLineChars="200"/>
              <w:rPr>
                <w:b/>
                <w:bCs/>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1</w:t>
            </w:r>
            <w:r>
              <w:rPr>
                <w:b/>
                <w:bCs/>
                <w:color w:val="000000" w:themeColor="text1"/>
                <w:kern w:val="0"/>
                <w:sz w:val="24"/>
                <w:szCs w:val="20"/>
                <w14:textFill>
                  <w14:solidFill>
                    <w14:schemeClr w14:val="tx1"/>
                  </w14:solidFill>
                </w14:textFill>
              </w:rPr>
              <w:t>、废气</w:t>
            </w:r>
          </w:p>
          <w:p w14:paraId="5F768273">
            <w:pPr>
              <w:kinsoku w:val="0"/>
              <w:overflowPunct w:val="0"/>
              <w:autoSpaceDE w:val="0"/>
              <w:autoSpaceDN w:val="0"/>
              <w:adjustRightInd w:val="0"/>
              <w:snapToGrid w:val="0"/>
              <w:spacing w:line="440" w:lineRule="exact"/>
              <w:ind w:firstLine="480" w:firstLineChars="200"/>
              <w:rPr>
                <w:bCs/>
                <w:color w:val="000000" w:themeColor="text1"/>
                <w:kern w:val="0"/>
                <w:sz w:val="24"/>
                <w:szCs w:val="20"/>
                <w14:textFill>
                  <w14:solidFill>
                    <w14:schemeClr w14:val="tx1"/>
                  </w14:solidFill>
                </w14:textFill>
              </w:rPr>
            </w:pPr>
            <w:r>
              <w:rPr>
                <w:rFonts w:hint="eastAsia"/>
                <w:bCs/>
                <w:color w:val="000000" w:themeColor="text1"/>
                <w:kern w:val="0"/>
                <w:sz w:val="24"/>
                <w:szCs w:val="20"/>
                <w14:textFill>
                  <w14:solidFill>
                    <w14:schemeClr w14:val="tx1"/>
                  </w14:solidFill>
                </w14:textFill>
              </w:rPr>
              <w:t>本项目施工期颗粒物排放执行《施工场地扬尘排放标准》（DB13/2934-2019）表1扬尘排放浓度限值；项目运营期恶臭气体满足《恶臭污染物排放标准》（GB14554-93）表1浓度限值要求。</w:t>
            </w:r>
          </w:p>
          <w:p w14:paraId="415DA5E3">
            <w:pPr>
              <w:kinsoku w:val="0"/>
              <w:overflowPunct w:val="0"/>
              <w:autoSpaceDE w:val="0"/>
              <w:autoSpaceDN w:val="0"/>
              <w:adjustRightInd w:val="0"/>
              <w:snapToGrid w:val="0"/>
              <w:spacing w:line="440" w:lineRule="exact"/>
              <w:ind w:firstLine="482" w:firstLineChars="200"/>
              <w:rPr>
                <w:b/>
                <w:color w:val="000000" w:themeColor="text1"/>
                <w:kern w:val="0"/>
                <w:sz w:val="24"/>
                <w:szCs w:val="20"/>
                <w14:textFill>
                  <w14:solidFill>
                    <w14:schemeClr w14:val="tx1"/>
                  </w14:solidFill>
                </w14:textFill>
              </w:rPr>
            </w:pPr>
            <w:r>
              <w:rPr>
                <w:b/>
                <w:color w:val="000000" w:themeColor="text1"/>
                <w:kern w:val="0"/>
                <w:sz w:val="24"/>
                <w:szCs w:val="20"/>
                <w14:textFill>
                  <w14:solidFill>
                    <w14:schemeClr w14:val="tx1"/>
                  </w14:solidFill>
                </w14:textFill>
              </w:rPr>
              <w:t>表3-</w:t>
            </w:r>
            <w:r>
              <w:rPr>
                <w:rFonts w:hint="eastAsia"/>
                <w:b/>
                <w:color w:val="000000" w:themeColor="text1"/>
                <w:kern w:val="0"/>
                <w:sz w:val="24"/>
                <w:szCs w:val="20"/>
                <w14:textFill>
                  <w14:solidFill>
                    <w14:schemeClr w14:val="tx1"/>
                  </w14:solidFill>
                </w14:textFill>
              </w:rPr>
              <w:t xml:space="preserve">9   </w:t>
            </w:r>
            <w:r>
              <w:rPr>
                <w:b/>
                <w:color w:val="000000" w:themeColor="text1"/>
                <w:kern w:val="0"/>
                <w:sz w:val="24"/>
                <w:szCs w:val="20"/>
                <w14:textFill>
                  <w14:solidFill>
                    <w14:schemeClr w14:val="tx1"/>
                  </w14:solidFill>
                </w14:textFill>
              </w:rPr>
              <w:t xml:space="preserve"> 本项目大气污染物排放标准</w:t>
            </w:r>
          </w:p>
          <w:tbl>
            <w:tblPr>
              <w:tblStyle w:val="6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17"/>
              <w:gridCol w:w="1943"/>
              <w:gridCol w:w="1490"/>
              <w:gridCol w:w="2998"/>
            </w:tblGrid>
            <w:tr w14:paraId="2E6F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5"/>
                  <w:vAlign w:val="center"/>
                </w:tcPr>
                <w:p w14:paraId="135FB542">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施工期</w:t>
                  </w:r>
                </w:p>
              </w:tc>
            </w:tr>
            <w:tr w14:paraId="1177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pct"/>
                  <w:gridSpan w:val="2"/>
                  <w:vAlign w:val="center"/>
                </w:tcPr>
                <w:p w14:paraId="7979EA8D">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项目</w:t>
                  </w:r>
                </w:p>
              </w:tc>
              <w:tc>
                <w:tcPr>
                  <w:tcW w:w="2186" w:type="pct"/>
                  <w:gridSpan w:val="2"/>
                  <w:vAlign w:val="center"/>
                </w:tcPr>
                <w:p w14:paraId="01DBD916">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排放标准</w:t>
                  </w:r>
                </w:p>
              </w:tc>
              <w:tc>
                <w:tcPr>
                  <w:tcW w:w="1908" w:type="pct"/>
                  <w:vAlign w:val="center"/>
                </w:tcPr>
                <w:p w14:paraId="156FFE80">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执行标准</w:t>
                  </w:r>
                </w:p>
              </w:tc>
            </w:tr>
            <w:tr w14:paraId="6BA2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905" w:type="pct"/>
                  <w:gridSpan w:val="2"/>
                  <w:vMerge w:val="restart"/>
                  <w:vAlign w:val="center"/>
                </w:tcPr>
                <w:p w14:paraId="21362E8A">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PM</w:t>
                  </w:r>
                  <w:r>
                    <w:rPr>
                      <w:rFonts w:cs="宋体"/>
                      <w:color w:val="000000" w:themeColor="text1"/>
                      <w:szCs w:val="21"/>
                      <w:vertAlign w:val="subscript"/>
                      <w:lang w:bidi="ar"/>
                      <w14:textFill>
                        <w14:solidFill>
                          <w14:schemeClr w14:val="tx1"/>
                        </w14:solidFill>
                      </w14:textFill>
                    </w:rPr>
                    <w:t>10</w:t>
                  </w:r>
                </w:p>
              </w:tc>
              <w:tc>
                <w:tcPr>
                  <w:tcW w:w="2186" w:type="pct"/>
                  <w:gridSpan w:val="2"/>
                  <w:vAlign w:val="center"/>
                </w:tcPr>
                <w:p w14:paraId="29DA4A57">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监测点浓度限值a ≤80μg/m</w:t>
                  </w:r>
                  <w:r>
                    <w:rPr>
                      <w:rFonts w:cs="宋体"/>
                      <w:color w:val="000000" w:themeColor="text1"/>
                      <w:szCs w:val="21"/>
                      <w:vertAlign w:val="superscript"/>
                      <w:lang w:bidi="ar"/>
                      <w14:textFill>
                        <w14:solidFill>
                          <w14:schemeClr w14:val="tx1"/>
                        </w14:solidFill>
                      </w14:textFill>
                    </w:rPr>
                    <w:t>3</w:t>
                  </w:r>
                </w:p>
              </w:tc>
              <w:tc>
                <w:tcPr>
                  <w:tcW w:w="1908" w:type="pct"/>
                  <w:vMerge w:val="restart"/>
                  <w:vAlign w:val="center"/>
                </w:tcPr>
                <w:p w14:paraId="40AD63EE">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《施工场地扬尘排放标准》（DB13/29347-2019）表1</w:t>
                  </w:r>
                </w:p>
              </w:tc>
            </w:tr>
            <w:tr w14:paraId="3493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905" w:type="pct"/>
                  <w:gridSpan w:val="2"/>
                  <w:vMerge w:val="continue"/>
                  <w:vAlign w:val="center"/>
                </w:tcPr>
                <w:p w14:paraId="3CF818BE">
                  <w:pPr>
                    <w:spacing w:line="360" w:lineRule="exact"/>
                    <w:jc w:val="center"/>
                    <w:rPr>
                      <w:color w:val="000000" w:themeColor="text1"/>
                      <w14:textFill>
                        <w14:solidFill>
                          <w14:schemeClr w14:val="tx1"/>
                        </w14:solidFill>
                      </w14:textFill>
                    </w:rPr>
                  </w:pPr>
                </w:p>
              </w:tc>
              <w:tc>
                <w:tcPr>
                  <w:tcW w:w="2186" w:type="pct"/>
                  <w:gridSpan w:val="2"/>
                  <w:vAlign w:val="center"/>
                </w:tcPr>
                <w:p w14:paraId="0C663390">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达标判定依据≤2次/天</w:t>
                  </w:r>
                </w:p>
              </w:tc>
              <w:tc>
                <w:tcPr>
                  <w:tcW w:w="1908" w:type="pct"/>
                  <w:vMerge w:val="continue"/>
                  <w:vAlign w:val="center"/>
                </w:tcPr>
                <w:p w14:paraId="5C6C5891">
                  <w:pPr>
                    <w:spacing w:line="360" w:lineRule="exact"/>
                    <w:jc w:val="center"/>
                    <w:rPr>
                      <w:rFonts w:cs="宋体"/>
                      <w:color w:val="000000" w:themeColor="text1"/>
                      <w:szCs w:val="21"/>
                      <w:lang w:bidi="ar"/>
                      <w14:textFill>
                        <w14:solidFill>
                          <w14:schemeClr w14:val="tx1"/>
                        </w14:solidFill>
                      </w14:textFill>
                    </w:rPr>
                  </w:pPr>
                </w:p>
              </w:tc>
            </w:tr>
            <w:tr w14:paraId="509D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000" w:type="pct"/>
                  <w:gridSpan w:val="5"/>
                  <w:vAlign w:val="center"/>
                </w:tcPr>
                <w:p w14:paraId="31F108AF">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a 指监测点 PM</w:t>
                  </w:r>
                  <w:r>
                    <w:rPr>
                      <w:rFonts w:cs="宋体"/>
                      <w:color w:val="000000" w:themeColor="text1"/>
                      <w:szCs w:val="21"/>
                      <w:vertAlign w:val="subscript"/>
                      <w:lang w:bidi="ar"/>
                      <w14:textFill>
                        <w14:solidFill>
                          <w14:schemeClr w14:val="tx1"/>
                        </w14:solidFill>
                      </w14:textFill>
                    </w:rPr>
                    <w:t>10</w:t>
                  </w:r>
                  <w:r>
                    <w:rPr>
                      <w:rFonts w:cs="宋体"/>
                      <w:color w:val="000000" w:themeColor="text1"/>
                      <w:szCs w:val="21"/>
                      <w:lang w:bidi="ar"/>
                      <w14:textFill>
                        <w14:solidFill>
                          <w14:schemeClr w14:val="tx1"/>
                        </w14:solidFill>
                      </w14:textFill>
                    </w:rPr>
                    <w:t>小时平均浓度实测值与同时段所属县（市、区）PM</w:t>
                  </w:r>
                  <w:r>
                    <w:rPr>
                      <w:rFonts w:cs="宋体"/>
                      <w:color w:val="000000" w:themeColor="text1"/>
                      <w:szCs w:val="21"/>
                      <w:vertAlign w:val="subscript"/>
                      <w:lang w:bidi="ar"/>
                      <w14:textFill>
                        <w14:solidFill>
                          <w14:schemeClr w14:val="tx1"/>
                        </w14:solidFill>
                      </w14:textFill>
                    </w:rPr>
                    <w:t>10</w:t>
                  </w:r>
                  <w:r>
                    <w:rPr>
                      <w:rFonts w:cs="宋体"/>
                      <w:color w:val="000000" w:themeColor="text1"/>
                      <w:szCs w:val="21"/>
                      <w:lang w:bidi="ar"/>
                      <w14:textFill>
                        <w14:solidFill>
                          <w14:schemeClr w14:val="tx1"/>
                        </w14:solidFill>
                      </w14:textFill>
                    </w:rPr>
                    <w:t>小时平均浓度的差值。当县（市、区）PM</w:t>
                  </w:r>
                  <w:r>
                    <w:rPr>
                      <w:rFonts w:cs="宋体"/>
                      <w:color w:val="000000" w:themeColor="text1"/>
                      <w:szCs w:val="21"/>
                      <w:vertAlign w:val="subscript"/>
                      <w:lang w:bidi="ar"/>
                      <w14:textFill>
                        <w14:solidFill>
                          <w14:schemeClr w14:val="tx1"/>
                        </w14:solidFill>
                      </w14:textFill>
                    </w:rPr>
                    <w:t>10</w:t>
                  </w:r>
                  <w:r>
                    <w:rPr>
                      <w:rFonts w:cs="宋体"/>
                      <w:color w:val="000000" w:themeColor="text1"/>
                      <w:szCs w:val="21"/>
                      <w:lang w:bidi="ar"/>
                      <w14:textFill>
                        <w14:solidFill>
                          <w14:schemeClr w14:val="tx1"/>
                        </w14:solidFill>
                      </w14:textFill>
                    </w:rPr>
                    <w:t>小时平均浓度值大于 150µg/m</w:t>
                  </w:r>
                  <w:r>
                    <w:rPr>
                      <w:rFonts w:cs="宋体"/>
                      <w:color w:val="000000" w:themeColor="text1"/>
                      <w:szCs w:val="21"/>
                      <w:vertAlign w:val="superscript"/>
                      <w:lang w:bidi="ar"/>
                      <w14:textFill>
                        <w14:solidFill>
                          <w14:schemeClr w14:val="tx1"/>
                        </w14:solidFill>
                      </w14:textFill>
                    </w:rPr>
                    <w:t>3</w:t>
                  </w:r>
                  <w:r>
                    <w:rPr>
                      <w:rFonts w:cs="宋体"/>
                      <w:color w:val="000000" w:themeColor="text1"/>
                      <w:szCs w:val="21"/>
                      <w:lang w:bidi="ar"/>
                      <w14:textFill>
                        <w14:solidFill>
                          <w14:schemeClr w14:val="tx1"/>
                        </w14:solidFill>
                      </w14:textFill>
                    </w:rPr>
                    <w:t>时，以 150µg/m</w:t>
                  </w:r>
                  <w:r>
                    <w:rPr>
                      <w:rFonts w:cs="宋体"/>
                      <w:color w:val="000000" w:themeColor="text1"/>
                      <w:szCs w:val="21"/>
                      <w:vertAlign w:val="superscript"/>
                      <w:lang w:bidi="ar"/>
                      <w14:textFill>
                        <w14:solidFill>
                          <w14:schemeClr w14:val="tx1"/>
                        </w14:solidFill>
                      </w14:textFill>
                    </w:rPr>
                    <w:t>3</w:t>
                  </w:r>
                  <w:r>
                    <w:rPr>
                      <w:rFonts w:cs="宋体"/>
                      <w:color w:val="000000" w:themeColor="text1"/>
                      <w:szCs w:val="21"/>
                      <w:lang w:bidi="ar"/>
                      <w14:textFill>
                        <w14:solidFill>
                          <w14:schemeClr w14:val="tx1"/>
                        </w14:solidFill>
                      </w14:textFill>
                    </w:rPr>
                    <w:t>计。</w:t>
                  </w:r>
                </w:p>
              </w:tc>
            </w:tr>
            <w:tr w14:paraId="6ACC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000" w:type="pct"/>
                  <w:gridSpan w:val="5"/>
                  <w:vAlign w:val="center"/>
                </w:tcPr>
                <w:p w14:paraId="4615FB2C">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运行期</w:t>
                  </w:r>
                </w:p>
              </w:tc>
            </w:tr>
            <w:tr w14:paraId="33D8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894" w:type="pct"/>
                  <w:vAlign w:val="center"/>
                </w:tcPr>
                <w:p w14:paraId="66C79FC7">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污染物</w:t>
                  </w:r>
                </w:p>
              </w:tc>
              <w:tc>
                <w:tcPr>
                  <w:tcW w:w="1248" w:type="pct"/>
                  <w:gridSpan w:val="2"/>
                  <w:vAlign w:val="center"/>
                </w:tcPr>
                <w:p w14:paraId="3433E62B">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标准值</w:t>
                  </w:r>
                </w:p>
              </w:tc>
              <w:tc>
                <w:tcPr>
                  <w:tcW w:w="948" w:type="pct"/>
                  <w:vAlign w:val="center"/>
                </w:tcPr>
                <w:p w14:paraId="2B72E197">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单位</w:t>
                  </w:r>
                </w:p>
              </w:tc>
              <w:tc>
                <w:tcPr>
                  <w:tcW w:w="1908" w:type="pct"/>
                  <w:vAlign w:val="center"/>
                </w:tcPr>
                <w:p w14:paraId="34D21BF7">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执行标准</w:t>
                  </w:r>
                </w:p>
              </w:tc>
            </w:tr>
            <w:tr w14:paraId="6409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894" w:type="pct"/>
                  <w:vAlign w:val="center"/>
                </w:tcPr>
                <w:p w14:paraId="2F640DC5">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硫化氢</w:t>
                  </w:r>
                </w:p>
              </w:tc>
              <w:tc>
                <w:tcPr>
                  <w:tcW w:w="1248" w:type="pct"/>
                  <w:gridSpan w:val="2"/>
                  <w:vAlign w:val="center"/>
                </w:tcPr>
                <w:p w14:paraId="623879E6">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0.06</w:t>
                  </w:r>
                </w:p>
              </w:tc>
              <w:tc>
                <w:tcPr>
                  <w:tcW w:w="948" w:type="pct"/>
                  <w:vAlign w:val="center"/>
                </w:tcPr>
                <w:p w14:paraId="5B1F5241">
                  <w:pPr>
                    <w:spacing w:line="360" w:lineRule="exact"/>
                    <w:jc w:val="center"/>
                    <w:rPr>
                      <w:rFonts w:cs="宋体"/>
                      <w:color w:val="000000" w:themeColor="text1"/>
                      <w:szCs w:val="21"/>
                      <w:lang w:bidi="ar"/>
                      <w14:textFill>
                        <w14:solidFill>
                          <w14:schemeClr w14:val="tx1"/>
                        </w14:solidFill>
                      </w14:textFill>
                    </w:rPr>
                  </w:pPr>
                  <w:r>
                    <w:rPr>
                      <w:bCs/>
                      <w:color w:val="000000" w:themeColor="text1"/>
                      <w:szCs w:val="21"/>
                      <w14:textFill>
                        <w14:solidFill>
                          <w14:schemeClr w14:val="tx1"/>
                        </w14:solidFill>
                      </w14:textFill>
                    </w:rPr>
                    <w:t>mg/m</w:t>
                  </w:r>
                  <w:r>
                    <w:rPr>
                      <w:bCs/>
                      <w:color w:val="000000" w:themeColor="text1"/>
                      <w:szCs w:val="21"/>
                      <w:vertAlign w:val="superscript"/>
                      <w14:textFill>
                        <w14:solidFill>
                          <w14:schemeClr w14:val="tx1"/>
                        </w14:solidFill>
                      </w14:textFill>
                    </w:rPr>
                    <w:t>3</w:t>
                  </w:r>
                </w:p>
              </w:tc>
              <w:tc>
                <w:tcPr>
                  <w:tcW w:w="1908" w:type="pct"/>
                  <w:vMerge w:val="restart"/>
                  <w:vAlign w:val="center"/>
                </w:tcPr>
                <w:p w14:paraId="150DE514">
                  <w:pPr>
                    <w:spacing w:line="360" w:lineRule="exact"/>
                    <w:jc w:val="center"/>
                    <w:rPr>
                      <w:rFonts w:cs="宋体"/>
                      <w:color w:val="000000" w:themeColor="text1"/>
                      <w:szCs w:val="21"/>
                      <w:lang w:bidi="ar"/>
                      <w14:textFill>
                        <w14:solidFill>
                          <w14:schemeClr w14:val="tx1"/>
                        </w14:solidFill>
                      </w14:textFill>
                    </w:rPr>
                  </w:pPr>
                  <w:r>
                    <w:rPr>
                      <w:rFonts w:hint="eastAsia"/>
                      <w:bCs/>
                      <w:color w:val="000000" w:themeColor="text1"/>
                      <w:szCs w:val="21"/>
                      <w14:textFill>
                        <w14:solidFill>
                          <w14:schemeClr w14:val="tx1"/>
                        </w14:solidFill>
                      </w14:textFill>
                    </w:rPr>
                    <w:t>《恶臭污染物排放标准》（GB14848-93）表1标准限值要求</w:t>
                  </w:r>
                </w:p>
              </w:tc>
            </w:tr>
            <w:tr w14:paraId="3B36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894" w:type="pct"/>
                  <w:vAlign w:val="center"/>
                </w:tcPr>
                <w:p w14:paraId="07999A5C">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氨</w:t>
                  </w:r>
                </w:p>
              </w:tc>
              <w:tc>
                <w:tcPr>
                  <w:tcW w:w="1248" w:type="pct"/>
                  <w:gridSpan w:val="2"/>
                  <w:vAlign w:val="center"/>
                </w:tcPr>
                <w:p w14:paraId="33296211">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1.5</w:t>
                  </w:r>
                </w:p>
              </w:tc>
              <w:tc>
                <w:tcPr>
                  <w:tcW w:w="948" w:type="pct"/>
                  <w:vAlign w:val="center"/>
                </w:tcPr>
                <w:p w14:paraId="6D37942C">
                  <w:pPr>
                    <w:spacing w:line="360" w:lineRule="exact"/>
                    <w:jc w:val="center"/>
                    <w:rPr>
                      <w:rFonts w:cs="宋体"/>
                      <w:color w:val="000000" w:themeColor="text1"/>
                      <w:szCs w:val="21"/>
                      <w:lang w:bidi="ar"/>
                      <w14:textFill>
                        <w14:solidFill>
                          <w14:schemeClr w14:val="tx1"/>
                        </w14:solidFill>
                      </w14:textFill>
                    </w:rPr>
                  </w:pPr>
                  <w:r>
                    <w:rPr>
                      <w:bCs/>
                      <w:color w:val="000000" w:themeColor="text1"/>
                      <w:szCs w:val="21"/>
                      <w14:textFill>
                        <w14:solidFill>
                          <w14:schemeClr w14:val="tx1"/>
                        </w14:solidFill>
                      </w14:textFill>
                    </w:rPr>
                    <w:t>mg/m</w:t>
                  </w:r>
                  <w:r>
                    <w:rPr>
                      <w:bCs/>
                      <w:color w:val="000000" w:themeColor="text1"/>
                      <w:szCs w:val="21"/>
                      <w:vertAlign w:val="superscript"/>
                      <w14:textFill>
                        <w14:solidFill>
                          <w14:schemeClr w14:val="tx1"/>
                        </w14:solidFill>
                      </w14:textFill>
                    </w:rPr>
                    <w:t>3</w:t>
                  </w:r>
                </w:p>
              </w:tc>
              <w:tc>
                <w:tcPr>
                  <w:tcW w:w="1908" w:type="pct"/>
                  <w:vMerge w:val="continue"/>
                  <w:vAlign w:val="center"/>
                </w:tcPr>
                <w:p w14:paraId="5C29B98D">
                  <w:pPr>
                    <w:spacing w:line="360" w:lineRule="exact"/>
                    <w:jc w:val="center"/>
                    <w:rPr>
                      <w:rFonts w:cs="宋体"/>
                      <w:color w:val="000000" w:themeColor="text1"/>
                      <w:szCs w:val="21"/>
                      <w:lang w:bidi="ar"/>
                      <w14:textFill>
                        <w14:solidFill>
                          <w14:schemeClr w14:val="tx1"/>
                        </w14:solidFill>
                      </w14:textFill>
                    </w:rPr>
                  </w:pPr>
                </w:p>
              </w:tc>
            </w:tr>
            <w:tr w14:paraId="1AB6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894" w:type="pct"/>
                  <w:vAlign w:val="center"/>
                </w:tcPr>
                <w:p w14:paraId="248F52A9">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臭气浓度</w:t>
                  </w:r>
                </w:p>
              </w:tc>
              <w:tc>
                <w:tcPr>
                  <w:tcW w:w="1248" w:type="pct"/>
                  <w:gridSpan w:val="2"/>
                  <w:vAlign w:val="center"/>
                </w:tcPr>
                <w:p w14:paraId="0EAAF91A">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20</w:t>
                  </w:r>
                </w:p>
              </w:tc>
              <w:tc>
                <w:tcPr>
                  <w:tcW w:w="948" w:type="pct"/>
                  <w:vAlign w:val="center"/>
                </w:tcPr>
                <w:p w14:paraId="5A3C366B">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无量纲</w:t>
                  </w:r>
                </w:p>
              </w:tc>
              <w:tc>
                <w:tcPr>
                  <w:tcW w:w="1908" w:type="pct"/>
                  <w:vMerge w:val="continue"/>
                  <w:vAlign w:val="center"/>
                </w:tcPr>
                <w:p w14:paraId="02E7A5C1">
                  <w:pPr>
                    <w:spacing w:line="360" w:lineRule="exact"/>
                    <w:jc w:val="center"/>
                    <w:rPr>
                      <w:rFonts w:cs="宋体"/>
                      <w:color w:val="000000" w:themeColor="text1"/>
                      <w:szCs w:val="21"/>
                      <w:lang w:bidi="ar"/>
                      <w14:textFill>
                        <w14:solidFill>
                          <w14:schemeClr w14:val="tx1"/>
                        </w14:solidFill>
                      </w14:textFill>
                    </w:rPr>
                  </w:pPr>
                </w:p>
              </w:tc>
            </w:tr>
          </w:tbl>
          <w:p w14:paraId="101D1837">
            <w:pPr>
              <w:kinsoku w:val="0"/>
              <w:overflowPunct w:val="0"/>
              <w:autoSpaceDE w:val="0"/>
              <w:autoSpaceDN w:val="0"/>
              <w:adjustRightInd w:val="0"/>
              <w:snapToGrid w:val="0"/>
              <w:spacing w:line="440" w:lineRule="exact"/>
              <w:ind w:firstLine="482" w:firstLineChars="200"/>
              <w:rPr>
                <w:b/>
                <w:bCs/>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2、废水</w:t>
            </w:r>
          </w:p>
          <w:p w14:paraId="44BF037E">
            <w:pPr>
              <w:kinsoku w:val="0"/>
              <w:overflowPunct w:val="0"/>
              <w:autoSpaceDE w:val="0"/>
              <w:autoSpaceDN w:val="0"/>
              <w:adjustRightInd w:val="0"/>
              <w:snapToGrid w:val="0"/>
              <w:spacing w:line="440" w:lineRule="exact"/>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施工期：车辆冲洗废水经沉淀池处理后回用于施工降尘。本项目</w:t>
            </w:r>
            <w:r>
              <w:rPr>
                <w:rFonts w:hint="eastAsia"/>
                <w:color w:val="000000" w:themeColor="text1"/>
                <w:kern w:val="0"/>
                <w:sz w:val="24"/>
                <w:szCs w:val="20"/>
                <w14:textFill>
                  <w14:solidFill>
                    <w14:schemeClr w14:val="tx1"/>
                  </w14:solidFill>
                </w14:textFill>
              </w:rPr>
              <w:t>施工人员生活污水全部排入临时防渗旱厕，定期清掏，不外排</w:t>
            </w:r>
            <w:r>
              <w:rPr>
                <w:color w:val="000000" w:themeColor="text1"/>
                <w:kern w:val="0"/>
                <w:sz w:val="24"/>
                <w:szCs w:val="20"/>
                <w14:textFill>
                  <w14:solidFill>
                    <w14:schemeClr w14:val="tx1"/>
                  </w14:solidFill>
                </w14:textFill>
              </w:rPr>
              <w:t>。</w:t>
            </w:r>
          </w:p>
          <w:p w14:paraId="612FECBA">
            <w:pPr>
              <w:kinsoku w:val="0"/>
              <w:overflowPunct w:val="0"/>
              <w:autoSpaceDE w:val="0"/>
              <w:autoSpaceDN w:val="0"/>
              <w:adjustRightInd w:val="0"/>
              <w:snapToGrid w:val="0"/>
              <w:spacing w:line="440" w:lineRule="exact"/>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运营期：光伏组件清洗水</w:t>
            </w:r>
            <w:r>
              <w:rPr>
                <w:rFonts w:hint="eastAsia"/>
                <w:color w:val="000000" w:themeColor="text1"/>
                <w:kern w:val="0"/>
                <w:sz w:val="24"/>
                <w:szCs w:val="20"/>
                <w14:textFill>
                  <w14:solidFill>
                    <w14:schemeClr w14:val="tx1"/>
                  </w14:solidFill>
                </w14:textFill>
              </w:rPr>
              <w:t>用于灌溉地面</w:t>
            </w:r>
            <w:r>
              <w:rPr>
                <w:color w:val="000000" w:themeColor="text1"/>
                <w:kern w:val="0"/>
                <w:sz w:val="24"/>
                <w:szCs w:val="20"/>
                <w14:textFill>
                  <w14:solidFill>
                    <w14:schemeClr w14:val="tx1"/>
                  </w14:solidFill>
                </w14:textFill>
              </w:rPr>
              <w:t>，不外排；工作人员产生的生活污水</w:t>
            </w:r>
            <w:r>
              <w:rPr>
                <w:rFonts w:hint="eastAsia"/>
                <w:color w:val="000000" w:themeColor="text1"/>
                <w:kern w:val="0"/>
                <w:sz w:val="24"/>
                <w:szCs w:val="20"/>
                <w14:textFill>
                  <w14:solidFill>
                    <w14:schemeClr w14:val="tx1"/>
                  </w14:solidFill>
                </w14:textFill>
              </w:rPr>
              <w:t>经化粪池初步处理后进入生活污水一体化处理设施，处理后合格水用于站区道路抑尘</w:t>
            </w:r>
            <w:r>
              <w:rPr>
                <w:color w:val="000000" w:themeColor="text1"/>
                <w:kern w:val="0"/>
                <w:sz w:val="24"/>
                <w:szCs w:val="20"/>
                <w14:textFill>
                  <w14:solidFill>
                    <w14:schemeClr w14:val="tx1"/>
                  </w14:solidFill>
                </w14:textFill>
              </w:rPr>
              <w:t>。处理后的废水达到《城市污水再生利用 城市杂用水水质》（GB/T18920-2020）表1城市</w:t>
            </w:r>
            <w:r>
              <w:rPr>
                <w:rFonts w:hint="eastAsia"/>
                <w:color w:val="000000" w:themeColor="text1"/>
                <w:kern w:val="0"/>
                <w:sz w:val="24"/>
                <w:szCs w:val="20"/>
                <w14:textFill>
                  <w14:solidFill>
                    <w14:schemeClr w14:val="tx1"/>
                  </w14:solidFill>
                </w14:textFill>
              </w:rPr>
              <w:t>道路清扫</w:t>
            </w:r>
            <w:r>
              <w:rPr>
                <w:color w:val="000000" w:themeColor="text1"/>
                <w:kern w:val="0"/>
                <w:sz w:val="24"/>
                <w:szCs w:val="20"/>
                <w14:textFill>
                  <w14:solidFill>
                    <w14:schemeClr w14:val="tx1"/>
                  </w14:solidFill>
                </w14:textFill>
              </w:rPr>
              <w:t>水质标准。废水污染物排放标准见下表3-</w:t>
            </w:r>
            <w:r>
              <w:rPr>
                <w:rFonts w:hint="eastAsia"/>
                <w:color w:val="000000" w:themeColor="text1"/>
                <w:kern w:val="0"/>
                <w:sz w:val="24"/>
                <w:szCs w:val="20"/>
                <w14:textFill>
                  <w14:solidFill>
                    <w14:schemeClr w14:val="tx1"/>
                  </w14:solidFill>
                </w14:textFill>
              </w:rPr>
              <w:t>9</w:t>
            </w:r>
            <w:r>
              <w:rPr>
                <w:color w:val="000000" w:themeColor="text1"/>
                <w:kern w:val="0"/>
                <w:sz w:val="24"/>
                <w:szCs w:val="20"/>
                <w14:textFill>
                  <w14:solidFill>
                    <w14:schemeClr w14:val="tx1"/>
                  </w14:solidFill>
                </w14:textFill>
              </w:rPr>
              <w:t>。</w:t>
            </w:r>
          </w:p>
          <w:p w14:paraId="7D5982AA">
            <w:pPr>
              <w:kinsoku w:val="0"/>
              <w:overflowPunct w:val="0"/>
              <w:autoSpaceDE w:val="0"/>
              <w:autoSpaceDN w:val="0"/>
              <w:adjustRightInd w:val="0"/>
              <w:snapToGrid w:val="0"/>
              <w:spacing w:line="440" w:lineRule="exact"/>
              <w:ind w:firstLine="482" w:firstLineChars="200"/>
              <w:rPr>
                <w:b/>
                <w:bCs/>
                <w:color w:val="000000" w:themeColor="text1"/>
                <w:kern w:val="0"/>
                <w:sz w:val="24"/>
                <w:szCs w:val="20"/>
                <w14:textFill>
                  <w14:solidFill>
                    <w14:schemeClr w14:val="tx1"/>
                  </w14:solidFill>
                </w14:textFill>
              </w:rPr>
            </w:pPr>
            <w:r>
              <w:rPr>
                <w:b/>
                <w:bCs/>
                <w:color w:val="000000" w:themeColor="text1"/>
                <w:kern w:val="0"/>
                <w:sz w:val="24"/>
                <w:szCs w:val="20"/>
                <w14:textFill>
                  <w14:solidFill>
                    <w14:schemeClr w14:val="tx1"/>
                  </w14:solidFill>
                </w14:textFill>
              </w:rPr>
              <w:t>表3-</w:t>
            </w:r>
            <w:r>
              <w:rPr>
                <w:rFonts w:hint="eastAsia"/>
                <w:b/>
                <w:bCs/>
                <w:color w:val="000000" w:themeColor="text1"/>
                <w:kern w:val="0"/>
                <w:sz w:val="24"/>
                <w:szCs w:val="20"/>
                <w14:textFill>
                  <w14:solidFill>
                    <w14:schemeClr w14:val="tx1"/>
                  </w14:solidFill>
                </w14:textFill>
              </w:rPr>
              <w:t xml:space="preserve">9    </w:t>
            </w:r>
            <w:r>
              <w:rPr>
                <w:b/>
                <w:bCs/>
                <w:color w:val="000000" w:themeColor="text1"/>
                <w:kern w:val="0"/>
                <w:sz w:val="24"/>
                <w:szCs w:val="20"/>
                <w14:textFill>
                  <w14:solidFill>
                    <w14:schemeClr w14:val="tx1"/>
                  </w14:solidFill>
                </w14:textFill>
              </w:rPr>
              <w:t>本项目废水污染物排放标准一览表</w:t>
            </w:r>
          </w:p>
          <w:tbl>
            <w:tblPr>
              <w:tblStyle w:val="6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2056"/>
              <w:gridCol w:w="2162"/>
              <w:gridCol w:w="2963"/>
            </w:tblGrid>
            <w:tr w14:paraId="7112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vAlign w:val="center"/>
                </w:tcPr>
                <w:p w14:paraId="178833F6">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序号</w:t>
                  </w:r>
                </w:p>
              </w:tc>
              <w:tc>
                <w:tcPr>
                  <w:tcW w:w="1309" w:type="pct"/>
                  <w:vAlign w:val="center"/>
                </w:tcPr>
                <w:p w14:paraId="35AD746E">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污染物</w:t>
                  </w:r>
                </w:p>
              </w:tc>
              <w:tc>
                <w:tcPr>
                  <w:tcW w:w="1376" w:type="pct"/>
                  <w:vAlign w:val="center"/>
                </w:tcPr>
                <w:p w14:paraId="5C79D56A">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处理标准</w:t>
                  </w:r>
                </w:p>
              </w:tc>
              <w:tc>
                <w:tcPr>
                  <w:tcW w:w="1886" w:type="pct"/>
                  <w:vAlign w:val="center"/>
                </w:tcPr>
                <w:p w14:paraId="2E6E2A8D">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标准来源</w:t>
                  </w:r>
                </w:p>
              </w:tc>
            </w:tr>
            <w:tr w14:paraId="35C1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427" w:type="pct"/>
                  <w:vAlign w:val="center"/>
                </w:tcPr>
                <w:p w14:paraId="231F172D">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w:t>
                  </w:r>
                </w:p>
              </w:tc>
              <w:tc>
                <w:tcPr>
                  <w:tcW w:w="1309" w:type="pct"/>
                  <w:vAlign w:val="center"/>
                </w:tcPr>
                <w:p w14:paraId="38AF0FC2">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pH</w:t>
                  </w:r>
                </w:p>
              </w:tc>
              <w:tc>
                <w:tcPr>
                  <w:tcW w:w="1376" w:type="pct"/>
                  <w:vAlign w:val="center"/>
                </w:tcPr>
                <w:p w14:paraId="3C1741FA">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6~9（无量纲）</w:t>
                  </w:r>
                </w:p>
              </w:tc>
              <w:tc>
                <w:tcPr>
                  <w:tcW w:w="1886" w:type="pct"/>
                  <w:vMerge w:val="restart"/>
                  <w:vAlign w:val="center"/>
                </w:tcPr>
                <w:p w14:paraId="474309F6">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《城市污水再生利用城市杂用水水质》（GB/T18920-2020）道路清扫用水标准</w:t>
                  </w:r>
                </w:p>
              </w:tc>
            </w:tr>
            <w:tr w14:paraId="6729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427" w:type="pct"/>
                  <w:vAlign w:val="center"/>
                </w:tcPr>
                <w:p w14:paraId="181FF45B">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2</w:t>
                  </w:r>
                </w:p>
              </w:tc>
              <w:tc>
                <w:tcPr>
                  <w:tcW w:w="1309" w:type="pct"/>
                  <w:vAlign w:val="center"/>
                </w:tcPr>
                <w:p w14:paraId="1A562C19">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BOD</w:t>
                  </w:r>
                  <w:r>
                    <w:rPr>
                      <w:rFonts w:cs="宋体"/>
                      <w:color w:val="000000" w:themeColor="text1"/>
                      <w:szCs w:val="21"/>
                      <w:vertAlign w:val="subscript"/>
                      <w:lang w:bidi="ar"/>
                      <w14:textFill>
                        <w14:solidFill>
                          <w14:schemeClr w14:val="tx1"/>
                        </w14:solidFill>
                      </w14:textFill>
                    </w:rPr>
                    <w:t>5</w:t>
                  </w:r>
                </w:p>
              </w:tc>
              <w:tc>
                <w:tcPr>
                  <w:tcW w:w="1376" w:type="pct"/>
                  <w:vAlign w:val="center"/>
                </w:tcPr>
                <w:p w14:paraId="629EB37F">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10mg/L</w:t>
                  </w:r>
                </w:p>
              </w:tc>
              <w:tc>
                <w:tcPr>
                  <w:tcW w:w="1886" w:type="pct"/>
                  <w:vMerge w:val="continue"/>
                  <w:vAlign w:val="center"/>
                </w:tcPr>
                <w:p w14:paraId="6EC6AD69">
                  <w:pPr>
                    <w:kinsoku w:val="0"/>
                    <w:overflowPunct w:val="0"/>
                    <w:autoSpaceDE w:val="0"/>
                    <w:autoSpaceDN w:val="0"/>
                    <w:adjustRightInd w:val="0"/>
                    <w:snapToGrid w:val="0"/>
                    <w:spacing w:line="360" w:lineRule="exact"/>
                    <w:jc w:val="center"/>
                    <w:rPr>
                      <w:b/>
                      <w:bCs/>
                      <w:color w:val="000000" w:themeColor="text1"/>
                      <w:kern w:val="0"/>
                      <w:sz w:val="24"/>
                      <w:szCs w:val="20"/>
                      <w14:textFill>
                        <w14:solidFill>
                          <w14:schemeClr w14:val="tx1"/>
                        </w14:solidFill>
                      </w14:textFill>
                    </w:rPr>
                  </w:pPr>
                </w:p>
              </w:tc>
            </w:tr>
            <w:tr w14:paraId="6DAF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427" w:type="pct"/>
                  <w:vAlign w:val="center"/>
                </w:tcPr>
                <w:p w14:paraId="4515D7BC">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3</w:t>
                  </w:r>
                </w:p>
              </w:tc>
              <w:tc>
                <w:tcPr>
                  <w:tcW w:w="1309" w:type="pct"/>
                  <w:vAlign w:val="center"/>
                </w:tcPr>
                <w:p w14:paraId="69338B0D">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氨氮</w:t>
                  </w:r>
                </w:p>
              </w:tc>
              <w:tc>
                <w:tcPr>
                  <w:tcW w:w="1376" w:type="pct"/>
                  <w:vAlign w:val="center"/>
                </w:tcPr>
                <w:p w14:paraId="41BD0D34">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8mg/L</w:t>
                  </w:r>
                </w:p>
              </w:tc>
              <w:tc>
                <w:tcPr>
                  <w:tcW w:w="1886" w:type="pct"/>
                  <w:vMerge w:val="continue"/>
                  <w:vAlign w:val="center"/>
                </w:tcPr>
                <w:p w14:paraId="6947FB8E">
                  <w:pPr>
                    <w:kinsoku w:val="0"/>
                    <w:overflowPunct w:val="0"/>
                    <w:autoSpaceDE w:val="0"/>
                    <w:autoSpaceDN w:val="0"/>
                    <w:adjustRightInd w:val="0"/>
                    <w:snapToGrid w:val="0"/>
                    <w:spacing w:line="360" w:lineRule="exact"/>
                    <w:jc w:val="center"/>
                    <w:rPr>
                      <w:b/>
                      <w:bCs/>
                      <w:color w:val="000000" w:themeColor="text1"/>
                      <w:kern w:val="0"/>
                      <w:sz w:val="24"/>
                      <w:szCs w:val="20"/>
                      <w14:textFill>
                        <w14:solidFill>
                          <w14:schemeClr w14:val="tx1"/>
                        </w14:solidFill>
                      </w14:textFill>
                    </w:rPr>
                  </w:pPr>
                </w:p>
              </w:tc>
            </w:tr>
            <w:tr w14:paraId="58FF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427" w:type="pct"/>
                  <w:vAlign w:val="center"/>
                </w:tcPr>
                <w:p w14:paraId="455F139D">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4</w:t>
                  </w:r>
                </w:p>
              </w:tc>
              <w:tc>
                <w:tcPr>
                  <w:tcW w:w="1309" w:type="pct"/>
                  <w:vAlign w:val="center"/>
                </w:tcPr>
                <w:p w14:paraId="7B7BB55B">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色度</w:t>
                  </w:r>
                </w:p>
              </w:tc>
              <w:tc>
                <w:tcPr>
                  <w:tcW w:w="1376" w:type="pct"/>
                  <w:vAlign w:val="center"/>
                </w:tcPr>
                <w:p w14:paraId="483AA901">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30度</w:t>
                  </w:r>
                </w:p>
              </w:tc>
              <w:tc>
                <w:tcPr>
                  <w:tcW w:w="1886" w:type="pct"/>
                  <w:vMerge w:val="continue"/>
                  <w:vAlign w:val="center"/>
                </w:tcPr>
                <w:p w14:paraId="2A0D2943">
                  <w:pPr>
                    <w:kinsoku w:val="0"/>
                    <w:overflowPunct w:val="0"/>
                    <w:autoSpaceDE w:val="0"/>
                    <w:autoSpaceDN w:val="0"/>
                    <w:adjustRightInd w:val="0"/>
                    <w:snapToGrid w:val="0"/>
                    <w:spacing w:line="360" w:lineRule="exact"/>
                    <w:jc w:val="center"/>
                    <w:rPr>
                      <w:b/>
                      <w:bCs/>
                      <w:color w:val="000000" w:themeColor="text1"/>
                      <w:kern w:val="0"/>
                      <w:sz w:val="24"/>
                      <w:szCs w:val="20"/>
                      <w14:textFill>
                        <w14:solidFill>
                          <w14:schemeClr w14:val="tx1"/>
                        </w14:solidFill>
                      </w14:textFill>
                    </w:rPr>
                  </w:pPr>
                </w:p>
              </w:tc>
            </w:tr>
            <w:tr w14:paraId="0DD5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27" w:type="pct"/>
                  <w:vAlign w:val="center"/>
                </w:tcPr>
                <w:p w14:paraId="653FE527">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5</w:t>
                  </w:r>
                </w:p>
              </w:tc>
              <w:tc>
                <w:tcPr>
                  <w:tcW w:w="1309" w:type="pct"/>
                  <w:vAlign w:val="center"/>
                </w:tcPr>
                <w:p w14:paraId="658A98BC">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嗅</w:t>
                  </w:r>
                </w:p>
              </w:tc>
              <w:tc>
                <w:tcPr>
                  <w:tcW w:w="1376" w:type="pct"/>
                  <w:vAlign w:val="center"/>
                </w:tcPr>
                <w:p w14:paraId="225BA5DD">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无不快感</w:t>
                  </w:r>
                </w:p>
              </w:tc>
              <w:tc>
                <w:tcPr>
                  <w:tcW w:w="1886" w:type="pct"/>
                  <w:vMerge w:val="continue"/>
                  <w:vAlign w:val="center"/>
                </w:tcPr>
                <w:p w14:paraId="0962BBFF">
                  <w:pPr>
                    <w:spacing w:line="360" w:lineRule="exact"/>
                    <w:jc w:val="center"/>
                    <w:rPr>
                      <w:rFonts w:cs="宋体"/>
                      <w:color w:val="000000" w:themeColor="text1"/>
                      <w:szCs w:val="21"/>
                      <w:lang w:bidi="ar"/>
                      <w14:textFill>
                        <w14:solidFill>
                          <w14:schemeClr w14:val="tx1"/>
                        </w14:solidFill>
                      </w14:textFill>
                    </w:rPr>
                  </w:pPr>
                </w:p>
              </w:tc>
            </w:tr>
            <w:tr w14:paraId="46A5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27" w:type="pct"/>
                  <w:vAlign w:val="center"/>
                </w:tcPr>
                <w:p w14:paraId="0FC61E5E">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6</w:t>
                  </w:r>
                </w:p>
              </w:tc>
              <w:tc>
                <w:tcPr>
                  <w:tcW w:w="1309" w:type="pct"/>
                  <w:vAlign w:val="center"/>
                </w:tcPr>
                <w:p w14:paraId="6BC3411A">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浊度</w:t>
                  </w:r>
                </w:p>
              </w:tc>
              <w:tc>
                <w:tcPr>
                  <w:tcW w:w="1376" w:type="pct"/>
                  <w:vAlign w:val="center"/>
                </w:tcPr>
                <w:p w14:paraId="32CEFF45">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10NTU</w:t>
                  </w:r>
                </w:p>
              </w:tc>
              <w:tc>
                <w:tcPr>
                  <w:tcW w:w="1886" w:type="pct"/>
                  <w:vMerge w:val="continue"/>
                  <w:vAlign w:val="center"/>
                </w:tcPr>
                <w:p w14:paraId="4BC11281">
                  <w:pPr>
                    <w:spacing w:line="360" w:lineRule="exact"/>
                    <w:jc w:val="center"/>
                    <w:rPr>
                      <w:rFonts w:cs="宋体"/>
                      <w:color w:val="000000" w:themeColor="text1"/>
                      <w:szCs w:val="21"/>
                      <w:lang w:bidi="ar"/>
                      <w14:textFill>
                        <w14:solidFill>
                          <w14:schemeClr w14:val="tx1"/>
                        </w14:solidFill>
                      </w14:textFill>
                    </w:rPr>
                  </w:pPr>
                </w:p>
              </w:tc>
            </w:tr>
            <w:tr w14:paraId="6786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27" w:type="pct"/>
                  <w:vAlign w:val="center"/>
                </w:tcPr>
                <w:p w14:paraId="7184FF31">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7</w:t>
                  </w:r>
                </w:p>
              </w:tc>
              <w:tc>
                <w:tcPr>
                  <w:tcW w:w="1309" w:type="pct"/>
                  <w:vAlign w:val="center"/>
                </w:tcPr>
                <w:p w14:paraId="19C8B150">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LAS</w:t>
                  </w:r>
                </w:p>
              </w:tc>
              <w:tc>
                <w:tcPr>
                  <w:tcW w:w="1376" w:type="pct"/>
                  <w:vAlign w:val="center"/>
                </w:tcPr>
                <w:p w14:paraId="00A1D602">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0.5mg/L</w:t>
                  </w:r>
                </w:p>
              </w:tc>
              <w:tc>
                <w:tcPr>
                  <w:tcW w:w="1886" w:type="pct"/>
                  <w:vMerge w:val="continue"/>
                  <w:vAlign w:val="center"/>
                </w:tcPr>
                <w:p w14:paraId="288C6C71">
                  <w:pPr>
                    <w:spacing w:line="360" w:lineRule="exact"/>
                    <w:jc w:val="center"/>
                    <w:rPr>
                      <w:rFonts w:cs="宋体"/>
                      <w:color w:val="000000" w:themeColor="text1"/>
                      <w:szCs w:val="21"/>
                      <w:lang w:bidi="ar"/>
                      <w14:textFill>
                        <w14:solidFill>
                          <w14:schemeClr w14:val="tx1"/>
                        </w14:solidFill>
                      </w14:textFill>
                    </w:rPr>
                  </w:pPr>
                </w:p>
              </w:tc>
            </w:tr>
            <w:tr w14:paraId="14444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27" w:type="pct"/>
                  <w:vAlign w:val="center"/>
                </w:tcPr>
                <w:p w14:paraId="27EEB2C0">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8</w:t>
                  </w:r>
                </w:p>
              </w:tc>
              <w:tc>
                <w:tcPr>
                  <w:tcW w:w="1309" w:type="pct"/>
                  <w:vAlign w:val="center"/>
                </w:tcPr>
                <w:p w14:paraId="6147653B">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溶解性总固体</w:t>
                  </w:r>
                </w:p>
              </w:tc>
              <w:tc>
                <w:tcPr>
                  <w:tcW w:w="1376" w:type="pct"/>
                  <w:vAlign w:val="center"/>
                </w:tcPr>
                <w:p w14:paraId="794A73B8">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1000mg/L</w:t>
                  </w:r>
                </w:p>
              </w:tc>
              <w:tc>
                <w:tcPr>
                  <w:tcW w:w="1886" w:type="pct"/>
                  <w:vMerge w:val="continue"/>
                  <w:vAlign w:val="center"/>
                </w:tcPr>
                <w:p w14:paraId="2FEC2D81">
                  <w:pPr>
                    <w:spacing w:line="360" w:lineRule="exact"/>
                    <w:jc w:val="center"/>
                    <w:rPr>
                      <w:rFonts w:cs="宋体"/>
                      <w:color w:val="000000" w:themeColor="text1"/>
                      <w:szCs w:val="21"/>
                      <w:lang w:bidi="ar"/>
                      <w14:textFill>
                        <w14:solidFill>
                          <w14:schemeClr w14:val="tx1"/>
                        </w14:solidFill>
                      </w14:textFill>
                    </w:rPr>
                  </w:pPr>
                </w:p>
              </w:tc>
            </w:tr>
            <w:tr w14:paraId="5696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27" w:type="pct"/>
                  <w:vAlign w:val="center"/>
                </w:tcPr>
                <w:p w14:paraId="1D8FD9DC">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9</w:t>
                  </w:r>
                </w:p>
              </w:tc>
              <w:tc>
                <w:tcPr>
                  <w:tcW w:w="1309" w:type="pct"/>
                  <w:vAlign w:val="center"/>
                </w:tcPr>
                <w:p w14:paraId="4A6FF510">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溶解氧</w:t>
                  </w:r>
                </w:p>
              </w:tc>
              <w:tc>
                <w:tcPr>
                  <w:tcW w:w="1376" w:type="pct"/>
                  <w:vAlign w:val="center"/>
                </w:tcPr>
                <w:p w14:paraId="7E519134">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2.0mg/L</w:t>
                  </w:r>
                </w:p>
              </w:tc>
              <w:tc>
                <w:tcPr>
                  <w:tcW w:w="1886" w:type="pct"/>
                  <w:vMerge w:val="continue"/>
                  <w:vAlign w:val="center"/>
                </w:tcPr>
                <w:p w14:paraId="48EE6D05">
                  <w:pPr>
                    <w:spacing w:line="360" w:lineRule="exact"/>
                    <w:jc w:val="center"/>
                    <w:rPr>
                      <w:rFonts w:cs="宋体"/>
                      <w:color w:val="000000" w:themeColor="text1"/>
                      <w:szCs w:val="21"/>
                      <w:lang w:bidi="ar"/>
                      <w14:textFill>
                        <w14:solidFill>
                          <w14:schemeClr w14:val="tx1"/>
                        </w14:solidFill>
                      </w14:textFill>
                    </w:rPr>
                  </w:pPr>
                </w:p>
              </w:tc>
            </w:tr>
            <w:tr w14:paraId="6E18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27" w:type="pct"/>
                  <w:vAlign w:val="center"/>
                </w:tcPr>
                <w:p w14:paraId="6C8CFAFA">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10</w:t>
                  </w:r>
                </w:p>
              </w:tc>
              <w:tc>
                <w:tcPr>
                  <w:tcW w:w="1309" w:type="pct"/>
                  <w:vAlign w:val="center"/>
                </w:tcPr>
                <w:p w14:paraId="406A5722">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总氯</w:t>
                  </w:r>
                </w:p>
              </w:tc>
              <w:tc>
                <w:tcPr>
                  <w:tcW w:w="1376" w:type="pct"/>
                  <w:vAlign w:val="center"/>
                </w:tcPr>
                <w:p w14:paraId="1EAEF41B">
                  <w:pPr>
                    <w:spacing w:line="360" w:lineRule="exac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1.0mg/L</w:t>
                  </w:r>
                </w:p>
              </w:tc>
              <w:tc>
                <w:tcPr>
                  <w:tcW w:w="1886" w:type="pct"/>
                  <w:vMerge w:val="continue"/>
                  <w:vAlign w:val="center"/>
                </w:tcPr>
                <w:p w14:paraId="790F8631">
                  <w:pPr>
                    <w:kinsoku w:val="0"/>
                    <w:overflowPunct w:val="0"/>
                    <w:autoSpaceDE w:val="0"/>
                    <w:autoSpaceDN w:val="0"/>
                    <w:adjustRightInd w:val="0"/>
                    <w:snapToGrid w:val="0"/>
                    <w:spacing w:line="360" w:lineRule="exact"/>
                    <w:jc w:val="center"/>
                    <w:rPr>
                      <w:b/>
                      <w:bCs/>
                      <w:color w:val="000000" w:themeColor="text1"/>
                      <w:kern w:val="0"/>
                      <w:sz w:val="24"/>
                      <w:szCs w:val="20"/>
                      <w14:textFill>
                        <w14:solidFill>
                          <w14:schemeClr w14:val="tx1"/>
                        </w14:solidFill>
                      </w14:textFill>
                    </w:rPr>
                  </w:pPr>
                </w:p>
              </w:tc>
            </w:tr>
            <w:tr w14:paraId="135C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427" w:type="pct"/>
                  <w:vAlign w:val="center"/>
                </w:tcPr>
                <w:p w14:paraId="63935D52">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11</w:t>
                  </w:r>
                </w:p>
              </w:tc>
              <w:tc>
                <w:tcPr>
                  <w:tcW w:w="1309" w:type="pct"/>
                  <w:vAlign w:val="center"/>
                </w:tcPr>
                <w:p w14:paraId="22B1DE91">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大肠埃希氏菌</w:t>
                  </w:r>
                </w:p>
              </w:tc>
              <w:tc>
                <w:tcPr>
                  <w:tcW w:w="1376" w:type="pct"/>
                  <w:vAlign w:val="center"/>
                </w:tcPr>
                <w:p w14:paraId="43DC6F0B">
                  <w:pPr>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无</w:t>
                  </w:r>
                </w:p>
              </w:tc>
              <w:tc>
                <w:tcPr>
                  <w:tcW w:w="1886" w:type="pct"/>
                  <w:vMerge w:val="continue"/>
                  <w:vAlign w:val="center"/>
                </w:tcPr>
                <w:p w14:paraId="6E782579">
                  <w:pPr>
                    <w:kinsoku w:val="0"/>
                    <w:overflowPunct w:val="0"/>
                    <w:autoSpaceDE w:val="0"/>
                    <w:autoSpaceDN w:val="0"/>
                    <w:adjustRightInd w:val="0"/>
                    <w:snapToGrid w:val="0"/>
                    <w:spacing w:line="360" w:lineRule="exact"/>
                    <w:jc w:val="center"/>
                    <w:rPr>
                      <w:b/>
                      <w:bCs/>
                      <w:color w:val="000000" w:themeColor="text1"/>
                      <w:kern w:val="0"/>
                      <w:sz w:val="24"/>
                      <w:szCs w:val="20"/>
                      <w14:textFill>
                        <w14:solidFill>
                          <w14:schemeClr w14:val="tx1"/>
                        </w14:solidFill>
                      </w14:textFill>
                    </w:rPr>
                  </w:pPr>
                </w:p>
              </w:tc>
            </w:tr>
          </w:tbl>
          <w:p w14:paraId="306759AA">
            <w:pPr>
              <w:kinsoku w:val="0"/>
              <w:overflowPunct w:val="0"/>
              <w:autoSpaceDE w:val="0"/>
              <w:autoSpaceDN w:val="0"/>
              <w:adjustRightInd w:val="0"/>
              <w:snapToGrid w:val="0"/>
              <w:spacing w:line="440" w:lineRule="exact"/>
              <w:ind w:firstLine="482" w:firstLineChars="200"/>
              <w:rPr>
                <w:b/>
                <w:bCs/>
                <w:color w:val="000000" w:themeColor="text1"/>
                <w:kern w:val="0"/>
                <w:sz w:val="24"/>
                <w:szCs w:val="20"/>
                <w14:textFill>
                  <w14:solidFill>
                    <w14:schemeClr w14:val="tx1"/>
                  </w14:solidFill>
                </w14:textFill>
              </w:rPr>
            </w:pPr>
            <w:r>
              <w:rPr>
                <w:rFonts w:hint="eastAsia"/>
                <w:b/>
                <w:bCs/>
                <w:color w:val="000000" w:themeColor="text1"/>
                <w:kern w:val="0"/>
                <w:sz w:val="24"/>
                <w:szCs w:val="20"/>
                <w14:textFill>
                  <w14:solidFill>
                    <w14:schemeClr w14:val="tx1"/>
                  </w14:solidFill>
                </w14:textFill>
              </w:rPr>
              <w:t>3</w:t>
            </w:r>
            <w:r>
              <w:rPr>
                <w:b/>
                <w:bCs/>
                <w:color w:val="000000" w:themeColor="text1"/>
                <w:kern w:val="0"/>
                <w:sz w:val="24"/>
                <w:szCs w:val="20"/>
                <w14:textFill>
                  <w14:solidFill>
                    <w14:schemeClr w14:val="tx1"/>
                  </w14:solidFill>
                </w14:textFill>
              </w:rPr>
              <w:t>、噪声</w:t>
            </w:r>
          </w:p>
          <w:p w14:paraId="014A36E6">
            <w:pPr>
              <w:kinsoku w:val="0"/>
              <w:overflowPunct w:val="0"/>
              <w:autoSpaceDE w:val="0"/>
              <w:autoSpaceDN w:val="0"/>
              <w:adjustRightInd w:val="0"/>
              <w:snapToGrid w:val="0"/>
              <w:spacing w:line="440" w:lineRule="exact"/>
              <w:ind w:firstLine="480" w:firstLineChars="200"/>
              <w:rPr>
                <w:color w:val="000000" w:themeColor="text1"/>
                <w:sz w:val="24"/>
                <w:lang w:bidi="ar"/>
                <w14:textFill>
                  <w14:solidFill>
                    <w14:schemeClr w14:val="tx1"/>
                  </w14:solidFill>
                </w14:textFill>
              </w:rPr>
            </w:pPr>
            <w:r>
              <w:rPr>
                <w:color w:val="000000" w:themeColor="text1"/>
                <w:sz w:val="24"/>
                <w:lang w:bidi="ar"/>
                <w14:textFill>
                  <w14:solidFill>
                    <w14:schemeClr w14:val="tx1"/>
                  </w14:solidFill>
                </w14:textFill>
              </w:rPr>
              <w:t>本项目施工期建筑施工噪声控制标准执行《建筑施工场界环境噪声排放标准》（GB12523-2011）。项目运营期执行《工业企业厂界环境噪声排放标准》（GB12348-2008）1类功能区标准，详见下表3-</w:t>
            </w:r>
            <w:r>
              <w:rPr>
                <w:rFonts w:hint="eastAsia"/>
                <w:color w:val="000000" w:themeColor="text1"/>
                <w:sz w:val="24"/>
                <w:lang w:bidi="ar"/>
                <w14:textFill>
                  <w14:solidFill>
                    <w14:schemeClr w14:val="tx1"/>
                  </w14:solidFill>
                </w14:textFill>
              </w:rPr>
              <w:t>11</w:t>
            </w:r>
            <w:r>
              <w:rPr>
                <w:color w:val="000000" w:themeColor="text1"/>
                <w:sz w:val="24"/>
                <w:lang w:bidi="ar"/>
                <w14:textFill>
                  <w14:solidFill>
                    <w14:schemeClr w14:val="tx1"/>
                  </w14:solidFill>
                </w14:textFill>
              </w:rPr>
              <w:t>。</w:t>
            </w:r>
          </w:p>
          <w:p w14:paraId="214E2390">
            <w:pPr>
              <w:kinsoku w:val="0"/>
              <w:overflowPunct w:val="0"/>
              <w:autoSpaceDE w:val="0"/>
              <w:autoSpaceDN w:val="0"/>
              <w:adjustRightInd w:val="0"/>
              <w:snapToGrid w:val="0"/>
              <w:spacing w:line="440" w:lineRule="exact"/>
              <w:ind w:firstLine="482" w:firstLineChars="200"/>
              <w:rPr>
                <w:b/>
                <w:color w:val="000000" w:themeColor="text1"/>
                <w:kern w:val="0"/>
                <w:sz w:val="24"/>
                <w:szCs w:val="20"/>
                <w14:textFill>
                  <w14:solidFill>
                    <w14:schemeClr w14:val="tx1"/>
                  </w14:solidFill>
                </w14:textFill>
              </w:rPr>
            </w:pPr>
          </w:p>
          <w:p w14:paraId="706BE7A2">
            <w:pPr>
              <w:kinsoku w:val="0"/>
              <w:overflowPunct w:val="0"/>
              <w:autoSpaceDE w:val="0"/>
              <w:autoSpaceDN w:val="0"/>
              <w:adjustRightInd w:val="0"/>
              <w:snapToGrid w:val="0"/>
              <w:spacing w:line="440" w:lineRule="exact"/>
              <w:ind w:firstLine="482" w:firstLineChars="200"/>
              <w:rPr>
                <w:b/>
                <w:color w:val="000000" w:themeColor="text1"/>
                <w:kern w:val="0"/>
                <w:sz w:val="24"/>
                <w:szCs w:val="20"/>
                <w14:textFill>
                  <w14:solidFill>
                    <w14:schemeClr w14:val="tx1"/>
                  </w14:solidFill>
                </w14:textFill>
              </w:rPr>
            </w:pPr>
          </w:p>
          <w:p w14:paraId="5281238A">
            <w:pPr>
              <w:kinsoku w:val="0"/>
              <w:overflowPunct w:val="0"/>
              <w:autoSpaceDE w:val="0"/>
              <w:autoSpaceDN w:val="0"/>
              <w:adjustRightInd w:val="0"/>
              <w:snapToGrid w:val="0"/>
              <w:spacing w:line="440" w:lineRule="exact"/>
              <w:ind w:firstLine="482" w:firstLineChars="200"/>
              <w:rPr>
                <w:b/>
                <w:color w:val="000000" w:themeColor="text1"/>
                <w:kern w:val="0"/>
                <w:sz w:val="24"/>
                <w:szCs w:val="20"/>
                <w14:textFill>
                  <w14:solidFill>
                    <w14:schemeClr w14:val="tx1"/>
                  </w14:solidFill>
                </w14:textFill>
              </w:rPr>
            </w:pPr>
            <w:r>
              <w:rPr>
                <w:b/>
                <w:color w:val="000000" w:themeColor="text1"/>
                <w:kern w:val="0"/>
                <w:sz w:val="24"/>
                <w:szCs w:val="20"/>
                <w14:textFill>
                  <w14:solidFill>
                    <w14:schemeClr w14:val="tx1"/>
                  </w14:solidFill>
                </w14:textFill>
              </w:rPr>
              <w:t>表3-</w:t>
            </w:r>
            <w:r>
              <w:rPr>
                <w:rFonts w:hint="eastAsia"/>
                <w:b/>
                <w:color w:val="000000" w:themeColor="text1"/>
                <w:kern w:val="0"/>
                <w:sz w:val="24"/>
                <w:szCs w:val="20"/>
                <w14:textFill>
                  <w14:solidFill>
                    <w14:schemeClr w14:val="tx1"/>
                  </w14:solidFill>
                </w14:textFill>
              </w:rPr>
              <w:t>11</w:t>
            </w:r>
            <w:r>
              <w:rPr>
                <w:b/>
                <w:color w:val="000000" w:themeColor="text1"/>
                <w:kern w:val="0"/>
                <w:sz w:val="24"/>
                <w:szCs w:val="20"/>
                <w14:textFill>
                  <w14:solidFill>
                    <w14:schemeClr w14:val="tx1"/>
                  </w14:solidFill>
                </w14:textFill>
              </w:rPr>
              <w:t xml:space="preserve">    环境噪声排放标准</w:t>
            </w:r>
          </w:p>
          <w:tbl>
            <w:tblPr>
              <w:tblStyle w:val="6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77"/>
              <w:gridCol w:w="1064"/>
              <w:gridCol w:w="1012"/>
              <w:gridCol w:w="5002"/>
            </w:tblGrid>
            <w:tr w14:paraId="4F9A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95" w:type="pct"/>
                  <w:tcBorders>
                    <w:top w:val="single" w:color="auto" w:sz="4" w:space="0"/>
                    <w:left w:val="single" w:color="auto" w:sz="4" w:space="0"/>
                    <w:bottom w:val="single" w:color="auto" w:sz="4" w:space="0"/>
                    <w:right w:val="single" w:color="auto" w:sz="4" w:space="0"/>
                  </w:tcBorders>
                  <w:vAlign w:val="center"/>
                </w:tcPr>
                <w:p w14:paraId="3E5A05BA">
                  <w:pPr>
                    <w:kinsoku w:val="0"/>
                    <w:overflowPunct w:val="0"/>
                    <w:autoSpaceDE w:val="0"/>
                    <w:autoSpaceDN w:val="0"/>
                    <w:adjustRightInd w:val="0"/>
                    <w:snapToGrid w:val="0"/>
                    <w:spacing w:line="36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污染源</w:t>
                  </w:r>
                </w:p>
              </w:tc>
              <w:tc>
                <w:tcPr>
                  <w:tcW w:w="677" w:type="pct"/>
                  <w:tcBorders>
                    <w:top w:val="single" w:color="auto" w:sz="4" w:space="0"/>
                    <w:left w:val="single" w:color="auto" w:sz="4" w:space="0"/>
                    <w:bottom w:val="single" w:color="auto" w:sz="4" w:space="0"/>
                    <w:right w:val="single" w:color="auto" w:sz="4" w:space="0"/>
                  </w:tcBorders>
                  <w:vAlign w:val="center"/>
                </w:tcPr>
                <w:p w14:paraId="10A8637A">
                  <w:pPr>
                    <w:kinsoku w:val="0"/>
                    <w:overflowPunct w:val="0"/>
                    <w:autoSpaceDE w:val="0"/>
                    <w:autoSpaceDN w:val="0"/>
                    <w:adjustRightInd w:val="0"/>
                    <w:snapToGrid w:val="0"/>
                    <w:spacing w:line="36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昼间</w:t>
                  </w:r>
                </w:p>
              </w:tc>
              <w:tc>
                <w:tcPr>
                  <w:tcW w:w="644" w:type="pct"/>
                  <w:tcBorders>
                    <w:top w:val="single" w:color="auto" w:sz="4" w:space="0"/>
                    <w:left w:val="single" w:color="auto" w:sz="4" w:space="0"/>
                    <w:bottom w:val="single" w:color="auto" w:sz="4" w:space="0"/>
                    <w:right w:val="single" w:color="auto" w:sz="4" w:space="0"/>
                  </w:tcBorders>
                  <w:vAlign w:val="center"/>
                </w:tcPr>
                <w:p w14:paraId="645B5CE4">
                  <w:pPr>
                    <w:kinsoku w:val="0"/>
                    <w:overflowPunct w:val="0"/>
                    <w:autoSpaceDE w:val="0"/>
                    <w:autoSpaceDN w:val="0"/>
                    <w:adjustRightInd w:val="0"/>
                    <w:snapToGrid w:val="0"/>
                    <w:spacing w:line="36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夜间</w:t>
                  </w:r>
                </w:p>
              </w:tc>
              <w:tc>
                <w:tcPr>
                  <w:tcW w:w="3183" w:type="pct"/>
                  <w:tcBorders>
                    <w:top w:val="single" w:color="auto" w:sz="4" w:space="0"/>
                    <w:left w:val="single" w:color="auto" w:sz="4" w:space="0"/>
                    <w:bottom w:val="single" w:color="auto" w:sz="4" w:space="0"/>
                    <w:right w:val="single" w:color="auto" w:sz="4" w:space="0"/>
                  </w:tcBorders>
                  <w:vAlign w:val="center"/>
                </w:tcPr>
                <w:p w14:paraId="05866F75">
                  <w:pPr>
                    <w:kinsoku w:val="0"/>
                    <w:overflowPunct w:val="0"/>
                    <w:autoSpaceDE w:val="0"/>
                    <w:autoSpaceDN w:val="0"/>
                    <w:adjustRightInd w:val="0"/>
                    <w:snapToGrid w:val="0"/>
                    <w:spacing w:line="36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执行标准</w:t>
                  </w:r>
                </w:p>
              </w:tc>
            </w:tr>
            <w:tr w14:paraId="3BBF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95" w:type="pct"/>
                  <w:tcBorders>
                    <w:top w:val="single" w:color="auto" w:sz="4" w:space="0"/>
                    <w:left w:val="single" w:color="auto" w:sz="4" w:space="0"/>
                    <w:bottom w:val="single" w:color="auto" w:sz="4" w:space="0"/>
                    <w:right w:val="single" w:color="auto" w:sz="4" w:space="0"/>
                  </w:tcBorders>
                  <w:vAlign w:val="center"/>
                </w:tcPr>
                <w:p w14:paraId="38B9E557">
                  <w:pPr>
                    <w:kinsoku w:val="0"/>
                    <w:overflowPunct w:val="0"/>
                    <w:autoSpaceDE w:val="0"/>
                    <w:autoSpaceDN w:val="0"/>
                    <w:adjustRightInd w:val="0"/>
                    <w:snapToGrid w:val="0"/>
                    <w:spacing w:line="360" w:lineRule="exact"/>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施工期</w:t>
                  </w:r>
                </w:p>
              </w:tc>
              <w:tc>
                <w:tcPr>
                  <w:tcW w:w="677" w:type="pct"/>
                  <w:tcBorders>
                    <w:top w:val="single" w:color="auto" w:sz="4" w:space="0"/>
                    <w:left w:val="single" w:color="auto" w:sz="4" w:space="0"/>
                    <w:bottom w:val="single" w:color="auto" w:sz="4" w:space="0"/>
                    <w:right w:val="single" w:color="auto" w:sz="4" w:space="0"/>
                  </w:tcBorders>
                  <w:vAlign w:val="center"/>
                </w:tcPr>
                <w:p w14:paraId="5FC96553">
                  <w:pPr>
                    <w:kinsoku w:val="0"/>
                    <w:overflowPunct w:val="0"/>
                    <w:autoSpaceDE w:val="0"/>
                    <w:autoSpaceDN w:val="0"/>
                    <w:adjustRightInd w:val="0"/>
                    <w:snapToGrid w:val="0"/>
                    <w:spacing w:line="360" w:lineRule="exact"/>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70</w:t>
                  </w:r>
                  <w:r>
                    <w:rPr>
                      <w:color w:val="000000" w:themeColor="text1"/>
                      <w:szCs w:val="20"/>
                      <w14:textFill>
                        <w14:solidFill>
                          <w14:schemeClr w14:val="tx1"/>
                        </w14:solidFill>
                      </w14:textFill>
                    </w:rPr>
                    <w:t>dB（A）</w:t>
                  </w:r>
                </w:p>
              </w:tc>
              <w:tc>
                <w:tcPr>
                  <w:tcW w:w="644" w:type="pct"/>
                  <w:tcBorders>
                    <w:top w:val="single" w:color="auto" w:sz="4" w:space="0"/>
                    <w:left w:val="single" w:color="auto" w:sz="4" w:space="0"/>
                    <w:bottom w:val="single" w:color="auto" w:sz="4" w:space="0"/>
                    <w:right w:val="single" w:color="auto" w:sz="4" w:space="0"/>
                  </w:tcBorders>
                  <w:vAlign w:val="center"/>
                </w:tcPr>
                <w:p w14:paraId="55F90205">
                  <w:pPr>
                    <w:kinsoku w:val="0"/>
                    <w:overflowPunct w:val="0"/>
                    <w:autoSpaceDE w:val="0"/>
                    <w:autoSpaceDN w:val="0"/>
                    <w:adjustRightInd w:val="0"/>
                    <w:snapToGrid w:val="0"/>
                    <w:spacing w:line="360" w:lineRule="exact"/>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55</w:t>
                  </w:r>
                  <w:r>
                    <w:rPr>
                      <w:color w:val="000000" w:themeColor="text1"/>
                      <w:szCs w:val="20"/>
                      <w14:textFill>
                        <w14:solidFill>
                          <w14:schemeClr w14:val="tx1"/>
                        </w14:solidFill>
                      </w14:textFill>
                    </w:rPr>
                    <w:t>dB（A）</w:t>
                  </w:r>
                </w:p>
              </w:tc>
              <w:tc>
                <w:tcPr>
                  <w:tcW w:w="3183" w:type="pct"/>
                  <w:tcBorders>
                    <w:top w:val="single" w:color="auto" w:sz="4" w:space="0"/>
                    <w:left w:val="single" w:color="auto" w:sz="4" w:space="0"/>
                    <w:bottom w:val="single" w:color="auto" w:sz="4" w:space="0"/>
                    <w:right w:val="single" w:color="auto" w:sz="4" w:space="0"/>
                  </w:tcBorders>
                  <w:vAlign w:val="center"/>
                </w:tcPr>
                <w:p w14:paraId="1270E37B">
                  <w:pPr>
                    <w:kinsoku w:val="0"/>
                    <w:overflowPunct w:val="0"/>
                    <w:autoSpaceDE w:val="0"/>
                    <w:autoSpaceDN w:val="0"/>
                    <w:adjustRightInd w:val="0"/>
                    <w:snapToGrid w:val="0"/>
                    <w:spacing w:line="36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《建筑施工场界环境噪声排放标准》（GB12523-2011）</w:t>
                  </w:r>
                </w:p>
              </w:tc>
            </w:tr>
            <w:tr w14:paraId="4319F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95" w:type="pct"/>
                  <w:tcBorders>
                    <w:top w:val="single" w:color="auto" w:sz="4" w:space="0"/>
                    <w:left w:val="single" w:color="auto" w:sz="4" w:space="0"/>
                    <w:right w:val="single" w:color="auto" w:sz="4" w:space="0"/>
                  </w:tcBorders>
                  <w:vAlign w:val="center"/>
                </w:tcPr>
                <w:p w14:paraId="48D59829">
                  <w:pPr>
                    <w:kinsoku w:val="0"/>
                    <w:overflowPunct w:val="0"/>
                    <w:autoSpaceDE w:val="0"/>
                    <w:autoSpaceDN w:val="0"/>
                    <w:adjustRightInd w:val="0"/>
                    <w:snapToGrid w:val="0"/>
                    <w:spacing w:line="36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运营期</w:t>
                  </w:r>
                </w:p>
              </w:tc>
              <w:tc>
                <w:tcPr>
                  <w:tcW w:w="677" w:type="pct"/>
                  <w:tcBorders>
                    <w:top w:val="single" w:color="auto" w:sz="4" w:space="0"/>
                    <w:left w:val="single" w:color="auto" w:sz="4" w:space="0"/>
                    <w:right w:val="single" w:color="auto" w:sz="4" w:space="0"/>
                  </w:tcBorders>
                  <w:vAlign w:val="center"/>
                </w:tcPr>
                <w:p w14:paraId="7D3EDF42">
                  <w:pPr>
                    <w:kinsoku w:val="0"/>
                    <w:overflowPunct w:val="0"/>
                    <w:autoSpaceDE w:val="0"/>
                    <w:autoSpaceDN w:val="0"/>
                    <w:adjustRightInd w:val="0"/>
                    <w:snapToGrid w:val="0"/>
                    <w:spacing w:line="36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60dB（A）</w:t>
                  </w:r>
                </w:p>
              </w:tc>
              <w:tc>
                <w:tcPr>
                  <w:tcW w:w="644" w:type="pct"/>
                  <w:tcBorders>
                    <w:top w:val="single" w:color="auto" w:sz="4" w:space="0"/>
                    <w:left w:val="single" w:color="auto" w:sz="4" w:space="0"/>
                    <w:right w:val="single" w:color="auto" w:sz="4" w:space="0"/>
                  </w:tcBorders>
                  <w:vAlign w:val="center"/>
                </w:tcPr>
                <w:p w14:paraId="56418586">
                  <w:pPr>
                    <w:kinsoku w:val="0"/>
                    <w:overflowPunct w:val="0"/>
                    <w:autoSpaceDE w:val="0"/>
                    <w:autoSpaceDN w:val="0"/>
                    <w:adjustRightInd w:val="0"/>
                    <w:snapToGrid w:val="0"/>
                    <w:spacing w:line="36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50dB（A）</w:t>
                  </w:r>
                </w:p>
              </w:tc>
              <w:tc>
                <w:tcPr>
                  <w:tcW w:w="3183" w:type="pct"/>
                  <w:tcBorders>
                    <w:top w:val="single" w:color="auto" w:sz="4" w:space="0"/>
                    <w:left w:val="single" w:color="auto" w:sz="4" w:space="0"/>
                    <w:right w:val="single" w:color="auto" w:sz="4" w:space="0"/>
                  </w:tcBorders>
                  <w:vAlign w:val="center"/>
                </w:tcPr>
                <w:p w14:paraId="5401262E">
                  <w:pPr>
                    <w:kinsoku w:val="0"/>
                    <w:overflowPunct w:val="0"/>
                    <w:autoSpaceDE w:val="0"/>
                    <w:autoSpaceDN w:val="0"/>
                    <w:adjustRightInd w:val="0"/>
                    <w:snapToGrid w:val="0"/>
                    <w:spacing w:line="36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《声环境质量标准》（GB3096-2008）</w:t>
                  </w:r>
                  <w:r>
                    <w:rPr>
                      <w:rFonts w:hint="eastAsia"/>
                      <w:color w:val="000000" w:themeColor="text1"/>
                      <w:szCs w:val="20"/>
                      <w14:textFill>
                        <w14:solidFill>
                          <w14:schemeClr w14:val="tx1"/>
                        </w14:solidFill>
                      </w14:textFill>
                    </w:rPr>
                    <w:t>1</w:t>
                  </w:r>
                  <w:r>
                    <w:rPr>
                      <w:color w:val="000000" w:themeColor="text1"/>
                      <w:szCs w:val="20"/>
                      <w14:textFill>
                        <w14:solidFill>
                          <w14:schemeClr w14:val="tx1"/>
                        </w14:solidFill>
                      </w14:textFill>
                    </w:rPr>
                    <w:t>类声功能区</w:t>
                  </w:r>
                </w:p>
              </w:tc>
            </w:tr>
          </w:tbl>
          <w:p w14:paraId="67C127A1">
            <w:pPr>
              <w:kinsoku w:val="0"/>
              <w:overflowPunct w:val="0"/>
              <w:autoSpaceDE w:val="0"/>
              <w:autoSpaceDN w:val="0"/>
              <w:adjustRightInd w:val="0"/>
              <w:snapToGrid w:val="0"/>
              <w:spacing w:line="440" w:lineRule="exact"/>
              <w:ind w:firstLine="482" w:firstLineChars="200"/>
              <w:rPr>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3</w:t>
            </w:r>
            <w:r>
              <w:rPr>
                <w:b/>
                <w:bCs/>
                <w:color w:val="000000" w:themeColor="text1"/>
                <w:sz w:val="24"/>
                <w:szCs w:val="22"/>
                <w14:textFill>
                  <w14:solidFill>
                    <w14:schemeClr w14:val="tx1"/>
                  </w14:solidFill>
                </w14:textFill>
              </w:rPr>
              <w:t>、固体废物</w:t>
            </w:r>
          </w:p>
          <w:p w14:paraId="44BF5E6D">
            <w:pPr>
              <w:kinsoku w:val="0"/>
              <w:overflowPunct w:val="0"/>
              <w:autoSpaceDE w:val="0"/>
              <w:autoSpaceDN w:val="0"/>
              <w:adjustRightInd w:val="0"/>
              <w:snapToGrid w:val="0"/>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危险废物处置执行《危险废物贮存污染控制标准》（GB18597-2023）中有关规定。</w:t>
            </w:r>
          </w:p>
        </w:tc>
      </w:tr>
      <w:tr w14:paraId="1E357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1" w:hRule="atLeast"/>
          <w:jc w:val="center"/>
        </w:trPr>
        <w:tc>
          <w:tcPr>
            <w:tcW w:w="540" w:type="pct"/>
            <w:vAlign w:val="center"/>
          </w:tcPr>
          <w:p w14:paraId="64181FD8">
            <w:pPr>
              <w:kinsoku w:val="0"/>
              <w:overflowPunct w:val="0"/>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总量控制指标</w:t>
            </w:r>
          </w:p>
        </w:tc>
        <w:tc>
          <w:tcPr>
            <w:tcW w:w="4459" w:type="pct"/>
            <w:vAlign w:val="center"/>
          </w:tcPr>
          <w:p w14:paraId="22C73335">
            <w:pPr>
              <w:kinsoku w:val="0"/>
              <w:overflowPunct w:val="0"/>
              <w:autoSpaceDE w:val="0"/>
              <w:autoSpaceDN w:val="0"/>
              <w:adjustRightInd w:val="0"/>
              <w:snapToGrid w:val="0"/>
              <w:spacing w:line="440" w:lineRule="exact"/>
              <w:ind w:firstLine="480" w:firstLineChars="200"/>
              <w:rPr>
                <w:color w:val="000000" w:themeColor="text1"/>
                <w14:textFill>
                  <w14:solidFill>
                    <w14:schemeClr w14:val="tx1"/>
                  </w14:solidFill>
                </w14:textFill>
              </w:rPr>
            </w:pPr>
            <w:r>
              <w:rPr>
                <w:rFonts w:hint="eastAsia"/>
                <w:color w:val="000000" w:themeColor="text1"/>
                <w:sz w:val="24"/>
                <w:lang w:bidi="ar"/>
                <w14:textFill>
                  <w14:solidFill>
                    <w14:schemeClr w14:val="tx1"/>
                  </w14:solidFill>
                </w14:textFill>
              </w:rPr>
              <w:t>本项目运营期不涉及二氧化硫及氮氧化物的大气污染物排放，无废水排放，因此本项目不涉及污染物总量控制指标。</w:t>
            </w:r>
          </w:p>
        </w:tc>
      </w:tr>
    </w:tbl>
    <w:p w14:paraId="3B6C5A3C">
      <w:pPr>
        <w:ind w:firstLine="420"/>
        <w:rPr>
          <w:color w:val="000000" w:themeColor="text1"/>
          <w14:textFill>
            <w14:solidFill>
              <w14:schemeClr w14:val="tx1"/>
            </w14:solidFill>
          </w14:textFill>
        </w:rPr>
        <w:sectPr>
          <w:pgSz w:w="11906" w:h="16838"/>
          <w:pgMar w:top="1701" w:right="1531" w:bottom="1701" w:left="1531" w:header="851" w:footer="1077" w:gutter="0"/>
          <w:cols w:space="720" w:num="1"/>
          <w:docGrid w:linePitch="312" w:charSpace="0"/>
        </w:sectPr>
      </w:pPr>
    </w:p>
    <w:p w14:paraId="133AB6B4">
      <w:pPr>
        <w:pStyle w:val="61"/>
        <w:adjustRightInd w:val="0"/>
        <w:snapToGrid w:val="0"/>
        <w:spacing w:before="0" w:beforeAutospacing="0" w:after="0" w:afterAutospacing="0" w:line="15" w:lineRule="auto"/>
        <w:ind w:firstLine="720"/>
        <w:jc w:val="center"/>
        <w:rPr>
          <w:rFonts w:ascii="Times New Roman" w:hAnsi="Times New Roman"/>
          <w:snapToGrid w:val="0"/>
          <w:color w:val="000000" w:themeColor="text1"/>
          <w:kern w:val="2"/>
          <w:sz w:val="36"/>
          <w:szCs w:val="36"/>
          <w14:textFill>
            <w14:solidFill>
              <w14:schemeClr w14:val="tx1"/>
            </w14:solidFill>
          </w14:textFill>
        </w:rPr>
      </w:pPr>
    </w:p>
    <w:p w14:paraId="36DB9C40">
      <w:pPr>
        <w:pStyle w:val="61"/>
        <w:ind w:firstLine="600"/>
        <w:jc w:val="center"/>
        <w:outlineLvl w:val="0"/>
        <w:rPr>
          <w:rFonts w:ascii="Times New Roman" w:hAnsi="Times New Roman"/>
          <w:snapToGrid w:val="0"/>
          <w:color w:val="000000" w:themeColor="text1"/>
          <w:sz w:val="30"/>
          <w:szCs w:val="30"/>
          <w14:textFill>
            <w14:solidFill>
              <w14:schemeClr w14:val="tx1"/>
            </w14:solidFill>
          </w14:textFill>
        </w:rPr>
      </w:pPr>
      <w:bookmarkStart w:id="20" w:name="_Toc28380"/>
      <w:bookmarkStart w:id="21" w:name="_Toc17853"/>
      <w:r>
        <w:rPr>
          <w:rFonts w:ascii="黑体" w:hAnsi="黑体" w:eastAsia="黑体"/>
          <w:snapToGrid w:val="0"/>
          <w:color w:val="000000" w:themeColor="text1"/>
          <w:sz w:val="30"/>
          <w:szCs w:val="30"/>
          <w14:textFill>
            <w14:solidFill>
              <w14:schemeClr w14:val="tx1"/>
            </w14:solidFill>
          </w14:textFill>
        </w:rPr>
        <w:t>四、生态环境影响分析</w:t>
      </w:r>
      <w:bookmarkEnd w:id="20"/>
      <w:bookmarkEnd w:id="21"/>
    </w:p>
    <w:tbl>
      <w:tblPr>
        <w:tblStyle w:val="66"/>
        <w:tblW w:w="50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8506"/>
      </w:tblGrid>
      <w:tr w14:paraId="2C180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tcMar>
              <w:left w:w="28" w:type="dxa"/>
              <w:right w:w="28" w:type="dxa"/>
            </w:tcMar>
            <w:vAlign w:val="center"/>
          </w:tcPr>
          <w:p w14:paraId="59C30EED">
            <w:pPr>
              <w:pStyle w:val="61"/>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bookmarkStart w:id="22" w:name="_Hlk49796138"/>
            <w:r>
              <w:rPr>
                <w:rFonts w:ascii="Times New Roman" w:hAnsi="Times New Roman"/>
                <w:bCs/>
                <w:color w:val="000000" w:themeColor="text1"/>
                <w:spacing w:val="10"/>
                <w:kern w:val="2"/>
                <w14:textFill>
                  <w14:solidFill>
                    <w14:schemeClr w14:val="tx1"/>
                  </w14:solidFill>
                </w14:textFill>
              </w:rPr>
              <w:t>施工期生态环境影响分析</w:t>
            </w:r>
            <w:bookmarkEnd w:id="22"/>
          </w:p>
        </w:tc>
        <w:tc>
          <w:tcPr>
            <w:tcW w:w="4597" w:type="pct"/>
            <w:vAlign w:val="center"/>
          </w:tcPr>
          <w:p w14:paraId="44E81F6D">
            <w:pPr>
              <w:adjustRightInd w:val="0"/>
              <w:snapToGrid w:val="0"/>
              <w:spacing w:line="440" w:lineRule="exact"/>
              <w:rPr>
                <w:b/>
                <w:bCs/>
                <w:color w:val="000000" w:themeColor="text1"/>
                <w:sz w:val="24"/>
                <w:lang w:bidi="ar"/>
                <w14:textFill>
                  <w14:solidFill>
                    <w14:schemeClr w14:val="tx1"/>
                  </w14:solidFill>
                </w14:textFill>
              </w:rPr>
            </w:pPr>
            <w:r>
              <w:rPr>
                <w:rFonts w:hint="eastAsia"/>
                <w:b/>
                <w:bCs/>
                <w:color w:val="000000" w:themeColor="text1"/>
                <w:sz w:val="24"/>
                <w:lang w:bidi="ar"/>
                <w14:textFill>
                  <w14:solidFill>
                    <w14:schemeClr w14:val="tx1"/>
                  </w14:solidFill>
                </w14:textFill>
              </w:rPr>
              <w:t>施工期工艺流程简述及产污节点</w:t>
            </w:r>
          </w:p>
          <w:p w14:paraId="5D7002F1">
            <w:pPr>
              <w:spacing w:line="440" w:lineRule="exact"/>
              <w:ind w:firstLine="480" w:firstLineChars="200"/>
              <w:rPr>
                <w:rFonts w:cs="宋体"/>
                <w:bCs/>
                <w:color w:val="000000" w:themeColor="text1"/>
                <w:sz w:val="24"/>
                <w:lang w:bidi="ar"/>
                <w14:textFill>
                  <w14:solidFill>
                    <w14:schemeClr w14:val="tx1"/>
                  </w14:solidFill>
                </w14:textFill>
              </w:rPr>
            </w:pPr>
            <w:r>
              <w:rPr>
                <w:rFonts w:hint="eastAsia" w:cs="宋体"/>
                <w:bCs/>
                <w:color w:val="000000" w:themeColor="text1"/>
                <w:sz w:val="24"/>
                <w:lang w:bidi="ar"/>
                <w14:textFill>
                  <w14:solidFill>
                    <w14:schemeClr w14:val="tx1"/>
                  </w14:solidFill>
                </w14:textFill>
              </w:rPr>
              <w:t>本项目的施工包括道路的施工、光伏阵列基础的开挖、箱变基础、升压站等构筑物的建设及设备的安装和调试。</w:t>
            </w:r>
          </w:p>
          <w:p w14:paraId="5FFBF35E">
            <w:pPr>
              <w:spacing w:line="440" w:lineRule="exact"/>
              <w:ind w:firstLine="480" w:firstLineChars="200"/>
              <w:rPr>
                <w:rFonts w:cs="宋体"/>
                <w:bCs/>
                <w:color w:val="000000" w:themeColor="text1"/>
                <w:sz w:val="24"/>
                <w:lang w:bidi="ar"/>
                <w14:textFill>
                  <w14:solidFill>
                    <w14:schemeClr w14:val="tx1"/>
                  </w14:solidFill>
                </w14:textFill>
              </w:rPr>
            </w:pPr>
            <w:r>
              <w:rPr>
                <w:rFonts w:hint="eastAsia" w:cs="宋体"/>
                <w:bCs/>
                <w:color w:val="000000" w:themeColor="text1"/>
                <w:sz w:val="24"/>
                <w:lang w:bidi="ar"/>
                <w14:textFill>
                  <w14:solidFill>
                    <w14:schemeClr w14:val="tx1"/>
                  </w14:solidFill>
                </w14:textFill>
              </w:rPr>
              <w:t>施工期主要污染源有：施工期机械噪声、扬尘、运输及动力设备运行产生的燃油废气、固体废物、施工作业对项目区生态环境破坏可能导致的水土流失和植被破坏、施工人员生活污水、生活垃圾等。</w:t>
            </w:r>
          </w:p>
          <w:p w14:paraId="6406AAD5">
            <w:pPr>
              <w:spacing w:line="440" w:lineRule="exact"/>
              <w:ind w:firstLine="420" w:firstLineChars="200"/>
              <w:rPr>
                <w:rFonts w:cs="宋体"/>
                <w:bCs/>
                <w:color w:val="000000" w:themeColor="text1"/>
                <w:sz w:val="24"/>
                <w:lang w:bidi="ar"/>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07392" behindDoc="0" locked="0" layoutInCell="1" allowOverlap="1">
                  <wp:simplePos x="0" y="0"/>
                  <wp:positionH relativeFrom="column">
                    <wp:posOffset>244475</wp:posOffset>
                  </wp:positionH>
                  <wp:positionV relativeFrom="paragraph">
                    <wp:posOffset>278765</wp:posOffset>
                  </wp:positionV>
                  <wp:extent cx="4885055" cy="1596390"/>
                  <wp:effectExtent l="0" t="0" r="6985" b="381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4885055" cy="1596390"/>
                          </a:xfrm>
                          <a:prstGeom prst="rect">
                            <a:avLst/>
                          </a:prstGeom>
                          <a:noFill/>
                          <a:ln>
                            <a:noFill/>
                          </a:ln>
                        </pic:spPr>
                      </pic:pic>
                    </a:graphicData>
                  </a:graphic>
                </wp:anchor>
              </w:drawing>
            </w:r>
            <w:r>
              <w:rPr>
                <w:rFonts w:hint="eastAsia" w:cs="宋体"/>
                <w:bCs/>
                <w:color w:val="000000" w:themeColor="text1"/>
                <w:sz w:val="24"/>
                <w:lang w:bidi="ar"/>
                <w14:textFill>
                  <w14:solidFill>
                    <w14:schemeClr w14:val="tx1"/>
                  </w14:solidFill>
                </w14:textFill>
              </w:rPr>
              <w:t>项目施工流程及各阶段产污环节见下图。</w:t>
            </w:r>
          </w:p>
          <w:p w14:paraId="2E4753BB">
            <w:pPr>
              <w:adjustRightInd w:val="0"/>
              <w:snapToGrid w:val="0"/>
              <w:spacing w:line="440" w:lineRule="exact"/>
              <w:rPr>
                <w:b/>
                <w:bCs/>
                <w:color w:val="000000" w:themeColor="text1"/>
                <w:sz w:val="24"/>
                <w:lang w:bidi="ar"/>
                <w14:textFill>
                  <w14:solidFill>
                    <w14:schemeClr w14:val="tx1"/>
                  </w14:solidFill>
                </w14:textFill>
              </w:rPr>
            </w:pPr>
          </w:p>
          <w:p w14:paraId="1A6FB22D">
            <w:pPr>
              <w:adjustRightInd w:val="0"/>
              <w:snapToGrid w:val="0"/>
              <w:spacing w:line="440" w:lineRule="exact"/>
              <w:rPr>
                <w:b/>
                <w:bCs/>
                <w:color w:val="000000" w:themeColor="text1"/>
                <w:sz w:val="24"/>
                <w:lang w:bidi="ar"/>
                <w14:textFill>
                  <w14:solidFill>
                    <w14:schemeClr w14:val="tx1"/>
                  </w14:solidFill>
                </w14:textFill>
              </w:rPr>
            </w:pPr>
          </w:p>
          <w:p w14:paraId="1AA08B13">
            <w:pPr>
              <w:pStyle w:val="2"/>
              <w:ind w:firstLine="482"/>
              <w:rPr>
                <w:b/>
                <w:color w:val="000000" w:themeColor="text1"/>
                <w:sz w:val="24"/>
                <w:lang w:bidi="ar"/>
                <w14:textFill>
                  <w14:solidFill>
                    <w14:schemeClr w14:val="tx1"/>
                  </w14:solidFill>
                </w14:textFill>
              </w:rPr>
            </w:pPr>
          </w:p>
          <w:p w14:paraId="7AA27189">
            <w:pPr>
              <w:pStyle w:val="3"/>
              <w:ind w:firstLine="482"/>
              <w:rPr>
                <w:b/>
                <w:bCs/>
                <w:color w:val="000000" w:themeColor="text1"/>
                <w:sz w:val="24"/>
                <w:lang w:bidi="ar"/>
                <w14:textFill>
                  <w14:solidFill>
                    <w14:schemeClr w14:val="tx1"/>
                  </w14:solidFill>
                </w14:textFill>
              </w:rPr>
            </w:pPr>
          </w:p>
          <w:p w14:paraId="37E0F9EC">
            <w:pPr>
              <w:rPr>
                <w:b/>
                <w:bCs/>
                <w:color w:val="000000" w:themeColor="text1"/>
                <w:sz w:val="24"/>
                <w:lang w:bidi="ar"/>
                <w14:textFill>
                  <w14:solidFill>
                    <w14:schemeClr w14:val="tx1"/>
                  </w14:solidFill>
                </w14:textFill>
              </w:rPr>
            </w:pPr>
          </w:p>
          <w:p w14:paraId="7B34838F">
            <w:pPr>
              <w:pStyle w:val="2"/>
              <w:ind w:firstLine="482"/>
              <w:rPr>
                <w:b/>
                <w:color w:val="000000" w:themeColor="text1"/>
                <w:sz w:val="24"/>
                <w:lang w:bidi="ar"/>
                <w14:textFill>
                  <w14:solidFill>
                    <w14:schemeClr w14:val="tx1"/>
                  </w14:solidFill>
                </w14:textFill>
              </w:rPr>
            </w:pPr>
          </w:p>
          <w:p w14:paraId="1F40D4AF">
            <w:pPr>
              <w:pStyle w:val="3"/>
              <w:ind w:firstLine="1205" w:firstLineChars="500"/>
              <w:jc w:val="center"/>
              <w:rPr>
                <w:b/>
                <w:bCs/>
                <w:color w:val="000000" w:themeColor="text1"/>
                <w:sz w:val="24"/>
                <w:lang w:bidi="ar"/>
                <w14:textFill>
                  <w14:solidFill>
                    <w14:schemeClr w14:val="tx1"/>
                  </w14:solidFill>
                </w14:textFill>
              </w:rPr>
            </w:pPr>
            <w:r>
              <w:rPr>
                <w:rFonts w:hint="eastAsia"/>
                <w:b/>
                <w:bCs/>
                <w:color w:val="000000" w:themeColor="text1"/>
                <w:sz w:val="24"/>
                <w:lang w:bidi="ar"/>
                <w14:textFill>
                  <w14:solidFill>
                    <w14:schemeClr w14:val="tx1"/>
                  </w14:solidFill>
                </w14:textFill>
              </w:rPr>
              <w:t>图4-1    施工期工艺流程及产污节点图</w:t>
            </w:r>
          </w:p>
          <w:p w14:paraId="632DF311">
            <w:pPr>
              <w:autoSpaceDE w:val="0"/>
              <w:autoSpaceDN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表4-1    项目施工期主要污染工序一览表</w:t>
            </w:r>
          </w:p>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3226"/>
              <w:gridCol w:w="3466"/>
            </w:tblGrid>
            <w:tr w14:paraId="4D45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14:paraId="7773A88A">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污染类别</w:t>
                  </w:r>
                </w:p>
              </w:tc>
              <w:tc>
                <w:tcPr>
                  <w:tcW w:w="3226" w:type="dxa"/>
                </w:tcPr>
                <w:p w14:paraId="5492668A">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污染源</w:t>
                  </w:r>
                </w:p>
              </w:tc>
              <w:tc>
                <w:tcPr>
                  <w:tcW w:w="3466" w:type="dxa"/>
                </w:tcPr>
                <w:p w14:paraId="137F0A58">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主要污染因子</w:t>
                  </w:r>
                </w:p>
              </w:tc>
            </w:tr>
            <w:tr w14:paraId="6002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restart"/>
                  <w:vAlign w:val="center"/>
                </w:tcPr>
                <w:p w14:paraId="38DD6D64">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w:t>
                  </w:r>
                </w:p>
              </w:tc>
              <w:tc>
                <w:tcPr>
                  <w:tcW w:w="3226" w:type="dxa"/>
                </w:tcPr>
                <w:p w14:paraId="4B384D80">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施工作业</w:t>
                  </w:r>
                </w:p>
              </w:tc>
              <w:tc>
                <w:tcPr>
                  <w:tcW w:w="3466" w:type="dxa"/>
                </w:tcPr>
                <w:p w14:paraId="746B4524">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扬尘</w:t>
                  </w:r>
                </w:p>
              </w:tc>
            </w:tr>
            <w:tr w14:paraId="0721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14:paraId="6CB22F54">
                  <w:pPr>
                    <w:pStyle w:val="2"/>
                    <w:spacing w:line="360" w:lineRule="exact"/>
                    <w:ind w:firstLine="0" w:firstLineChars="0"/>
                    <w:jc w:val="center"/>
                    <w:rPr>
                      <w:color w:val="000000" w:themeColor="text1"/>
                      <w:sz w:val="21"/>
                      <w:szCs w:val="21"/>
                      <w14:textFill>
                        <w14:solidFill>
                          <w14:schemeClr w14:val="tx1"/>
                        </w14:solidFill>
                      </w14:textFill>
                    </w:rPr>
                  </w:pPr>
                </w:p>
              </w:tc>
              <w:tc>
                <w:tcPr>
                  <w:tcW w:w="3226" w:type="dxa"/>
                </w:tcPr>
                <w:p w14:paraId="13197C53">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施工机械及运输车辆</w:t>
                  </w:r>
                </w:p>
              </w:tc>
              <w:tc>
                <w:tcPr>
                  <w:tcW w:w="3466" w:type="dxa"/>
                </w:tcPr>
                <w:p w14:paraId="1CC05932">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机械废气、</w:t>
                  </w:r>
                  <w:r>
                    <w:rPr>
                      <w:color w:val="000000" w:themeColor="text1"/>
                      <w:sz w:val="21"/>
                      <w:szCs w:val="21"/>
                      <w14:textFill>
                        <w14:solidFill>
                          <w14:schemeClr w14:val="tx1"/>
                        </w14:solidFill>
                      </w14:textFill>
                    </w:rPr>
                    <w:t>CO</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NOx</w:t>
                  </w:r>
                  <w:r>
                    <w:rPr>
                      <w:rFonts w:hint="eastAsia"/>
                      <w:color w:val="000000" w:themeColor="text1"/>
                      <w:sz w:val="21"/>
                      <w:szCs w:val="21"/>
                      <w14:textFill>
                        <w14:solidFill>
                          <w14:schemeClr w14:val="tx1"/>
                        </w14:solidFill>
                      </w14:textFill>
                    </w:rPr>
                    <w:t>、烃类</w:t>
                  </w:r>
                </w:p>
              </w:tc>
            </w:tr>
            <w:tr w14:paraId="7433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14:paraId="3B7191BB">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w:t>
                  </w:r>
                </w:p>
              </w:tc>
              <w:tc>
                <w:tcPr>
                  <w:tcW w:w="3226" w:type="dxa"/>
                </w:tcPr>
                <w:p w14:paraId="7D888594">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施工废水</w:t>
                  </w:r>
                </w:p>
              </w:tc>
              <w:tc>
                <w:tcPr>
                  <w:tcW w:w="3466" w:type="dxa"/>
                </w:tcPr>
                <w:p w14:paraId="6282D339">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SS</w:t>
                  </w:r>
                </w:p>
              </w:tc>
            </w:tr>
            <w:tr w14:paraId="37D5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14:paraId="7A49FDBA">
                  <w:pPr>
                    <w:pStyle w:val="2"/>
                    <w:spacing w:line="360" w:lineRule="exact"/>
                    <w:ind w:firstLine="0" w:firstLineChars="0"/>
                    <w:jc w:val="center"/>
                    <w:rPr>
                      <w:color w:val="000000" w:themeColor="text1"/>
                      <w:sz w:val="21"/>
                      <w:szCs w:val="21"/>
                      <w14:textFill>
                        <w14:solidFill>
                          <w14:schemeClr w14:val="tx1"/>
                        </w14:solidFill>
                      </w14:textFill>
                    </w:rPr>
                  </w:pPr>
                </w:p>
              </w:tc>
              <w:tc>
                <w:tcPr>
                  <w:tcW w:w="3226" w:type="dxa"/>
                </w:tcPr>
                <w:p w14:paraId="41C3B5DC">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施工生活污水</w:t>
                  </w:r>
                </w:p>
              </w:tc>
              <w:tc>
                <w:tcPr>
                  <w:tcW w:w="3466" w:type="dxa"/>
                </w:tcPr>
                <w:p w14:paraId="1AA82A55">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COD、氨氮、SS</w:t>
                  </w:r>
                </w:p>
              </w:tc>
            </w:tr>
            <w:tr w14:paraId="7909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14:paraId="330371D2">
                  <w:pPr>
                    <w:pStyle w:val="2"/>
                    <w:spacing w:line="360" w:lineRule="exact"/>
                    <w:ind w:firstLine="0" w:firstLineChars="0"/>
                    <w:jc w:val="center"/>
                    <w:rPr>
                      <w:color w:val="000000" w:themeColor="text1"/>
                      <w:sz w:val="21"/>
                      <w:szCs w:val="21"/>
                      <w14:textFill>
                        <w14:solidFill>
                          <w14:schemeClr w14:val="tx1"/>
                        </w14:solidFill>
                      </w14:textFill>
                    </w:rPr>
                  </w:pPr>
                </w:p>
              </w:tc>
              <w:tc>
                <w:tcPr>
                  <w:tcW w:w="3226" w:type="dxa"/>
                </w:tcPr>
                <w:p w14:paraId="0EDEDCC2">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雨季地表径流</w:t>
                  </w:r>
                </w:p>
              </w:tc>
              <w:tc>
                <w:tcPr>
                  <w:tcW w:w="3466" w:type="dxa"/>
                </w:tcPr>
                <w:p w14:paraId="4772ED79">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SS</w:t>
                  </w:r>
                </w:p>
              </w:tc>
            </w:tr>
            <w:tr w14:paraId="2EF8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Align w:val="center"/>
                </w:tcPr>
                <w:p w14:paraId="4EB17F51">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噪声</w:t>
                  </w:r>
                </w:p>
              </w:tc>
              <w:tc>
                <w:tcPr>
                  <w:tcW w:w="3226" w:type="dxa"/>
                </w:tcPr>
                <w:p w14:paraId="65393C70">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施工机械、运输车辆</w:t>
                  </w:r>
                </w:p>
              </w:tc>
              <w:tc>
                <w:tcPr>
                  <w:tcW w:w="3466" w:type="dxa"/>
                </w:tcPr>
                <w:p w14:paraId="1DBD0C1F">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机械交通噪声</w:t>
                  </w:r>
                </w:p>
              </w:tc>
            </w:tr>
            <w:tr w14:paraId="0A71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restart"/>
                  <w:vAlign w:val="center"/>
                </w:tcPr>
                <w:p w14:paraId="74FD5C05">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固废</w:t>
                  </w:r>
                </w:p>
              </w:tc>
              <w:tc>
                <w:tcPr>
                  <w:tcW w:w="3226" w:type="dxa"/>
                </w:tcPr>
                <w:p w14:paraId="53F6DA4C">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工程施工</w:t>
                  </w:r>
                </w:p>
              </w:tc>
              <w:tc>
                <w:tcPr>
                  <w:tcW w:w="3466" w:type="dxa"/>
                </w:tcPr>
                <w:p w14:paraId="0B76413E">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废弃土石方、建筑垃圾、弃土</w:t>
                  </w:r>
                </w:p>
              </w:tc>
            </w:tr>
            <w:tr w14:paraId="2F30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Merge w:val="continue"/>
                  <w:vAlign w:val="center"/>
                </w:tcPr>
                <w:p w14:paraId="17367CC8">
                  <w:pPr>
                    <w:pStyle w:val="2"/>
                    <w:spacing w:line="360" w:lineRule="exact"/>
                    <w:ind w:firstLine="0" w:firstLineChars="0"/>
                    <w:jc w:val="center"/>
                    <w:rPr>
                      <w:color w:val="000000" w:themeColor="text1"/>
                      <w:sz w:val="21"/>
                      <w:szCs w:val="21"/>
                      <w14:textFill>
                        <w14:solidFill>
                          <w14:schemeClr w14:val="tx1"/>
                        </w14:solidFill>
                      </w14:textFill>
                    </w:rPr>
                  </w:pPr>
                </w:p>
              </w:tc>
              <w:tc>
                <w:tcPr>
                  <w:tcW w:w="3226" w:type="dxa"/>
                </w:tcPr>
                <w:p w14:paraId="2E3F5A4A">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施工人员</w:t>
                  </w:r>
                </w:p>
              </w:tc>
              <w:tc>
                <w:tcPr>
                  <w:tcW w:w="3466" w:type="dxa"/>
                </w:tcPr>
                <w:p w14:paraId="5075B8FD">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生活垃圾</w:t>
                  </w:r>
                </w:p>
              </w:tc>
            </w:tr>
            <w:tr w14:paraId="62BC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vAlign w:val="center"/>
                </w:tcPr>
                <w:p w14:paraId="2C9C1D28">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生态</w:t>
                  </w:r>
                </w:p>
              </w:tc>
              <w:tc>
                <w:tcPr>
                  <w:tcW w:w="6692" w:type="dxa"/>
                  <w:gridSpan w:val="2"/>
                </w:tcPr>
                <w:p w14:paraId="3204EFFF">
                  <w:pPr>
                    <w:pStyle w:val="2"/>
                    <w:spacing w:line="36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会造成植被破坏，对土地利用、景观的影响和水土流失等</w:t>
                  </w:r>
                </w:p>
              </w:tc>
            </w:tr>
          </w:tbl>
          <w:p w14:paraId="679899B6">
            <w:pPr>
              <w:adjustRightInd w:val="0"/>
              <w:snapToGrid w:val="0"/>
              <w:spacing w:line="440" w:lineRule="exact"/>
              <w:rPr>
                <w:b/>
                <w:color w:val="000000" w:themeColor="text1"/>
                <w:kern w:val="0"/>
                <w:sz w:val="24"/>
                <w14:textFill>
                  <w14:solidFill>
                    <w14:schemeClr w14:val="tx1"/>
                  </w14:solidFill>
                </w14:textFill>
              </w:rPr>
            </w:pPr>
            <w:r>
              <w:rPr>
                <w:b/>
                <w:bCs/>
                <w:color w:val="000000" w:themeColor="text1"/>
                <w:sz w:val="24"/>
                <w:lang w:bidi="ar"/>
                <w14:textFill>
                  <w14:solidFill>
                    <w14:schemeClr w14:val="tx1"/>
                  </w14:solidFill>
                </w14:textFill>
              </w:rPr>
              <w:t>1</w:t>
            </w:r>
            <w:r>
              <w:rPr>
                <w:rFonts w:hint="eastAsia" w:cs="宋体"/>
                <w:b/>
                <w:bCs/>
                <w:color w:val="000000" w:themeColor="text1"/>
                <w:sz w:val="24"/>
                <w:lang w:bidi="ar"/>
                <w14:textFill>
                  <w14:solidFill>
                    <w14:schemeClr w14:val="tx1"/>
                  </w14:solidFill>
                </w14:textFill>
              </w:rPr>
              <w:t>生态环境影响分析</w:t>
            </w:r>
          </w:p>
          <w:p w14:paraId="12133AA2">
            <w:pPr>
              <w:adjustRightInd w:val="0"/>
              <w:snapToGrid w:val="0"/>
              <w:spacing w:line="440" w:lineRule="exact"/>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1.1</w:t>
            </w:r>
            <w:r>
              <w:rPr>
                <w:rFonts w:hint="eastAsia" w:cs="宋体"/>
                <w:b/>
                <w:bCs/>
                <w:color w:val="000000" w:themeColor="text1"/>
                <w:sz w:val="24"/>
                <w:lang w:bidi="ar"/>
                <w14:textFill>
                  <w14:solidFill>
                    <w14:schemeClr w14:val="tx1"/>
                  </w14:solidFill>
                </w14:textFill>
              </w:rPr>
              <w:t>生态环境影响分析结论</w:t>
            </w:r>
          </w:p>
          <w:p w14:paraId="5D950052">
            <w:pPr>
              <w:spacing w:line="440" w:lineRule="exact"/>
              <w:ind w:firstLine="480" w:firstLineChars="200"/>
              <w:rPr>
                <w:rFonts w:hint="eastAsia"/>
                <w:color w:val="000000" w:themeColor="text1"/>
                <w:sz w:val="24"/>
                <w14:textFill>
                  <w14:solidFill>
                    <w14:schemeClr w14:val="tx1"/>
                  </w14:solidFill>
                </w14:textFill>
              </w:rPr>
            </w:pPr>
            <w:r>
              <w:rPr>
                <w:rFonts w:hint="eastAsia" w:cs="宋体"/>
                <w:bCs/>
                <w:color w:val="000000" w:themeColor="text1"/>
                <w:sz w:val="24"/>
                <w:lang w:bidi="ar"/>
                <w14:textFill>
                  <w14:solidFill>
                    <w14:schemeClr w14:val="tx1"/>
                  </w14:solidFill>
                </w14:textFill>
              </w:rPr>
              <w:t>本项目建设和运行将对区域生态环境产生一定的影响，</w:t>
            </w:r>
            <w:r>
              <w:rPr>
                <w:color w:val="000000" w:themeColor="text1"/>
                <w:sz w:val="24"/>
                <w14:textFill>
                  <w14:solidFill>
                    <w14:schemeClr w14:val="tx1"/>
                  </w14:solidFill>
                </w14:textFill>
              </w:rPr>
              <w:t>永久占用土地自施工期就已开始，并在整个运行期内一直持续，对土地利用的影响是永久性的，即对土地利用产生不可逆的影响</w:t>
            </w:r>
            <w:r>
              <w:rPr>
                <w:rFonts w:hint="eastAsia"/>
                <w:color w:val="000000" w:themeColor="text1"/>
                <w:sz w:val="24"/>
                <w14:textFill>
                  <w14:solidFill>
                    <w14:schemeClr w14:val="tx1"/>
                  </w14:solidFill>
                </w14:textFill>
              </w:rPr>
              <w:t>。临时占地</w:t>
            </w:r>
            <w:r>
              <w:rPr>
                <w:color w:val="000000" w:themeColor="text1"/>
                <w:sz w:val="24"/>
                <w14:textFill>
                  <w14:solidFill>
                    <w14:schemeClr w14:val="tx1"/>
                  </w14:solidFill>
                </w14:textFill>
              </w:rPr>
              <w:t>施工完毕后，在施工结束后该地段土地利用可恢复为原利用状态。</w:t>
            </w:r>
            <w:r>
              <w:rPr>
                <w:rStyle w:val="596"/>
                <w:color w:val="000000" w:themeColor="text1"/>
                <w:sz w:val="24"/>
                <w14:textFill>
                  <w14:solidFill>
                    <w14:schemeClr w14:val="tx1"/>
                  </w14:solidFill>
                </w14:textFill>
              </w:rPr>
              <w:t>电缆敷设采用直埋和架空相结合的方式。</w:t>
            </w:r>
            <w:r>
              <w:rPr>
                <w:color w:val="000000" w:themeColor="text1"/>
                <w:sz w:val="24"/>
                <w14:textFill>
                  <w14:solidFill>
                    <w14:schemeClr w14:val="tx1"/>
                  </w14:solidFill>
                </w14:textFill>
              </w:rPr>
              <w:t>地埋施工活动将破坏地表植被、扰动土壤结构，造成植物生物量损失，将在施工结束后一段时间内影响土地生产能力；项目建设的临时占地在一段时间内对扰动系统产生的影响，可逐渐消失，永久占地将改变原土地利用性质。架空方式无需破坏地表植被，对生态环境影响较小。</w:t>
            </w:r>
          </w:p>
          <w:p w14:paraId="4AE9DA6D">
            <w:pPr>
              <w:spacing w:line="440" w:lineRule="exact"/>
              <w:ind w:firstLine="480" w:firstLineChars="200"/>
              <w:rPr>
                <w:color w:val="000000" w:themeColor="text1"/>
                <w:spacing w:val="-2"/>
                <w:sz w:val="24"/>
                <w14:textFill>
                  <w14:solidFill>
                    <w14:schemeClr w14:val="tx1"/>
                  </w14:solidFill>
                </w14:textFill>
              </w:rPr>
            </w:pPr>
            <w:r>
              <w:rPr>
                <w:color w:val="000000" w:themeColor="text1"/>
                <w:sz w:val="24"/>
                <w14:textFill>
                  <w14:solidFill>
                    <w14:schemeClr w14:val="tx1"/>
                  </w14:solidFill>
                </w14:textFill>
              </w:rPr>
              <w:t>因此，工程对自然体系生产能力影响较小，评价区自然体系基本可以恢复稳定状态。</w:t>
            </w:r>
            <w:r>
              <w:rPr>
                <w:rFonts w:hint="eastAsia"/>
                <w:color w:val="000000" w:themeColor="text1"/>
                <w:sz w:val="24"/>
                <w14:textFill>
                  <w14:solidFill>
                    <w14:schemeClr w14:val="tx1"/>
                  </w14:solidFill>
                </w14:textFill>
              </w:rPr>
              <w:t>项目对野生动物影响主要是在施工时，</w:t>
            </w:r>
            <w:r>
              <w:rPr>
                <w:color w:val="000000" w:themeColor="text1"/>
                <w:sz w:val="24"/>
                <w14:textFill>
                  <w14:solidFill>
                    <w14:schemeClr w14:val="tx1"/>
                  </w14:solidFill>
                </w14:textFill>
              </w:rPr>
              <w:t>这种影响随着施工的结束而结束。</w:t>
            </w:r>
            <w:r>
              <w:rPr>
                <w:color w:val="000000" w:themeColor="text1"/>
                <w:kern w:val="0"/>
                <w:sz w:val="24"/>
                <w14:textFill>
                  <w14:solidFill>
                    <w14:schemeClr w14:val="tx1"/>
                  </w14:solidFill>
                </w14:textFill>
              </w:rPr>
              <w:t>本工程施工</w:t>
            </w:r>
            <w:r>
              <w:rPr>
                <w:rFonts w:hint="eastAsia"/>
                <w:color w:val="000000" w:themeColor="text1"/>
                <w:kern w:val="0"/>
                <w:sz w:val="24"/>
                <w14:textFill>
                  <w14:solidFill>
                    <w14:schemeClr w14:val="tx1"/>
                  </w14:solidFill>
                </w14:textFill>
              </w:rPr>
              <w:t>面积较大，</w:t>
            </w:r>
            <w:r>
              <w:rPr>
                <w:color w:val="000000" w:themeColor="text1"/>
                <w:kern w:val="0"/>
                <w:sz w:val="24"/>
                <w14:textFill>
                  <w14:solidFill>
                    <w14:schemeClr w14:val="tx1"/>
                  </w14:solidFill>
                </w14:textFill>
              </w:rPr>
              <w:t>对植被覆盖度影响较</w:t>
            </w:r>
            <w:r>
              <w:rPr>
                <w:rFonts w:hint="eastAsia"/>
                <w:color w:val="000000" w:themeColor="text1"/>
                <w:kern w:val="0"/>
                <w:sz w:val="24"/>
                <w14:textFill>
                  <w14:solidFill>
                    <w14:schemeClr w14:val="tx1"/>
                  </w14:solidFill>
                </w14:textFill>
              </w:rPr>
              <w:t>大</w:t>
            </w:r>
            <w:r>
              <w:rPr>
                <w:color w:val="000000" w:themeColor="text1"/>
                <w:kern w:val="0"/>
                <w:sz w:val="24"/>
                <w14:textFill>
                  <w14:solidFill>
                    <w14:schemeClr w14:val="tx1"/>
                  </w14:solidFill>
                </w14:textFill>
              </w:rPr>
              <w:t>，会使评价区植被覆盖度发生较大变化。</w:t>
            </w:r>
            <w:r>
              <w:rPr>
                <w:rFonts w:hint="eastAsia"/>
                <w:color w:val="000000" w:themeColor="text1"/>
                <w:kern w:val="0"/>
                <w:sz w:val="24"/>
                <w14:textFill>
                  <w14:solidFill>
                    <w14:schemeClr w14:val="tx1"/>
                  </w14:solidFill>
                </w14:textFill>
              </w:rPr>
              <w:t>工</w:t>
            </w:r>
            <w:r>
              <w:rPr>
                <w:color w:val="000000" w:themeColor="text1"/>
                <w:spacing w:val="-2"/>
                <w:sz w:val="24"/>
                <w14:textFill>
                  <w14:solidFill>
                    <w14:schemeClr w14:val="tx1"/>
                  </w14:solidFill>
                </w14:textFill>
              </w:rPr>
              <w:t>程的建设对生态保护红线的影响主要表现在施工期，项目采用架空方式穿越生态红线区，无永久占地，施工范围较小，对生态保护红线影响较小。</w:t>
            </w:r>
          </w:p>
          <w:p w14:paraId="1ED18C1D">
            <w:pPr>
              <w:adjustRightInd w:val="0"/>
              <w:snapToGrid w:val="0"/>
              <w:spacing w:line="440" w:lineRule="exact"/>
              <w:ind w:firstLine="480" w:firstLineChars="200"/>
              <w:rPr>
                <w:bCs/>
                <w:color w:val="000000" w:themeColor="text1"/>
                <w:sz w:val="24"/>
                <w14:textFill>
                  <w14:solidFill>
                    <w14:schemeClr w14:val="tx1"/>
                  </w14:solidFill>
                </w14:textFill>
              </w:rPr>
            </w:pPr>
            <w:r>
              <w:rPr>
                <w:rFonts w:hint="eastAsia" w:cs="宋体"/>
                <w:bCs/>
                <w:color w:val="000000" w:themeColor="text1"/>
                <w:sz w:val="24"/>
                <w:lang w:bidi="ar"/>
                <w14:textFill>
                  <w14:solidFill>
                    <w14:schemeClr w14:val="tx1"/>
                  </w14:solidFill>
                </w14:textFill>
              </w:rPr>
              <w:t>总之，从生态影响的角度看，本工程建设和运行对区域生态环境影响不大，在可以接受的范围内。</w:t>
            </w:r>
          </w:p>
          <w:p w14:paraId="3D9099F2">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详细生态</w:t>
            </w:r>
            <w:r>
              <w:rPr>
                <w:rFonts w:hint="eastAsia" w:cs="宋体"/>
                <w:bCs/>
                <w:color w:val="000000" w:themeColor="text1"/>
                <w:sz w:val="24"/>
                <w:lang w:bidi="ar"/>
                <w14:textFill>
                  <w14:solidFill>
                    <w14:schemeClr w14:val="tx1"/>
                  </w14:solidFill>
                </w14:textFill>
              </w:rPr>
              <w:t>环境</w:t>
            </w:r>
            <w:r>
              <w:rPr>
                <w:rFonts w:hint="eastAsia" w:cs="宋体"/>
                <w:color w:val="000000" w:themeColor="text1"/>
                <w:sz w:val="24"/>
                <w:lang w:bidi="ar"/>
                <w14:textFill>
                  <w14:solidFill>
                    <w14:schemeClr w14:val="tx1"/>
                  </w14:solidFill>
                </w14:textFill>
              </w:rPr>
              <w:t>影响分析内容详见本项目生态环境影响专题评价。</w:t>
            </w:r>
          </w:p>
          <w:p w14:paraId="45C42282">
            <w:pPr>
              <w:adjustRightInd w:val="0"/>
              <w:snapToGrid w:val="0"/>
              <w:spacing w:line="440" w:lineRule="exact"/>
              <w:rPr>
                <w:b/>
                <w:color w:val="000000" w:themeColor="text1"/>
                <w:kern w:val="0"/>
                <w:sz w:val="24"/>
                <w14:textFill>
                  <w14:solidFill>
                    <w14:schemeClr w14:val="tx1"/>
                  </w14:solidFill>
                </w14:textFill>
              </w:rPr>
            </w:pPr>
            <w:r>
              <w:rPr>
                <w:b/>
                <w:color w:val="000000" w:themeColor="text1"/>
                <w:kern w:val="0"/>
                <w:sz w:val="24"/>
                <w:lang w:bidi="ar"/>
                <w14:textFill>
                  <w14:solidFill>
                    <w14:schemeClr w14:val="tx1"/>
                  </w14:solidFill>
                </w14:textFill>
              </w:rPr>
              <w:t xml:space="preserve">1.2 </w:t>
            </w:r>
            <w:r>
              <w:rPr>
                <w:rFonts w:hint="eastAsia" w:cs="宋体"/>
                <w:b/>
                <w:color w:val="000000" w:themeColor="text1"/>
                <w:kern w:val="0"/>
                <w:sz w:val="24"/>
                <w:lang w:bidi="ar"/>
                <w14:textFill>
                  <w14:solidFill>
                    <w14:schemeClr w14:val="tx1"/>
                  </w14:solidFill>
                </w14:textFill>
              </w:rPr>
              <w:t>水土流失影响结论</w:t>
            </w:r>
          </w:p>
          <w:p w14:paraId="003D5AD7">
            <w:pPr>
              <w:adjustRightInd w:val="0"/>
              <w:snapToGrid w:val="0"/>
              <w:spacing w:line="440" w:lineRule="exact"/>
              <w:ind w:firstLine="480" w:firstLineChars="200"/>
              <w:rPr>
                <w:rFonts w:cs="宋体"/>
                <w:bCs/>
                <w:color w:val="000000" w:themeColor="text1"/>
                <w:sz w:val="24"/>
                <w:lang w:bidi="ar"/>
                <w14:textFill>
                  <w14:solidFill>
                    <w14:schemeClr w14:val="tx1"/>
                  </w14:solidFill>
                </w14:textFill>
              </w:rPr>
            </w:pPr>
            <w:r>
              <w:rPr>
                <w:rFonts w:hint="eastAsia" w:cs="宋体"/>
                <w:bCs/>
                <w:color w:val="000000" w:themeColor="text1"/>
                <w:sz w:val="24"/>
                <w:lang w:bidi="ar"/>
                <w14:textFill>
                  <w14:solidFill>
                    <w14:schemeClr w14:val="tx1"/>
                  </w14:solidFill>
                </w14:textFill>
              </w:rPr>
              <w:t>本项目施工期可能导致水土流失的主要原因是降雨和地表开挖。项目所在地降雨量大部分集中在雨季，夏季暴雨较集中，降雨大，降雨时间长。这些气象条件可能会造成项目建设施工期的水土流失。</w:t>
            </w:r>
          </w:p>
          <w:p w14:paraId="20CA1661">
            <w:pPr>
              <w:adjustRightInd w:val="0"/>
              <w:snapToGrid w:val="0"/>
              <w:spacing w:line="440" w:lineRule="exact"/>
              <w:ind w:firstLine="480" w:firstLineChars="200"/>
              <w:rPr>
                <w:rFonts w:cs="宋体"/>
                <w:bCs/>
                <w:color w:val="000000" w:themeColor="text1"/>
                <w:sz w:val="24"/>
                <w:lang w:bidi="ar"/>
                <w14:textFill>
                  <w14:solidFill>
                    <w14:schemeClr w14:val="tx1"/>
                  </w14:solidFill>
                </w14:textFill>
              </w:rPr>
            </w:pPr>
            <w:r>
              <w:rPr>
                <w:rFonts w:hint="eastAsia" w:cs="宋体"/>
                <w:bCs/>
                <w:color w:val="000000" w:themeColor="text1"/>
                <w:sz w:val="24"/>
                <w:lang w:bidi="ar"/>
                <w14:textFill>
                  <w14:solidFill>
                    <w14:schemeClr w14:val="tx1"/>
                  </w14:solidFill>
                </w14:textFill>
              </w:rPr>
              <w:t>在施工过程中土壤暴露在雨、风和其它干扰之中，另外，部分的土方填挖、陡坡、边坡的形成和整理，会使土壤暴露情况加剧。同时，施工中土壤结构会受到破坏，土壤抵抗侵蚀的能力将会大大减弱，在暴雨中由降雨所产生的土壤侵蚀，可能造成项目建设过程中的水土流失。</w:t>
            </w:r>
          </w:p>
          <w:p w14:paraId="1157B4E5">
            <w:pPr>
              <w:adjustRightInd w:val="0"/>
              <w:snapToGrid w:val="0"/>
              <w:spacing w:line="440" w:lineRule="exact"/>
              <w:ind w:firstLine="480" w:firstLineChars="200"/>
              <w:rPr>
                <w:rFonts w:cs="宋体"/>
                <w:bCs/>
                <w:color w:val="000000" w:themeColor="text1"/>
                <w:sz w:val="24"/>
                <w:lang w:bidi="ar"/>
                <w14:textFill>
                  <w14:solidFill>
                    <w14:schemeClr w14:val="tx1"/>
                  </w14:solidFill>
                </w14:textFill>
              </w:rPr>
            </w:pPr>
            <w:r>
              <w:rPr>
                <w:rFonts w:hint="eastAsia" w:cs="宋体"/>
                <w:bCs/>
                <w:color w:val="000000" w:themeColor="text1"/>
                <w:sz w:val="24"/>
                <w:lang w:bidi="ar"/>
                <w14:textFill>
                  <w14:solidFill>
                    <w14:schemeClr w14:val="tx1"/>
                  </w14:solidFill>
                </w14:textFill>
              </w:rPr>
              <w:t>项目建设期间架空线路塔基开挖等工程的施工可能在挖土方处会产生水土流失的现象，将对当地生态环境造成一定影响。工程施工过程中，应对挖方等临时堆土采用苫布遮盖、采取编织袋装土堆砌成护坡等方式减少水土流失。针对表层的耕植土采取剥离防护措施，利用表土恢复原地貌，利于植被的恢复生长，减少施工带来的不利影响。</w:t>
            </w:r>
          </w:p>
          <w:p w14:paraId="778B9B1B">
            <w:pPr>
              <w:adjustRightInd w:val="0"/>
              <w:snapToGrid w:val="0"/>
              <w:spacing w:line="440" w:lineRule="exact"/>
              <w:ind w:firstLine="480" w:firstLineChars="200"/>
              <w:rPr>
                <w:bCs/>
                <w:color w:val="000000" w:themeColor="text1"/>
                <w:sz w:val="24"/>
                <w:highlight w:val="yellow"/>
                <w14:textFill>
                  <w14:solidFill>
                    <w14:schemeClr w14:val="tx1"/>
                  </w14:solidFill>
                </w14:textFill>
              </w:rPr>
            </w:pPr>
            <w:r>
              <w:rPr>
                <w:rFonts w:hint="eastAsia" w:cs="宋体"/>
                <w:bCs/>
                <w:color w:val="000000" w:themeColor="text1"/>
                <w:sz w:val="24"/>
                <w:lang w:bidi="ar"/>
                <w14:textFill>
                  <w14:solidFill>
                    <w14:schemeClr w14:val="tx1"/>
                  </w14:solidFill>
                </w14:textFill>
              </w:rPr>
              <w:t>综上所述，工程施工期对生态环境的影响主要表现在建设中施工扬尘、机械噪声，泥浆废水等对周边环境的影响及进出线路的架设对生态环境产生一定影响，但通过采取适当的环境保护措施后，项目施工期对环境影响较小。</w:t>
            </w:r>
          </w:p>
          <w:p w14:paraId="585094A1">
            <w:pPr>
              <w:adjustRightInd w:val="0"/>
              <w:snapToGrid w:val="0"/>
              <w:spacing w:line="440" w:lineRule="exact"/>
              <w:rPr>
                <w:b/>
                <w:bCs/>
                <w:color w:val="000000" w:themeColor="text1"/>
                <w:sz w:val="24"/>
                <w14:textFill>
                  <w14:solidFill>
                    <w14:schemeClr w14:val="tx1"/>
                  </w14:solidFill>
                </w14:textFill>
              </w:rPr>
            </w:pPr>
            <w:r>
              <w:rPr>
                <w:b/>
                <w:bCs/>
                <w:color w:val="000000" w:themeColor="text1"/>
                <w:sz w:val="24"/>
                <w:lang w:bidi="ar"/>
                <w14:textFill>
                  <w14:solidFill>
                    <w14:schemeClr w14:val="tx1"/>
                  </w14:solidFill>
                </w14:textFill>
              </w:rPr>
              <w:t xml:space="preserve">2 </w:t>
            </w:r>
            <w:r>
              <w:rPr>
                <w:rFonts w:hint="eastAsia" w:cs="宋体"/>
                <w:b/>
                <w:bCs/>
                <w:color w:val="000000" w:themeColor="text1"/>
                <w:sz w:val="24"/>
                <w:lang w:bidi="ar"/>
                <w14:textFill>
                  <w14:solidFill>
                    <w14:schemeClr w14:val="tx1"/>
                  </w14:solidFill>
                </w14:textFill>
              </w:rPr>
              <w:t>地表水环境影响分析</w:t>
            </w:r>
          </w:p>
          <w:p w14:paraId="220B6999">
            <w:pPr>
              <w:adjustRightInd w:val="0"/>
              <w:snapToGrid w:val="0"/>
              <w:spacing w:line="440" w:lineRule="exact"/>
              <w:ind w:firstLine="480" w:firstLineChars="200"/>
              <w:rPr>
                <w:bCs/>
                <w:color w:val="000000" w:themeColor="text1"/>
                <w:sz w:val="24"/>
                <w14:textFill>
                  <w14:solidFill>
                    <w14:schemeClr w14:val="tx1"/>
                  </w14:solidFill>
                </w14:textFill>
              </w:rPr>
            </w:pPr>
            <w:r>
              <w:rPr>
                <w:rFonts w:hint="eastAsia" w:cs="宋体"/>
                <w:bCs/>
                <w:color w:val="000000" w:themeColor="text1"/>
                <w:sz w:val="24"/>
                <w:lang w:bidi="ar"/>
                <w14:textFill>
                  <w14:solidFill>
                    <w14:schemeClr w14:val="tx1"/>
                  </w14:solidFill>
                </w14:textFill>
              </w:rPr>
              <w:t>（</w:t>
            </w:r>
            <w:r>
              <w:rPr>
                <w:bCs/>
                <w:color w:val="000000" w:themeColor="text1"/>
                <w:sz w:val="24"/>
                <w:lang w:bidi="ar"/>
                <w14:textFill>
                  <w14:solidFill>
                    <w14:schemeClr w14:val="tx1"/>
                  </w14:solidFill>
                </w14:textFill>
              </w:rPr>
              <w:t>1</w:t>
            </w:r>
            <w:r>
              <w:rPr>
                <w:rFonts w:hint="eastAsia" w:cs="宋体"/>
                <w:bCs/>
                <w:color w:val="000000" w:themeColor="text1"/>
                <w:sz w:val="24"/>
                <w:lang w:bidi="ar"/>
                <w14:textFill>
                  <w14:solidFill>
                    <w14:schemeClr w14:val="tx1"/>
                  </w14:solidFill>
                </w14:textFill>
              </w:rPr>
              <w:t>）施工期生活污水影响分析</w:t>
            </w:r>
          </w:p>
          <w:p w14:paraId="00B7CD75">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kern w:val="0"/>
                <w:sz w:val="24"/>
                <w:lang w:bidi="ar"/>
                <w14:textFill>
                  <w14:solidFill>
                    <w14:schemeClr w14:val="tx1"/>
                  </w14:solidFill>
                </w14:textFill>
              </w:rPr>
              <w:t>项目施工期的施工人员高峰人数约</w:t>
            </w:r>
            <w:r>
              <w:rPr>
                <w:rFonts w:hint="eastAsia"/>
                <w:color w:val="000000" w:themeColor="text1"/>
                <w:kern w:val="0"/>
                <w:sz w:val="24"/>
                <w:lang w:bidi="ar"/>
                <w14:textFill>
                  <w14:solidFill>
                    <w14:schemeClr w14:val="tx1"/>
                  </w14:solidFill>
                </w14:textFill>
              </w:rPr>
              <w:t>180</w:t>
            </w:r>
            <w:r>
              <w:rPr>
                <w:rFonts w:hint="eastAsia" w:cs="宋体"/>
                <w:color w:val="000000" w:themeColor="text1"/>
                <w:kern w:val="0"/>
                <w:sz w:val="24"/>
                <w:lang w:bidi="ar"/>
                <w14:textFill>
                  <w14:solidFill>
                    <w14:schemeClr w14:val="tx1"/>
                  </w14:solidFill>
                </w14:textFill>
              </w:rPr>
              <w:t>人。施工生产生活区设计临时防渗旱厕，根据《生活与服务业用水定额第1部分：居民生活》（DB13/T5450.1－2021），生活用水取</w:t>
            </w:r>
            <w:r>
              <w:rPr>
                <w:color w:val="000000" w:themeColor="text1"/>
                <w:kern w:val="0"/>
                <w:sz w:val="24"/>
                <w:lang w:bidi="ar"/>
                <w14:textFill>
                  <w14:solidFill>
                    <w14:schemeClr w14:val="tx1"/>
                  </w14:solidFill>
                </w14:textFill>
              </w:rPr>
              <w:t>20L/</w:t>
            </w:r>
            <w:r>
              <w:rPr>
                <w:rFonts w:hint="eastAsia" w:cs="宋体"/>
                <w:color w:val="000000" w:themeColor="text1"/>
                <w:kern w:val="0"/>
                <w:sz w:val="24"/>
                <w:lang w:bidi="ar"/>
                <w14:textFill>
                  <w14:solidFill>
                    <w14:schemeClr w14:val="tx1"/>
                  </w14:solidFill>
                </w14:textFill>
              </w:rPr>
              <w:t>人</w:t>
            </w:r>
            <w:r>
              <w:rPr>
                <w:color w:val="000000" w:themeColor="text1"/>
                <w:kern w:val="0"/>
                <w:sz w:val="24"/>
                <w:lang w:bidi="ar"/>
                <w14:textFill>
                  <w14:solidFill>
                    <w14:schemeClr w14:val="tx1"/>
                  </w14:solidFill>
                </w14:textFill>
              </w:rPr>
              <w:t>·d</w:t>
            </w:r>
            <w:r>
              <w:rPr>
                <w:rFonts w:hint="eastAsia" w:cs="宋体"/>
                <w:color w:val="000000" w:themeColor="text1"/>
                <w:kern w:val="0"/>
                <w:sz w:val="24"/>
                <w:lang w:bidi="ar"/>
                <w14:textFill>
                  <w14:solidFill>
                    <w14:schemeClr w14:val="tx1"/>
                  </w14:solidFill>
                </w14:textFill>
              </w:rPr>
              <w:t>，则施工期施工临时场地办公生活用水量为</w:t>
            </w:r>
            <w:r>
              <w:rPr>
                <w:rFonts w:hint="eastAsia"/>
                <w:color w:val="000000" w:themeColor="text1"/>
                <w:kern w:val="0"/>
                <w:sz w:val="24"/>
                <w:lang w:bidi="ar"/>
                <w14:textFill>
                  <w14:solidFill>
                    <w14:schemeClr w14:val="tx1"/>
                  </w14:solidFill>
                </w14:textFill>
              </w:rPr>
              <w:t>3.6</w:t>
            </w:r>
            <w:r>
              <w:rPr>
                <w:color w:val="000000" w:themeColor="text1"/>
                <w:kern w:val="0"/>
                <w:sz w:val="24"/>
                <w:lang w:bidi="ar"/>
                <w14:textFill>
                  <w14:solidFill>
                    <w14:schemeClr w14:val="tx1"/>
                  </w14:solidFill>
                </w14:textFill>
              </w:rPr>
              <w:t>m</w:t>
            </w:r>
            <w:r>
              <w:rPr>
                <w:color w:val="000000" w:themeColor="text1"/>
                <w:kern w:val="0"/>
                <w:sz w:val="24"/>
                <w:vertAlign w:val="superscript"/>
                <w:lang w:bidi="ar"/>
                <w14:textFill>
                  <w14:solidFill>
                    <w14:schemeClr w14:val="tx1"/>
                  </w14:solidFill>
                </w14:textFill>
              </w:rPr>
              <w:t>3</w:t>
            </w:r>
            <w:r>
              <w:rPr>
                <w:color w:val="000000" w:themeColor="text1"/>
                <w:kern w:val="0"/>
                <w:sz w:val="24"/>
                <w:lang w:bidi="ar"/>
                <w14:textFill>
                  <w14:solidFill>
                    <w14:schemeClr w14:val="tx1"/>
                  </w14:solidFill>
                </w14:textFill>
              </w:rPr>
              <w:t>/d</w:t>
            </w:r>
            <w:r>
              <w:rPr>
                <w:rFonts w:hint="eastAsia" w:cs="宋体"/>
                <w:color w:val="000000" w:themeColor="text1"/>
                <w:kern w:val="0"/>
                <w:sz w:val="24"/>
                <w:lang w:bidi="ar"/>
                <w14:textFill>
                  <w14:solidFill>
                    <w14:schemeClr w14:val="tx1"/>
                  </w14:solidFill>
                </w14:textFill>
              </w:rPr>
              <w:t>，</w:t>
            </w:r>
            <w:r>
              <w:rPr>
                <w:rFonts w:hint="eastAsia" w:cs="宋体"/>
                <w:color w:val="000000" w:themeColor="text1"/>
                <w:sz w:val="24"/>
                <w:lang w:bidi="ar"/>
                <w14:textFill>
                  <w14:solidFill>
                    <w14:schemeClr w14:val="tx1"/>
                  </w14:solidFill>
                </w14:textFill>
              </w:rPr>
              <w:t>生活污水的产生率按用水量的</w:t>
            </w:r>
            <w:r>
              <w:rPr>
                <w:color w:val="000000" w:themeColor="text1"/>
                <w:sz w:val="24"/>
                <w:lang w:bidi="ar"/>
                <w14:textFill>
                  <w14:solidFill>
                    <w14:schemeClr w14:val="tx1"/>
                  </w14:solidFill>
                </w14:textFill>
              </w:rPr>
              <w:t>80%</w:t>
            </w:r>
            <w:r>
              <w:rPr>
                <w:rFonts w:hint="eastAsia" w:cs="宋体"/>
                <w:color w:val="000000" w:themeColor="text1"/>
                <w:sz w:val="24"/>
                <w:lang w:bidi="ar"/>
                <w14:textFill>
                  <w14:solidFill>
                    <w14:schemeClr w14:val="tx1"/>
                  </w14:solidFill>
                </w14:textFill>
              </w:rPr>
              <w:t>计算，则</w:t>
            </w:r>
            <w:r>
              <w:rPr>
                <w:rFonts w:hint="eastAsia" w:cs="宋体"/>
                <w:color w:val="000000" w:themeColor="text1"/>
                <w:kern w:val="0"/>
                <w:sz w:val="24"/>
                <w:lang w:bidi="ar"/>
                <w14:textFill>
                  <w14:solidFill>
                    <w14:schemeClr w14:val="tx1"/>
                  </w14:solidFill>
                </w14:textFill>
              </w:rPr>
              <w:t>施工临时场地</w:t>
            </w:r>
            <w:r>
              <w:rPr>
                <w:rFonts w:hint="eastAsia" w:cs="宋体"/>
                <w:color w:val="000000" w:themeColor="text1"/>
                <w:sz w:val="24"/>
                <w:lang w:bidi="ar"/>
                <w14:textFill>
                  <w14:solidFill>
                    <w14:schemeClr w14:val="tx1"/>
                  </w14:solidFill>
                </w14:textFill>
              </w:rPr>
              <w:t>生活污水产生量约为2.88</w:t>
            </w:r>
            <w:r>
              <w:rPr>
                <w:color w:val="000000" w:themeColor="text1"/>
                <w:sz w:val="24"/>
                <w:lang w:bidi="ar"/>
                <w14:textFill>
                  <w14:solidFill>
                    <w14:schemeClr w14:val="tx1"/>
                  </w14:solidFill>
                </w14:textFill>
              </w:rPr>
              <w:t>m</w:t>
            </w:r>
            <w:r>
              <w:rPr>
                <w:color w:val="000000" w:themeColor="text1"/>
                <w:sz w:val="24"/>
                <w:vertAlign w:val="superscript"/>
                <w:lang w:bidi="ar"/>
                <w14:textFill>
                  <w14:solidFill>
                    <w14:schemeClr w14:val="tx1"/>
                  </w14:solidFill>
                </w14:textFill>
              </w:rPr>
              <w:t>3</w:t>
            </w:r>
            <w:r>
              <w:rPr>
                <w:color w:val="000000" w:themeColor="text1"/>
                <w:sz w:val="24"/>
                <w:lang w:bidi="ar"/>
                <w14:textFill>
                  <w14:solidFill>
                    <w14:schemeClr w14:val="tx1"/>
                  </w14:solidFill>
                </w14:textFill>
              </w:rPr>
              <w:t>/d</w:t>
            </w:r>
            <w:r>
              <w:rPr>
                <w:rFonts w:hint="eastAsia" w:cs="宋体"/>
                <w:color w:val="000000" w:themeColor="text1"/>
                <w:sz w:val="24"/>
                <w:lang w:bidi="ar"/>
                <w14:textFill>
                  <w14:solidFill>
                    <w14:schemeClr w14:val="tx1"/>
                  </w14:solidFill>
                </w14:textFill>
              </w:rPr>
              <w:t>，生活污水中的主要污染物有</w:t>
            </w:r>
            <w:r>
              <w:rPr>
                <w:color w:val="000000" w:themeColor="text1"/>
                <w:sz w:val="24"/>
                <w:lang w:bidi="ar"/>
                <w14:textFill>
                  <w14:solidFill>
                    <w14:schemeClr w14:val="tx1"/>
                  </w14:solidFill>
                </w14:textFill>
              </w:rPr>
              <w:t>COD</w:t>
            </w:r>
            <w:r>
              <w:rPr>
                <w:color w:val="000000" w:themeColor="text1"/>
                <w:sz w:val="24"/>
                <w:vertAlign w:val="subscript"/>
                <w:lang w:bidi="ar"/>
                <w14:textFill>
                  <w14:solidFill>
                    <w14:schemeClr w14:val="tx1"/>
                  </w14:solidFill>
                </w14:textFill>
              </w:rPr>
              <w:t>Cr</w:t>
            </w: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BOD</w:t>
            </w:r>
            <w:r>
              <w:rPr>
                <w:color w:val="000000" w:themeColor="text1"/>
                <w:sz w:val="24"/>
                <w:vertAlign w:val="subscript"/>
                <w:lang w:bidi="ar"/>
                <w14:textFill>
                  <w14:solidFill>
                    <w14:schemeClr w14:val="tx1"/>
                  </w14:solidFill>
                </w14:textFill>
              </w:rPr>
              <w:t>5</w:t>
            </w: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NH</w:t>
            </w:r>
            <w:r>
              <w:rPr>
                <w:color w:val="000000" w:themeColor="text1"/>
                <w:sz w:val="24"/>
                <w:vertAlign w:val="subscript"/>
                <w:lang w:bidi="ar"/>
                <w14:textFill>
                  <w14:solidFill>
                    <w14:schemeClr w14:val="tx1"/>
                  </w14:solidFill>
                </w14:textFill>
              </w:rPr>
              <w:t>3</w:t>
            </w:r>
            <w:r>
              <w:rPr>
                <w:color w:val="000000" w:themeColor="text1"/>
                <w:sz w:val="24"/>
                <w:lang w:bidi="ar"/>
                <w14:textFill>
                  <w14:solidFill>
                    <w14:schemeClr w14:val="tx1"/>
                  </w14:solidFill>
                </w14:textFill>
              </w:rPr>
              <w:t>-N</w:t>
            </w: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SS</w:t>
            </w:r>
            <w:r>
              <w:rPr>
                <w:rFonts w:hint="eastAsia" w:cs="宋体"/>
                <w:color w:val="000000" w:themeColor="text1"/>
                <w:sz w:val="24"/>
                <w:lang w:bidi="ar"/>
                <w14:textFill>
                  <w14:solidFill>
                    <w14:schemeClr w14:val="tx1"/>
                  </w14:solidFill>
                </w14:textFill>
              </w:rPr>
              <w:t>、动植物油等，其浓度见表</w:t>
            </w:r>
            <w:r>
              <w:rPr>
                <w:color w:val="000000" w:themeColor="text1"/>
                <w:sz w:val="24"/>
                <w:lang w:bidi="ar"/>
                <w14:textFill>
                  <w14:solidFill>
                    <w14:schemeClr w14:val="tx1"/>
                  </w14:solidFill>
                </w14:textFill>
              </w:rPr>
              <w:t>4-</w:t>
            </w:r>
            <w:r>
              <w:rPr>
                <w:rFonts w:hint="eastAsia"/>
                <w:color w:val="000000" w:themeColor="text1"/>
                <w:sz w:val="24"/>
                <w:lang w:bidi="ar"/>
                <w14:textFill>
                  <w14:solidFill>
                    <w14:schemeClr w14:val="tx1"/>
                  </w14:solidFill>
                </w14:textFill>
              </w:rPr>
              <w:t>2</w:t>
            </w:r>
            <w:r>
              <w:rPr>
                <w:rFonts w:hint="eastAsia" w:cs="宋体"/>
                <w:color w:val="000000" w:themeColor="text1"/>
                <w:sz w:val="24"/>
                <w:lang w:bidi="ar"/>
                <w14:textFill>
                  <w14:solidFill>
                    <w14:schemeClr w14:val="tx1"/>
                  </w14:solidFill>
                </w14:textFill>
              </w:rPr>
              <w:t>。</w:t>
            </w:r>
          </w:p>
          <w:p w14:paraId="05D4F119">
            <w:pPr>
              <w:adjustRightInd w:val="0"/>
              <w:snapToGrid w:val="0"/>
              <w:spacing w:line="440" w:lineRule="exact"/>
              <w:ind w:firstLine="482" w:firstLineChars="200"/>
              <w:rPr>
                <w:b/>
                <w:color w:val="000000" w:themeColor="text1"/>
                <w:sz w:val="24"/>
                <w14:textFill>
                  <w14:solidFill>
                    <w14:schemeClr w14:val="tx1"/>
                  </w14:solidFill>
                </w14:textFill>
              </w:rPr>
            </w:pPr>
            <w:r>
              <w:rPr>
                <w:rFonts w:hint="eastAsia" w:cs="宋体"/>
                <w:b/>
                <w:color w:val="000000" w:themeColor="text1"/>
                <w:sz w:val="24"/>
                <w:lang w:bidi="ar"/>
                <w14:textFill>
                  <w14:solidFill>
                    <w14:schemeClr w14:val="tx1"/>
                  </w14:solidFill>
                </w14:textFill>
              </w:rPr>
              <w:t>表</w:t>
            </w:r>
            <w:r>
              <w:rPr>
                <w:b/>
                <w:color w:val="000000" w:themeColor="text1"/>
                <w:sz w:val="24"/>
                <w:lang w:bidi="ar"/>
                <w14:textFill>
                  <w14:solidFill>
                    <w14:schemeClr w14:val="tx1"/>
                  </w14:solidFill>
                </w14:textFill>
              </w:rPr>
              <w:t>4-</w:t>
            </w:r>
            <w:r>
              <w:rPr>
                <w:rFonts w:hint="eastAsia"/>
                <w:b/>
                <w:color w:val="000000" w:themeColor="text1"/>
                <w:sz w:val="24"/>
                <w:lang w:bidi="ar"/>
                <w14:textFill>
                  <w14:solidFill>
                    <w14:schemeClr w14:val="tx1"/>
                  </w14:solidFill>
                </w14:textFill>
              </w:rPr>
              <w:t xml:space="preserve">2 </w:t>
            </w:r>
            <w:r>
              <w:rPr>
                <w:b/>
                <w:color w:val="000000" w:themeColor="text1"/>
                <w:sz w:val="24"/>
                <w:lang w:bidi="ar"/>
                <w14:textFill>
                  <w14:solidFill>
                    <w14:schemeClr w14:val="tx1"/>
                  </w14:solidFill>
                </w14:textFill>
              </w:rPr>
              <w:t xml:space="preserve">   </w:t>
            </w:r>
            <w:r>
              <w:rPr>
                <w:rFonts w:hint="eastAsia" w:cs="宋体"/>
                <w:b/>
                <w:color w:val="000000" w:themeColor="text1"/>
                <w:sz w:val="24"/>
                <w:lang w:bidi="ar"/>
                <w14:textFill>
                  <w14:solidFill>
                    <w14:schemeClr w14:val="tx1"/>
                  </w14:solidFill>
                </w14:textFill>
              </w:rPr>
              <w:t>施工生活污水水质情况</w:t>
            </w:r>
          </w:p>
          <w:tbl>
            <w:tblPr>
              <w:tblStyle w:val="6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7"/>
              <w:gridCol w:w="1179"/>
              <w:gridCol w:w="1075"/>
              <w:gridCol w:w="1194"/>
              <w:gridCol w:w="860"/>
              <w:gridCol w:w="1555"/>
            </w:tblGrid>
            <w:tr w14:paraId="46AB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4A7C8CCD">
                  <w:pPr>
                    <w:widowControl/>
                    <w:spacing w:line="360" w:lineRule="exact"/>
                    <w:jc w:val="center"/>
                    <w:textAlignment w:val="center"/>
                    <w:rPr>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主要污染物</w:t>
                  </w: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28265045">
                  <w:pPr>
                    <w:widowControl/>
                    <w:spacing w:line="3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COD</w:t>
                  </w:r>
                  <w:r>
                    <w:rPr>
                      <w:color w:val="000000" w:themeColor="text1"/>
                      <w:kern w:val="0"/>
                      <w:szCs w:val="21"/>
                      <w:vertAlign w:val="subscript"/>
                      <w:lang w:bidi="ar"/>
                      <w14:textFill>
                        <w14:solidFill>
                          <w14:schemeClr w14:val="tx1"/>
                        </w14:solidFill>
                      </w14:textFill>
                    </w:rPr>
                    <w:t>Cr</w:t>
                  </w:r>
                </w:p>
              </w:tc>
              <w:tc>
                <w:tcPr>
                  <w:tcW w:w="649" w:type="pct"/>
                  <w:tcBorders>
                    <w:top w:val="single" w:color="auto" w:sz="4" w:space="0"/>
                    <w:left w:val="single" w:color="auto" w:sz="4" w:space="0"/>
                    <w:bottom w:val="single" w:color="auto" w:sz="4" w:space="0"/>
                    <w:right w:val="single" w:color="auto" w:sz="4" w:space="0"/>
                  </w:tcBorders>
                  <w:shd w:val="clear" w:color="auto" w:fill="auto"/>
                  <w:vAlign w:val="center"/>
                </w:tcPr>
                <w:p w14:paraId="0A39EE2F">
                  <w:pPr>
                    <w:widowControl/>
                    <w:spacing w:line="3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BOD</w:t>
                  </w:r>
                  <w:r>
                    <w:rPr>
                      <w:color w:val="000000" w:themeColor="text1"/>
                      <w:kern w:val="0"/>
                      <w:szCs w:val="21"/>
                      <w:vertAlign w:val="subscript"/>
                      <w:lang w:bidi="ar"/>
                      <w14:textFill>
                        <w14:solidFill>
                          <w14:schemeClr w14:val="tx1"/>
                        </w14:solidFill>
                      </w14:textFill>
                    </w:rPr>
                    <w:t>5</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16CEE34F">
                  <w:pPr>
                    <w:widowControl/>
                    <w:spacing w:line="3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NH</w:t>
                  </w:r>
                  <w:r>
                    <w:rPr>
                      <w:color w:val="000000" w:themeColor="text1"/>
                      <w:kern w:val="0"/>
                      <w:szCs w:val="21"/>
                      <w:vertAlign w:val="subscript"/>
                      <w:lang w:bidi="ar"/>
                      <w14:textFill>
                        <w14:solidFill>
                          <w14:schemeClr w14:val="tx1"/>
                        </w14:solidFill>
                      </w14:textFill>
                    </w:rPr>
                    <w:t>3</w:t>
                  </w:r>
                  <w:r>
                    <w:rPr>
                      <w:color w:val="000000" w:themeColor="text1"/>
                      <w:kern w:val="0"/>
                      <w:szCs w:val="21"/>
                      <w:lang w:bidi="ar"/>
                      <w14:textFill>
                        <w14:solidFill>
                          <w14:schemeClr w14:val="tx1"/>
                        </w14:solidFill>
                      </w14:textFill>
                    </w:rPr>
                    <w:t>-N</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14:paraId="27A77A87">
                  <w:pPr>
                    <w:widowControl/>
                    <w:spacing w:line="3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SS</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14:paraId="3EECA6F8">
                  <w:pPr>
                    <w:widowControl/>
                    <w:spacing w:line="360" w:lineRule="exact"/>
                    <w:jc w:val="center"/>
                    <w:textAlignment w:val="center"/>
                    <w:rPr>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动植物油</w:t>
                  </w:r>
                </w:p>
              </w:tc>
            </w:tr>
            <w:tr w14:paraId="6013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73475660">
                  <w:pPr>
                    <w:widowControl/>
                    <w:spacing w:line="360" w:lineRule="exact"/>
                    <w:jc w:val="center"/>
                    <w:textAlignment w:val="center"/>
                    <w:rPr>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浓度（</w:t>
                  </w:r>
                  <w:r>
                    <w:rPr>
                      <w:color w:val="000000" w:themeColor="text1"/>
                      <w:kern w:val="0"/>
                      <w:szCs w:val="21"/>
                      <w:lang w:bidi="ar"/>
                      <w14:textFill>
                        <w14:solidFill>
                          <w14:schemeClr w14:val="tx1"/>
                        </w14:solidFill>
                      </w14:textFill>
                    </w:rPr>
                    <w:t>mg/L</w:t>
                  </w:r>
                  <w:r>
                    <w:rPr>
                      <w:rFonts w:hint="eastAsia" w:cs="宋体"/>
                      <w:color w:val="000000" w:themeColor="text1"/>
                      <w:kern w:val="0"/>
                      <w:szCs w:val="21"/>
                      <w:lang w:bidi="ar"/>
                      <w14:textFill>
                        <w14:solidFill>
                          <w14:schemeClr w14:val="tx1"/>
                        </w14:solidFill>
                      </w14:textFill>
                    </w:rPr>
                    <w:t>）</w:t>
                  </w: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269DE15E">
                  <w:pPr>
                    <w:widowControl/>
                    <w:spacing w:line="3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500</w:t>
                  </w:r>
                </w:p>
              </w:tc>
              <w:tc>
                <w:tcPr>
                  <w:tcW w:w="649" w:type="pct"/>
                  <w:tcBorders>
                    <w:top w:val="single" w:color="auto" w:sz="4" w:space="0"/>
                    <w:left w:val="single" w:color="auto" w:sz="4" w:space="0"/>
                    <w:bottom w:val="single" w:color="auto" w:sz="4" w:space="0"/>
                    <w:right w:val="single" w:color="auto" w:sz="4" w:space="0"/>
                  </w:tcBorders>
                  <w:shd w:val="clear" w:color="auto" w:fill="auto"/>
                  <w:vAlign w:val="center"/>
                </w:tcPr>
                <w:p w14:paraId="0508237D">
                  <w:pPr>
                    <w:widowControl/>
                    <w:spacing w:line="3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220</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7516104E">
                  <w:pPr>
                    <w:widowControl/>
                    <w:spacing w:line="3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70</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14:paraId="71A06DFE">
                  <w:pPr>
                    <w:widowControl/>
                    <w:spacing w:line="3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300</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14:paraId="637D186D">
                  <w:pPr>
                    <w:widowControl/>
                    <w:spacing w:line="360" w:lineRule="exact"/>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20</w:t>
                  </w:r>
                </w:p>
              </w:tc>
            </w:tr>
            <w:tr w14:paraId="4FBA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59" w:type="pct"/>
                  <w:tcBorders>
                    <w:top w:val="single" w:color="auto" w:sz="4" w:space="0"/>
                    <w:left w:val="single" w:color="auto" w:sz="4" w:space="0"/>
                    <w:bottom w:val="single" w:color="auto" w:sz="4" w:space="0"/>
                    <w:right w:val="single" w:color="auto" w:sz="4" w:space="0"/>
                  </w:tcBorders>
                  <w:shd w:val="clear" w:color="auto" w:fill="auto"/>
                  <w:vAlign w:val="center"/>
                </w:tcPr>
                <w:p w14:paraId="207D6D90">
                  <w:pPr>
                    <w:widowControl/>
                    <w:spacing w:line="360" w:lineRule="exact"/>
                    <w:jc w:val="center"/>
                    <w:textAlignment w:val="center"/>
                    <w:rPr>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产生量（</w:t>
                  </w:r>
                  <w:r>
                    <w:rPr>
                      <w:color w:val="000000" w:themeColor="text1"/>
                      <w:kern w:val="0"/>
                      <w:szCs w:val="21"/>
                      <w:lang w:bidi="ar"/>
                      <w14:textFill>
                        <w14:solidFill>
                          <w14:schemeClr w14:val="tx1"/>
                        </w14:solidFill>
                      </w14:textFill>
                    </w:rPr>
                    <w:t>kg/d</w:t>
                  </w:r>
                  <w:r>
                    <w:rPr>
                      <w:rFonts w:hint="eastAsia" w:cs="宋体"/>
                      <w:color w:val="000000" w:themeColor="text1"/>
                      <w:kern w:val="0"/>
                      <w:szCs w:val="21"/>
                      <w:lang w:bidi="ar"/>
                      <w14:textFill>
                        <w14:solidFill>
                          <w14:schemeClr w14:val="tx1"/>
                        </w14:solidFill>
                      </w14:textFill>
                    </w:rPr>
                    <w:t>）</w:t>
                  </w: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4EBFA8AE">
                  <w:pPr>
                    <w:widowControl/>
                    <w:spacing w:line="36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1.44</w:t>
                  </w:r>
                </w:p>
              </w:tc>
              <w:tc>
                <w:tcPr>
                  <w:tcW w:w="649" w:type="pct"/>
                  <w:tcBorders>
                    <w:top w:val="single" w:color="auto" w:sz="4" w:space="0"/>
                    <w:left w:val="single" w:color="auto" w:sz="4" w:space="0"/>
                    <w:bottom w:val="single" w:color="auto" w:sz="4" w:space="0"/>
                    <w:right w:val="single" w:color="auto" w:sz="4" w:space="0"/>
                  </w:tcBorders>
                  <w:shd w:val="clear" w:color="auto" w:fill="auto"/>
                  <w:vAlign w:val="center"/>
                </w:tcPr>
                <w:p w14:paraId="3F8FD168">
                  <w:pPr>
                    <w:widowControl/>
                    <w:spacing w:line="36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0.634</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299CD4B7">
                  <w:pPr>
                    <w:widowControl/>
                    <w:spacing w:line="36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0.202</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14:paraId="04D89C7F">
                  <w:pPr>
                    <w:widowControl/>
                    <w:spacing w:line="36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0.864</w:t>
                  </w:r>
                </w:p>
              </w:tc>
              <w:tc>
                <w:tcPr>
                  <w:tcW w:w="939" w:type="pct"/>
                  <w:tcBorders>
                    <w:top w:val="single" w:color="auto" w:sz="4" w:space="0"/>
                    <w:left w:val="single" w:color="auto" w:sz="4" w:space="0"/>
                    <w:bottom w:val="single" w:color="auto" w:sz="4" w:space="0"/>
                    <w:right w:val="single" w:color="auto" w:sz="4" w:space="0"/>
                  </w:tcBorders>
                  <w:shd w:val="clear" w:color="auto" w:fill="auto"/>
                  <w:vAlign w:val="center"/>
                </w:tcPr>
                <w:p w14:paraId="0631A1F5">
                  <w:pPr>
                    <w:widowControl/>
                    <w:spacing w:line="360" w:lineRule="exact"/>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0.058</w:t>
                  </w:r>
                </w:p>
              </w:tc>
            </w:tr>
          </w:tbl>
          <w:p w14:paraId="4C327D07">
            <w:pPr>
              <w:adjustRightInd w:val="0"/>
              <w:snapToGrid w:val="0"/>
              <w:spacing w:line="440" w:lineRule="exact"/>
              <w:ind w:firstLine="480" w:firstLineChars="200"/>
              <w:rPr>
                <w:rFonts w:cs="宋体"/>
                <w:bCs/>
                <w:color w:val="000000" w:themeColor="text1"/>
                <w:sz w:val="24"/>
                <w:lang w:bidi="ar"/>
                <w14:textFill>
                  <w14:solidFill>
                    <w14:schemeClr w14:val="tx1"/>
                  </w14:solidFill>
                </w14:textFill>
              </w:rPr>
            </w:pPr>
            <w:r>
              <w:rPr>
                <w:rFonts w:hint="eastAsia" w:cs="宋体"/>
                <w:bCs/>
                <w:color w:val="000000" w:themeColor="text1"/>
                <w:sz w:val="24"/>
                <w:lang w:bidi="ar"/>
                <w14:textFill>
                  <w14:solidFill>
                    <w14:schemeClr w14:val="tx1"/>
                  </w14:solidFill>
                </w14:textFill>
              </w:rPr>
              <w:t>施工人员生活污水全部排入临时防渗旱厕，定期清掏，不外排，不会对当地水环境产生不良影响。</w:t>
            </w:r>
          </w:p>
          <w:p w14:paraId="7E5D8276">
            <w:pPr>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s="宋体"/>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2</w:t>
            </w:r>
            <w:r>
              <w:rPr>
                <w:rFonts w:hint="eastAsia" w:cs="宋体"/>
                <w:color w:val="000000" w:themeColor="text1"/>
                <w:kern w:val="0"/>
                <w:sz w:val="24"/>
                <w:lang w:bidi="ar"/>
                <w14:textFill>
                  <w14:solidFill>
                    <w14:schemeClr w14:val="tx1"/>
                  </w14:solidFill>
                </w14:textFill>
              </w:rPr>
              <w:t>）其他施工废水影响分析</w:t>
            </w:r>
          </w:p>
          <w:p w14:paraId="6A2ABF67">
            <w:pPr>
              <w:adjustRightInd w:val="0"/>
              <w:snapToGrid w:val="0"/>
              <w:spacing w:line="440" w:lineRule="exact"/>
              <w:ind w:firstLine="480" w:firstLineChars="200"/>
              <w:rPr>
                <w:color w:val="000000" w:themeColor="text1"/>
                <w:kern w:val="0"/>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根据区域水文地质资料，地下水埋藏很深，对光伏基础无影响，可不考虑地下水对施工的影响。因此，初步判定施工期基础开挖产生基坑涌水的可能性较小。其他施工废水</w:t>
            </w:r>
            <w:r>
              <w:rPr>
                <w:rFonts w:hint="eastAsia" w:cs="宋体"/>
                <w:color w:val="000000" w:themeColor="text1"/>
                <w:kern w:val="0"/>
                <w:sz w:val="24"/>
                <w:lang w:bidi="ar"/>
                <w14:textFill>
                  <w14:solidFill>
                    <w14:schemeClr w14:val="tx1"/>
                  </w14:solidFill>
                </w14:textFill>
              </w:rPr>
              <w:t>主要来自施工过程中的洗车废水和混凝土养护废水，废水量不大。施工废水主要污染物为泥沙、水泥等悬浮物，浓度一般</w:t>
            </w:r>
            <w:r>
              <w:rPr>
                <w:color w:val="000000" w:themeColor="text1"/>
                <w:kern w:val="0"/>
                <w:sz w:val="24"/>
                <w:lang w:bidi="ar"/>
                <w14:textFill>
                  <w14:solidFill>
                    <w14:schemeClr w14:val="tx1"/>
                  </w14:solidFill>
                </w14:textFill>
              </w:rPr>
              <w:t>800~2000mg/L</w:t>
            </w:r>
            <w:r>
              <w:rPr>
                <w:rFonts w:hint="eastAsia" w:cs="宋体"/>
                <w:color w:val="000000" w:themeColor="text1"/>
                <w:kern w:val="0"/>
                <w:sz w:val="24"/>
                <w:lang w:bidi="ar"/>
                <w14:textFill>
                  <w14:solidFill>
                    <w14:schemeClr w14:val="tx1"/>
                  </w14:solidFill>
                </w14:textFill>
              </w:rPr>
              <w:t>。施工废水采用沉淀池收集、澄清，全部回用于场地洒水降尘、车辆冲洗等施工环节，不外排。产生的废水均全部回用，废水能做到零排放，对周围地表水体水质影响较小。</w:t>
            </w:r>
          </w:p>
          <w:p w14:paraId="293E3C29">
            <w:pPr>
              <w:adjustRightInd w:val="0"/>
              <w:snapToGrid w:val="0"/>
              <w:spacing w:line="440" w:lineRule="exact"/>
              <w:ind w:firstLine="480" w:firstLineChars="200"/>
              <w:rPr>
                <w:rFonts w:cs="宋体"/>
                <w:bCs/>
                <w:color w:val="000000" w:themeColor="text1"/>
                <w:sz w:val="24"/>
                <w:lang w:bidi="ar"/>
                <w14:textFill>
                  <w14:solidFill>
                    <w14:schemeClr w14:val="tx1"/>
                  </w14:solidFill>
                </w14:textFill>
              </w:rPr>
            </w:pPr>
            <w:r>
              <w:rPr>
                <w:rFonts w:hint="eastAsia" w:cs="宋体"/>
                <w:bCs/>
                <w:color w:val="000000" w:themeColor="text1"/>
                <w:sz w:val="24"/>
                <w:lang w:bidi="ar"/>
                <w14:textFill>
                  <w14:solidFill>
                    <w14:schemeClr w14:val="tx1"/>
                  </w14:solidFill>
                </w14:textFill>
              </w:rPr>
              <w:t>（</w:t>
            </w:r>
            <w:r>
              <w:rPr>
                <w:rFonts w:cs="宋体"/>
                <w:bCs/>
                <w:color w:val="000000" w:themeColor="text1"/>
                <w:sz w:val="24"/>
                <w:lang w:bidi="ar"/>
                <w14:textFill>
                  <w14:solidFill>
                    <w14:schemeClr w14:val="tx1"/>
                  </w14:solidFill>
                </w14:textFill>
              </w:rPr>
              <w:t>3</w:t>
            </w:r>
            <w:r>
              <w:rPr>
                <w:rFonts w:hint="eastAsia" w:cs="宋体"/>
                <w:bCs/>
                <w:color w:val="000000" w:themeColor="text1"/>
                <w:sz w:val="24"/>
                <w:lang w:bidi="ar"/>
                <w14:textFill>
                  <w14:solidFill>
                    <w14:schemeClr w14:val="tx1"/>
                  </w14:solidFill>
                </w14:textFill>
              </w:rPr>
              <w:t>）初期雨水</w:t>
            </w:r>
          </w:p>
          <w:p w14:paraId="711AAE07">
            <w:pPr>
              <w:adjustRightInd w:val="0"/>
              <w:snapToGrid w:val="0"/>
              <w:spacing w:line="440" w:lineRule="exact"/>
              <w:ind w:firstLine="480" w:firstLineChars="200"/>
              <w:rPr>
                <w:rFonts w:hAnsi="宋体"/>
                <w:color w:val="000000" w:themeColor="text1"/>
                <w:sz w:val="24"/>
                <w14:textFill>
                  <w14:solidFill>
                    <w14:schemeClr w14:val="tx1"/>
                  </w14:solidFill>
                </w14:textFill>
              </w:rPr>
            </w:pPr>
            <w:r>
              <w:rPr>
                <w:rFonts w:hint="eastAsia" w:hAnsi="宋体" w:cs="宋体"/>
                <w:color w:val="000000" w:themeColor="text1"/>
                <w:sz w:val="24"/>
                <w:lang w:bidi="ar"/>
                <w14:textFill>
                  <w14:solidFill>
                    <w14:schemeClr w14:val="tx1"/>
                  </w14:solidFill>
                </w14:textFill>
              </w:rPr>
              <w:t>项目工程施工要求避开雨季，但施工过程中不可避免地会遇到雨水天气，尤其是项目部分光伏场区处于山体斜坡地带，坡脚邻河，施工期降雨后径流冲刷浮土、建筑砂石等，产生携带大量泥沙、水泥、油类及其它地表固体污染物的泥浆水，如流入地表水体，将产生一定的面源污染。</w:t>
            </w:r>
          </w:p>
          <w:p w14:paraId="1CA70486">
            <w:pPr>
              <w:spacing w:line="440" w:lineRule="exact"/>
              <w:ind w:firstLine="480" w:firstLineChars="200"/>
              <w:rPr>
                <w:rFonts w:hAnsi="宋体"/>
                <w:color w:val="000000" w:themeColor="text1"/>
                <w:sz w:val="24"/>
                <w14:textFill>
                  <w14:solidFill>
                    <w14:schemeClr w14:val="tx1"/>
                  </w14:solidFill>
                </w14:textFill>
              </w:rPr>
            </w:pPr>
            <w:r>
              <w:rPr>
                <w:rFonts w:hint="eastAsia" w:hAnsi="宋体" w:cs="宋体"/>
                <w:color w:val="000000" w:themeColor="text1"/>
                <w:sz w:val="24"/>
                <w:lang w:bidi="ar"/>
                <w14:textFill>
                  <w14:solidFill>
                    <w14:schemeClr w14:val="tx1"/>
                  </w14:solidFill>
                </w14:textFill>
              </w:rPr>
              <w:t>工程应严格落实水土保持措施，在光伏场区和道路区地势低处、施工临时营场地等周边设置截排水沟，各沟渠末端设置临时沉淀池，施工过程中产生的初期雨水经临时截排水沟引入沉淀池沉淀处理后，一部分可回用于施工过程及场地洒水降尘，回用不完的部分再顺流至附近自然沟渠，对周边地表水产生的影响较小。</w:t>
            </w:r>
          </w:p>
          <w:p w14:paraId="7A2745F7">
            <w:pPr>
              <w:spacing w:line="440" w:lineRule="exact"/>
              <w:ind w:firstLine="480" w:firstLineChars="200"/>
              <w:rPr>
                <w:color w:val="000000" w:themeColor="text1"/>
                <w14:textFill>
                  <w14:solidFill>
                    <w14:schemeClr w14:val="tx1"/>
                  </w14:solidFill>
                </w14:textFill>
              </w:rPr>
            </w:pPr>
            <w:r>
              <w:rPr>
                <w:rFonts w:hint="eastAsia" w:cs="宋体"/>
                <w:color w:val="000000" w:themeColor="text1"/>
                <w:sz w:val="24"/>
                <w:lang w:bidi="ar"/>
                <w14:textFill>
                  <w14:solidFill>
                    <w14:schemeClr w14:val="tx1"/>
                  </w14:solidFill>
                </w14:textFill>
              </w:rPr>
              <w:t>此外，工程施工还应加强</w:t>
            </w:r>
            <w:r>
              <w:rPr>
                <w:rFonts w:hint="eastAsia" w:hAnsi="宋体" w:cs="宋体"/>
                <w:color w:val="000000" w:themeColor="text1"/>
                <w:sz w:val="24"/>
                <w:lang w:bidi="ar"/>
                <w14:textFill>
                  <w14:solidFill>
                    <w14:schemeClr w14:val="tx1"/>
                  </w14:solidFill>
                </w14:textFill>
              </w:rPr>
              <w:t>管理</w:t>
            </w:r>
            <w:r>
              <w:rPr>
                <w:rFonts w:hint="eastAsia" w:cs="宋体"/>
                <w:color w:val="000000" w:themeColor="text1"/>
                <w:sz w:val="24"/>
                <w:lang w:bidi="ar"/>
                <w14:textFill>
                  <w14:solidFill>
                    <w14:schemeClr w14:val="tx1"/>
                  </w14:solidFill>
                </w14:textFill>
              </w:rPr>
              <w:t>，粉状物料尽量袋装后搭设防雨工棚存放，做好施工机械的日常维修保养，杜绝跑、冒、滴、漏现象，尽量减小施工期降雨冲刷产生的影响。</w:t>
            </w:r>
          </w:p>
          <w:p w14:paraId="461F2F1A">
            <w:pPr>
              <w:adjustRightInd w:val="0"/>
              <w:snapToGrid w:val="0"/>
              <w:spacing w:line="440" w:lineRule="exact"/>
              <w:rPr>
                <w:b/>
                <w:bCs/>
                <w:color w:val="000000" w:themeColor="text1"/>
                <w:sz w:val="24"/>
                <w14:textFill>
                  <w14:solidFill>
                    <w14:schemeClr w14:val="tx1"/>
                  </w14:solidFill>
                </w14:textFill>
              </w:rPr>
            </w:pPr>
            <w:r>
              <w:rPr>
                <w:b/>
                <w:bCs/>
                <w:color w:val="000000" w:themeColor="text1"/>
                <w:sz w:val="24"/>
                <w:lang w:bidi="ar"/>
                <w14:textFill>
                  <w14:solidFill>
                    <w14:schemeClr w14:val="tx1"/>
                  </w14:solidFill>
                </w14:textFill>
              </w:rPr>
              <w:t xml:space="preserve">3 </w:t>
            </w:r>
            <w:r>
              <w:rPr>
                <w:rFonts w:hint="eastAsia" w:cs="宋体"/>
                <w:b/>
                <w:bCs/>
                <w:color w:val="000000" w:themeColor="text1"/>
                <w:sz w:val="24"/>
                <w:lang w:bidi="ar"/>
                <w14:textFill>
                  <w14:solidFill>
                    <w14:schemeClr w14:val="tx1"/>
                  </w14:solidFill>
                </w14:textFill>
              </w:rPr>
              <w:t>施工废气环境影响分析</w:t>
            </w:r>
          </w:p>
          <w:p w14:paraId="0BF6990A">
            <w:pPr>
              <w:adjustRightInd w:val="0"/>
              <w:snapToGrid w:val="0"/>
              <w:spacing w:line="440" w:lineRule="exact"/>
              <w:rPr>
                <w:b/>
                <w:bCs/>
                <w:color w:val="000000" w:themeColor="text1"/>
                <w:sz w:val="24"/>
                <w14:textFill>
                  <w14:solidFill>
                    <w14:schemeClr w14:val="tx1"/>
                  </w14:solidFill>
                </w14:textFill>
              </w:rPr>
            </w:pPr>
            <w:r>
              <w:rPr>
                <w:b/>
                <w:bCs/>
                <w:color w:val="000000" w:themeColor="text1"/>
                <w:sz w:val="24"/>
                <w:lang w:bidi="ar"/>
                <w14:textFill>
                  <w14:solidFill>
                    <w14:schemeClr w14:val="tx1"/>
                  </w14:solidFill>
                </w14:textFill>
              </w:rPr>
              <w:t xml:space="preserve">3.1 </w:t>
            </w:r>
            <w:r>
              <w:rPr>
                <w:rFonts w:hint="eastAsia" w:cs="宋体"/>
                <w:b/>
                <w:bCs/>
                <w:color w:val="000000" w:themeColor="text1"/>
                <w:sz w:val="24"/>
                <w:lang w:bidi="ar"/>
                <w14:textFill>
                  <w14:solidFill>
                    <w14:schemeClr w14:val="tx1"/>
                  </w14:solidFill>
                </w14:textFill>
              </w:rPr>
              <w:t>施工扬尘影响分析</w:t>
            </w:r>
          </w:p>
          <w:p w14:paraId="61ECEE93">
            <w:pPr>
              <w:adjustRightInd w:val="0"/>
              <w:snapToGrid w:val="0"/>
              <w:spacing w:line="440" w:lineRule="exact"/>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本项目施工期大气污染物主要为施工扬尘，其主要来源有以下几个方面：</w:t>
            </w:r>
          </w:p>
          <w:p w14:paraId="53FA7DC0">
            <w:pPr>
              <w:adjustRightInd w:val="0"/>
              <w:snapToGrid w:val="0"/>
              <w:spacing w:line="440" w:lineRule="exact"/>
              <w:ind w:firstLine="480" w:firstLineChars="200"/>
              <w:rPr>
                <w:rFonts w:cs="宋体"/>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①</w:t>
            </w:r>
            <w:r>
              <w:rPr>
                <w:rFonts w:hint="eastAsia"/>
                <w:color w:val="000000" w:themeColor="text1"/>
                <w:kern w:val="0"/>
                <w:sz w:val="24"/>
                <w:lang w:bidi="ar"/>
                <w14:textFill>
                  <w14:solidFill>
                    <w14:schemeClr w14:val="tx1"/>
                  </w14:solidFill>
                </w14:textFill>
              </w:rPr>
              <w:t>场地</w:t>
            </w:r>
            <w:r>
              <w:rPr>
                <w:rFonts w:hint="eastAsia" w:cs="宋体"/>
                <w:color w:val="000000" w:themeColor="text1"/>
                <w:kern w:val="0"/>
                <w:sz w:val="24"/>
                <w:lang w:bidi="ar"/>
                <w14:textFill>
                  <w14:solidFill>
                    <w14:schemeClr w14:val="tx1"/>
                  </w14:solidFill>
                </w14:textFill>
              </w:rPr>
              <w:t>平整产生的扬尘；</w:t>
            </w:r>
          </w:p>
          <w:p w14:paraId="71AD5403">
            <w:pPr>
              <w:adjustRightInd w:val="0"/>
              <w:snapToGrid w:val="0"/>
              <w:spacing w:line="440" w:lineRule="exact"/>
              <w:ind w:firstLine="480" w:firstLineChars="200"/>
              <w:rPr>
                <w:rFonts w:cs="宋体"/>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②</w:t>
            </w:r>
            <w:r>
              <w:rPr>
                <w:rFonts w:hint="eastAsia" w:cs="宋体"/>
                <w:color w:val="000000" w:themeColor="text1"/>
                <w:kern w:val="0"/>
                <w:sz w:val="24"/>
                <w:lang w:bidi="ar"/>
                <w14:textFill>
                  <w14:solidFill>
                    <w14:schemeClr w14:val="tx1"/>
                  </w14:solidFill>
                </w14:textFill>
              </w:rPr>
              <w:t>土方回填及建筑材料的堆放、现场搬运产生扬尘；</w:t>
            </w:r>
          </w:p>
          <w:p w14:paraId="154A1844">
            <w:pPr>
              <w:adjustRightInd w:val="0"/>
              <w:snapToGrid w:val="0"/>
              <w:spacing w:line="440" w:lineRule="exact"/>
              <w:ind w:firstLine="480" w:firstLineChars="200"/>
              <w:rPr>
                <w:rFonts w:cs="宋体"/>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③</w:t>
            </w:r>
            <w:r>
              <w:rPr>
                <w:rFonts w:hint="eastAsia" w:cs="宋体"/>
                <w:color w:val="000000" w:themeColor="text1"/>
                <w:kern w:val="0"/>
                <w:sz w:val="24"/>
                <w:lang w:bidi="ar"/>
                <w14:textFill>
                  <w14:solidFill>
                    <w14:schemeClr w14:val="tx1"/>
                  </w14:solidFill>
                </w14:textFill>
              </w:rPr>
              <w:t>施工机械设备及车辆造成的道路、场地扬尘及排放的有害物质；</w:t>
            </w:r>
          </w:p>
          <w:p w14:paraId="7A9F81AF">
            <w:pPr>
              <w:adjustRightInd w:val="0"/>
              <w:snapToGrid w:val="0"/>
              <w:spacing w:line="440" w:lineRule="exact"/>
              <w:ind w:firstLine="480" w:firstLineChars="200"/>
              <w:rPr>
                <w:rFonts w:cs="宋体"/>
                <w:color w:val="000000" w:themeColor="text1"/>
                <w:kern w:val="0"/>
                <w:sz w:val="24"/>
                <w:lang w:bidi="ar"/>
                <w14:textFill>
                  <w14:solidFill>
                    <w14:schemeClr w14:val="tx1"/>
                  </w14:solidFill>
                </w14:textFill>
              </w:rPr>
            </w:pPr>
            <w:r>
              <w:rPr>
                <w:color w:val="000000" w:themeColor="text1"/>
                <w:kern w:val="0"/>
                <w:sz w:val="24"/>
                <w:lang w:bidi="ar"/>
                <w14:textFill>
                  <w14:solidFill>
                    <w14:schemeClr w14:val="tx1"/>
                  </w14:solidFill>
                </w14:textFill>
              </w:rPr>
              <w:t>④</w:t>
            </w:r>
            <w:r>
              <w:rPr>
                <w:rFonts w:hint="eastAsia" w:cs="宋体"/>
                <w:color w:val="000000" w:themeColor="text1"/>
                <w:kern w:val="0"/>
                <w:sz w:val="24"/>
                <w:lang w:bidi="ar"/>
                <w14:textFill>
                  <w14:solidFill>
                    <w14:schemeClr w14:val="tx1"/>
                  </w14:solidFill>
                </w14:textFill>
              </w:rPr>
              <w:t>施工结束后平整场地及拆除施工设施时产生的扬尘。</w:t>
            </w:r>
          </w:p>
          <w:p w14:paraId="66A3A5EE">
            <w:pPr>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s="宋体"/>
                <w:color w:val="000000" w:themeColor="text1"/>
                <w:sz w:val="24"/>
                <w:lang w:bidi="ar"/>
                <w14:textFill>
                  <w14:solidFill>
                    <w14:schemeClr w14:val="tx1"/>
                  </w14:solidFill>
                </w14:textFill>
              </w:rPr>
              <w:t>施工扬尘属于无组织排放，污染因子为颗粒物，</w:t>
            </w:r>
            <w:r>
              <w:rPr>
                <w:rFonts w:hint="eastAsia" w:cs="宋体"/>
                <w:color w:val="000000" w:themeColor="text1"/>
                <w:kern w:val="0"/>
                <w:sz w:val="24"/>
                <w:lang w:bidi="ar"/>
                <w14:textFill>
                  <w14:solidFill>
                    <w14:schemeClr w14:val="tx1"/>
                  </w14:solidFill>
                </w14:textFill>
              </w:rPr>
              <w:t>其产生强度与施工方式、气象条件有关，一般风大时产生扬尘较多。扬尘和粉尘污染的排放源低、颗粒物粒径较大，扬尘量较少，但因风速较大，影响范围较广。施工期间产生的扬尘（粉尘）污染主要取决于施工作业方式、材料的堆放以及风速等因素，其中受风速的影响因素最大，随着风速的增大，施工扬尘（粉尘）的污染程度和超标范围也将随之增强和扩大。</w:t>
            </w:r>
          </w:p>
          <w:p w14:paraId="2EFBBECF">
            <w:pPr>
              <w:adjustRightInd w:val="0"/>
              <w:snapToGrid w:val="0"/>
              <w:spacing w:line="440" w:lineRule="exact"/>
              <w:ind w:firstLine="480" w:firstLineChars="200"/>
              <w:rPr>
                <w:rFonts w:cs="宋体"/>
                <w:color w:val="000000" w:themeColor="text1"/>
                <w:kern w:val="0"/>
                <w:sz w:val="24"/>
                <w:lang w:bidi="ar"/>
                <w14:textFill>
                  <w14:solidFill>
                    <w14:schemeClr w14:val="tx1"/>
                  </w14:solidFill>
                </w14:textFill>
              </w:rPr>
            </w:pPr>
            <w:r>
              <w:rPr>
                <w:rFonts w:hint="eastAsia" w:cs="宋体"/>
                <w:color w:val="000000" w:themeColor="text1"/>
                <w:kern w:val="0"/>
                <w:sz w:val="24"/>
                <w:lang w:bidi="ar"/>
                <w14:textFill>
                  <w14:solidFill>
                    <w14:schemeClr w14:val="tx1"/>
                  </w14:solidFill>
                </w14:textFill>
              </w:rPr>
              <w:t>由于项目主要根据地块的实际地形，首先进行简单平整后，光伏组件采用微孔灌注，因此产生的扬尘是零星的，极小的，基本不存在作业面扬尘，产生作业面扬尘的主要为箱变施工工地建设过程产生的扬尘。</w:t>
            </w:r>
          </w:p>
          <w:p w14:paraId="4C9925F9">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根据生态环境部发布的《扬尘源颗粒物排放清单编制技术指南（试行）》，本次评价施工扬尘采用总体估算法，具体公式如下：</w:t>
            </w:r>
          </w:p>
          <w:p w14:paraId="5BB87624">
            <w:pPr>
              <w:adjustRightInd w:val="0"/>
              <w:snapToGrid w:val="0"/>
              <w:spacing w:line="440" w:lineRule="exact"/>
              <w:ind w:firstLine="420" w:firstLineChars="200"/>
              <w:rPr>
                <w:rFonts w:cs="宋体"/>
                <w:color w:val="000000" w:themeColor="text1"/>
                <w:sz w:val="24"/>
                <w:lang w:bidi="ar"/>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04320" behindDoc="0" locked="0" layoutInCell="1" allowOverlap="1">
                  <wp:simplePos x="0" y="0"/>
                  <wp:positionH relativeFrom="column">
                    <wp:posOffset>906145</wp:posOffset>
                  </wp:positionH>
                  <wp:positionV relativeFrom="paragraph">
                    <wp:posOffset>44450</wp:posOffset>
                  </wp:positionV>
                  <wp:extent cx="2636520" cy="558800"/>
                  <wp:effectExtent l="0" t="0" r="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rcRect t="10106" b="11879"/>
                          <a:stretch>
                            <a:fillRect/>
                          </a:stretch>
                        </pic:blipFill>
                        <pic:spPr>
                          <a:xfrm>
                            <a:off x="0" y="0"/>
                            <a:ext cx="2636520" cy="558800"/>
                          </a:xfrm>
                          <a:prstGeom prst="rect">
                            <a:avLst/>
                          </a:prstGeom>
                          <a:noFill/>
                          <a:ln>
                            <a:noFill/>
                          </a:ln>
                        </pic:spPr>
                      </pic:pic>
                    </a:graphicData>
                  </a:graphic>
                </wp:anchor>
              </w:drawing>
            </w:r>
          </w:p>
          <w:p w14:paraId="33BCCEB6">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p>
          <w:p w14:paraId="4E03AAB7">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式中：</w:t>
            </w:r>
          </w:p>
          <w:p w14:paraId="2B3330E2">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Wci—施工扬尘源中PMi总排放量，t/a；</w:t>
            </w:r>
          </w:p>
          <w:p w14:paraId="7C86C356">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Eci—整个施工工地PMi的平均排放系数，t/（m</w:t>
            </w:r>
            <w:r>
              <w:rPr>
                <w:rFonts w:hint="eastAsia" w:cs="宋体"/>
                <w:color w:val="000000" w:themeColor="text1"/>
                <w:sz w:val="24"/>
                <w:vertAlign w:val="superscript"/>
                <w:lang w:bidi="ar"/>
                <w14:textFill>
                  <w14:solidFill>
                    <w14:schemeClr w14:val="tx1"/>
                  </w14:solidFill>
                </w14:textFill>
              </w:rPr>
              <w:t>2</w:t>
            </w:r>
            <w:r>
              <w:rPr>
                <w:rFonts w:hint="eastAsia" w:cs="宋体"/>
                <w:color w:val="000000" w:themeColor="text1"/>
                <w:sz w:val="24"/>
                <w:lang w:bidi="ar"/>
                <w14:textFill>
                  <w14:solidFill>
                    <w14:schemeClr w14:val="tx1"/>
                  </w14:solidFill>
                </w14:textFill>
              </w:rPr>
              <w:t>·月）；</w:t>
            </w:r>
          </w:p>
          <w:p w14:paraId="4FBDFC53">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Ac为施工区域面积，m</w:t>
            </w:r>
            <w:r>
              <w:rPr>
                <w:rFonts w:hint="eastAsia" w:cs="宋体"/>
                <w:color w:val="000000" w:themeColor="text1"/>
                <w:sz w:val="24"/>
                <w:vertAlign w:val="superscript"/>
                <w:lang w:bidi="ar"/>
                <w14:textFill>
                  <w14:solidFill>
                    <w14:schemeClr w14:val="tx1"/>
                  </w14:solidFill>
                </w14:textFill>
              </w:rPr>
              <w:t>2</w:t>
            </w:r>
            <w:r>
              <w:rPr>
                <w:rFonts w:hint="eastAsia" w:cs="宋体"/>
                <w:color w:val="000000" w:themeColor="text1"/>
                <w:sz w:val="24"/>
                <w:lang w:bidi="ar"/>
                <w14:textFill>
                  <w14:solidFill>
                    <w14:schemeClr w14:val="tx1"/>
                  </w14:solidFill>
                </w14:textFill>
              </w:rPr>
              <w:t>；</w:t>
            </w:r>
          </w:p>
          <w:p w14:paraId="6C8956A9">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T—工地的施工月份，一般按施工天数/30计算。</w:t>
            </w:r>
          </w:p>
          <w:p w14:paraId="56D49F62">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η—污染控制技术对扬尘的去除效率，%。</w:t>
            </w:r>
          </w:p>
          <w:p w14:paraId="507EBE90">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各类控制措施的控制效率见下表，多种措施同时开展的，去控制效率最大值。</w:t>
            </w:r>
          </w:p>
          <w:p w14:paraId="53C7DF79">
            <w:pPr>
              <w:adjustRightInd w:val="0"/>
              <w:snapToGrid w:val="0"/>
              <w:spacing w:line="440" w:lineRule="exact"/>
              <w:ind w:firstLine="482" w:firstLineChars="200"/>
              <w:rPr>
                <w:rFonts w:cs="宋体"/>
                <w:color w:val="000000" w:themeColor="text1"/>
                <w:sz w:val="24"/>
                <w:lang w:bidi="ar"/>
                <w14:textFill>
                  <w14:solidFill>
                    <w14:schemeClr w14:val="tx1"/>
                  </w14:solidFill>
                </w14:textFill>
              </w:rPr>
            </w:pPr>
            <w:r>
              <w:rPr>
                <w:rFonts w:hint="eastAsia" w:cs="宋体"/>
                <w:b/>
                <w:color w:val="000000" w:themeColor="text1"/>
                <w:sz w:val="24"/>
                <w:lang w:bidi="ar"/>
                <w14:textFill>
                  <w14:solidFill>
                    <w14:schemeClr w14:val="tx1"/>
                  </w14:solidFill>
                </w14:textFill>
              </w:rPr>
              <w:t>表</w:t>
            </w:r>
            <w:r>
              <w:rPr>
                <w:b/>
                <w:color w:val="000000" w:themeColor="text1"/>
                <w:sz w:val="24"/>
                <w:lang w:bidi="ar"/>
                <w14:textFill>
                  <w14:solidFill>
                    <w14:schemeClr w14:val="tx1"/>
                  </w14:solidFill>
                </w14:textFill>
              </w:rPr>
              <w:t>4-</w:t>
            </w:r>
            <w:r>
              <w:rPr>
                <w:rFonts w:hint="eastAsia"/>
                <w:b/>
                <w:color w:val="000000" w:themeColor="text1"/>
                <w:sz w:val="24"/>
                <w:lang w:bidi="ar"/>
                <w14:textFill>
                  <w14:solidFill>
                    <w14:schemeClr w14:val="tx1"/>
                  </w14:solidFill>
                </w14:textFill>
              </w:rPr>
              <w:t>3</w:t>
            </w:r>
            <w:r>
              <w:rPr>
                <w:b/>
                <w:color w:val="000000" w:themeColor="text1"/>
                <w:sz w:val="24"/>
                <w:lang w:bidi="ar"/>
                <w14:textFill>
                  <w14:solidFill>
                    <w14:schemeClr w14:val="tx1"/>
                  </w14:solidFill>
                </w14:textFill>
              </w:rPr>
              <w:t xml:space="preserve"> </w:t>
            </w:r>
            <w:r>
              <w:rPr>
                <w:rFonts w:hint="eastAsia"/>
                <w:b/>
                <w:color w:val="000000" w:themeColor="text1"/>
                <w:sz w:val="24"/>
                <w:lang w:bidi="ar"/>
                <w14:textFill>
                  <w14:solidFill>
                    <w14:schemeClr w14:val="tx1"/>
                  </w14:solidFill>
                </w14:textFill>
              </w:rPr>
              <w:t xml:space="preserve">   施工扬尘控制措施的控制效率</w:t>
            </w:r>
          </w:p>
          <w:tbl>
            <w:tblPr>
              <w:tblStyle w:val="67"/>
              <w:tblW w:w="8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3800"/>
              <w:gridCol w:w="1080"/>
              <w:gridCol w:w="1040"/>
              <w:gridCol w:w="862"/>
            </w:tblGrid>
            <w:tr w14:paraId="2D51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3" w:type="dxa"/>
                  <w:gridSpan w:val="2"/>
                  <w:vMerge w:val="restart"/>
                  <w:vAlign w:val="center"/>
                </w:tcPr>
                <w:p w14:paraId="51B8047D">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控制措施</w:t>
                  </w:r>
                </w:p>
              </w:tc>
              <w:tc>
                <w:tcPr>
                  <w:tcW w:w="2982" w:type="dxa"/>
                  <w:gridSpan w:val="3"/>
                  <w:vAlign w:val="center"/>
                </w:tcPr>
                <w:p w14:paraId="29B21B51">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控制效率</w:t>
                  </w:r>
                </w:p>
              </w:tc>
            </w:tr>
            <w:tr w14:paraId="2046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3" w:type="dxa"/>
                  <w:gridSpan w:val="2"/>
                  <w:vMerge w:val="continue"/>
                  <w:vAlign w:val="center"/>
                </w:tcPr>
                <w:p w14:paraId="364D8745">
                  <w:pPr>
                    <w:adjustRightInd w:val="0"/>
                    <w:snapToGrid w:val="0"/>
                    <w:spacing w:line="360" w:lineRule="exact"/>
                    <w:jc w:val="center"/>
                    <w:rPr>
                      <w:rFonts w:cs="宋体"/>
                      <w:color w:val="000000" w:themeColor="text1"/>
                      <w:sz w:val="21"/>
                      <w:szCs w:val="21"/>
                      <w:lang w:bidi="ar"/>
                      <w14:textFill>
                        <w14:solidFill>
                          <w14:schemeClr w14:val="tx1"/>
                        </w14:solidFill>
                      </w14:textFill>
                    </w:rPr>
                  </w:pPr>
                </w:p>
              </w:tc>
              <w:tc>
                <w:tcPr>
                  <w:tcW w:w="1080" w:type="dxa"/>
                  <w:vAlign w:val="center"/>
                </w:tcPr>
                <w:p w14:paraId="280274F7">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TSP</w:t>
                  </w:r>
                </w:p>
              </w:tc>
              <w:tc>
                <w:tcPr>
                  <w:tcW w:w="1040" w:type="dxa"/>
                  <w:vAlign w:val="center"/>
                </w:tcPr>
                <w:p w14:paraId="5EA13C60">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PM</w:t>
                  </w:r>
                  <w:r>
                    <w:rPr>
                      <w:rFonts w:hint="eastAsia" w:cs="宋体"/>
                      <w:color w:val="000000" w:themeColor="text1"/>
                      <w:sz w:val="21"/>
                      <w:szCs w:val="21"/>
                      <w:vertAlign w:val="subscript"/>
                      <w:lang w:bidi="ar"/>
                      <w14:textFill>
                        <w14:solidFill>
                          <w14:schemeClr w14:val="tx1"/>
                        </w14:solidFill>
                      </w14:textFill>
                    </w:rPr>
                    <w:t>10</w:t>
                  </w:r>
                </w:p>
              </w:tc>
              <w:tc>
                <w:tcPr>
                  <w:tcW w:w="862" w:type="dxa"/>
                  <w:vAlign w:val="center"/>
                </w:tcPr>
                <w:p w14:paraId="1ABBFE47">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PM</w:t>
                  </w:r>
                  <w:r>
                    <w:rPr>
                      <w:rFonts w:hint="eastAsia" w:cs="宋体"/>
                      <w:color w:val="000000" w:themeColor="text1"/>
                      <w:sz w:val="21"/>
                      <w:szCs w:val="21"/>
                      <w:vertAlign w:val="subscript"/>
                      <w:lang w:bidi="ar"/>
                      <w14:textFill>
                        <w14:solidFill>
                          <w14:schemeClr w14:val="tx1"/>
                        </w14:solidFill>
                      </w14:textFill>
                    </w:rPr>
                    <w:t>2.5</w:t>
                  </w:r>
                </w:p>
              </w:tc>
            </w:tr>
            <w:tr w14:paraId="35D9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vAlign w:val="center"/>
                </w:tcPr>
                <w:p w14:paraId="573BEB15">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路面铺装和洒水</w:t>
                  </w:r>
                </w:p>
              </w:tc>
              <w:tc>
                <w:tcPr>
                  <w:tcW w:w="3800" w:type="dxa"/>
                  <w:vAlign w:val="center"/>
                </w:tcPr>
                <w:p w14:paraId="7AA230F8">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铺装混凝土，洒水强度（W）=0.6mmH</w:t>
                  </w:r>
                  <w:r>
                    <w:rPr>
                      <w:rFonts w:hint="eastAsia" w:cs="宋体"/>
                      <w:color w:val="000000" w:themeColor="text1"/>
                      <w:sz w:val="21"/>
                      <w:szCs w:val="21"/>
                      <w:vertAlign w:val="subscript"/>
                      <w:lang w:bidi="ar"/>
                      <w14:textFill>
                        <w14:solidFill>
                          <w14:schemeClr w14:val="tx1"/>
                        </w14:solidFill>
                      </w14:textFill>
                    </w:rPr>
                    <w:t>2</w:t>
                  </w:r>
                  <w:r>
                    <w:rPr>
                      <w:rFonts w:hint="eastAsia" w:cs="宋体"/>
                      <w:color w:val="000000" w:themeColor="text1"/>
                      <w:sz w:val="21"/>
                      <w:szCs w:val="21"/>
                      <w:lang w:bidi="ar"/>
                      <w14:textFill>
                        <w14:solidFill>
                          <w14:schemeClr w14:val="tx1"/>
                        </w14:solidFill>
                      </w14:textFill>
                    </w:rPr>
                    <w:t>O/hr</w:t>
                  </w:r>
                </w:p>
              </w:tc>
              <w:tc>
                <w:tcPr>
                  <w:tcW w:w="1080" w:type="dxa"/>
                  <w:vAlign w:val="center"/>
                </w:tcPr>
                <w:p w14:paraId="29B2915F">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96%</w:t>
                  </w:r>
                </w:p>
              </w:tc>
              <w:tc>
                <w:tcPr>
                  <w:tcW w:w="1040" w:type="dxa"/>
                  <w:vAlign w:val="center"/>
                </w:tcPr>
                <w:p w14:paraId="14445A36">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80%</w:t>
                  </w:r>
                </w:p>
              </w:tc>
              <w:tc>
                <w:tcPr>
                  <w:tcW w:w="862" w:type="dxa"/>
                  <w:vAlign w:val="center"/>
                </w:tcPr>
                <w:p w14:paraId="613CFEC3">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67%</w:t>
                  </w:r>
                </w:p>
              </w:tc>
            </w:tr>
            <w:tr w14:paraId="56B0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vMerge w:val="restart"/>
                  <w:vAlign w:val="center"/>
                </w:tcPr>
                <w:p w14:paraId="36FAC679">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防尘网</w:t>
                  </w:r>
                </w:p>
              </w:tc>
              <w:tc>
                <w:tcPr>
                  <w:tcW w:w="3800" w:type="dxa"/>
                  <w:vAlign w:val="center"/>
                </w:tcPr>
                <w:p w14:paraId="41E732D1">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尼龙塑胶网网径0.5mm，网距3mm</w:t>
                  </w:r>
                </w:p>
              </w:tc>
              <w:tc>
                <w:tcPr>
                  <w:tcW w:w="1080" w:type="dxa"/>
                  <w:vAlign w:val="center"/>
                </w:tcPr>
                <w:p w14:paraId="12878363">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24%</w:t>
                  </w:r>
                </w:p>
              </w:tc>
              <w:tc>
                <w:tcPr>
                  <w:tcW w:w="1040" w:type="dxa"/>
                  <w:vAlign w:val="center"/>
                </w:tcPr>
                <w:p w14:paraId="6A090891">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20%</w:t>
                  </w:r>
                </w:p>
              </w:tc>
              <w:tc>
                <w:tcPr>
                  <w:tcW w:w="862" w:type="dxa"/>
                  <w:vAlign w:val="center"/>
                </w:tcPr>
                <w:p w14:paraId="0EE1BEDF">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17%</w:t>
                  </w:r>
                </w:p>
              </w:tc>
            </w:tr>
            <w:tr w14:paraId="5F4D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vMerge w:val="continue"/>
                  <w:vAlign w:val="center"/>
                </w:tcPr>
                <w:p w14:paraId="379FF3C0">
                  <w:pPr>
                    <w:adjustRightInd w:val="0"/>
                    <w:snapToGrid w:val="0"/>
                    <w:spacing w:line="360" w:lineRule="exact"/>
                    <w:jc w:val="center"/>
                    <w:rPr>
                      <w:rFonts w:cs="宋体"/>
                      <w:color w:val="000000" w:themeColor="text1"/>
                      <w:sz w:val="21"/>
                      <w:szCs w:val="21"/>
                      <w:lang w:bidi="ar"/>
                      <w14:textFill>
                        <w14:solidFill>
                          <w14:schemeClr w14:val="tx1"/>
                        </w14:solidFill>
                      </w14:textFill>
                    </w:rPr>
                  </w:pPr>
                </w:p>
              </w:tc>
              <w:tc>
                <w:tcPr>
                  <w:tcW w:w="3800" w:type="dxa"/>
                  <w:vAlign w:val="center"/>
                </w:tcPr>
                <w:p w14:paraId="6DE3012C">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尼龙塑胶网网径1mm，网距5mm</w:t>
                  </w:r>
                </w:p>
              </w:tc>
              <w:tc>
                <w:tcPr>
                  <w:tcW w:w="1080" w:type="dxa"/>
                  <w:vAlign w:val="center"/>
                </w:tcPr>
                <w:p w14:paraId="7F1D0D43">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12%</w:t>
                  </w:r>
                </w:p>
              </w:tc>
              <w:tc>
                <w:tcPr>
                  <w:tcW w:w="1040" w:type="dxa"/>
                  <w:vAlign w:val="center"/>
                </w:tcPr>
                <w:p w14:paraId="1288B323">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10%</w:t>
                  </w:r>
                </w:p>
              </w:tc>
              <w:tc>
                <w:tcPr>
                  <w:tcW w:w="862" w:type="dxa"/>
                  <w:vAlign w:val="center"/>
                </w:tcPr>
                <w:p w14:paraId="5ACA8553">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8%</w:t>
                  </w:r>
                </w:p>
              </w:tc>
            </w:tr>
            <w:tr w14:paraId="430D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vMerge w:val="restart"/>
                  <w:vAlign w:val="center"/>
                </w:tcPr>
                <w:p w14:paraId="4F0F0DBE">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ascii="宋体" w:hAnsi="宋体" w:cs="宋体"/>
                      <w:color w:val="000000" w:themeColor="text1"/>
                      <w:sz w:val="21"/>
                      <w:szCs w:val="21"/>
                      <w14:textFill>
                        <w14:solidFill>
                          <w14:schemeClr w14:val="tx1"/>
                        </w14:solidFill>
                      </w14:textFill>
                    </w:rPr>
                    <w:t>覆盖防尘布</w:t>
                  </w:r>
                </w:p>
              </w:tc>
              <w:tc>
                <w:tcPr>
                  <w:tcW w:w="3800" w:type="dxa"/>
                  <w:vAlign w:val="center"/>
                </w:tcPr>
                <w:p w14:paraId="08152C2D">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高强度纤维织布密闭覆盖</w:t>
                  </w:r>
                </w:p>
              </w:tc>
              <w:tc>
                <w:tcPr>
                  <w:tcW w:w="1080" w:type="dxa"/>
                  <w:vAlign w:val="center"/>
                </w:tcPr>
                <w:p w14:paraId="7C25B4C1">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32%</w:t>
                  </w:r>
                </w:p>
              </w:tc>
              <w:tc>
                <w:tcPr>
                  <w:tcW w:w="1040" w:type="dxa"/>
                  <w:vAlign w:val="center"/>
                </w:tcPr>
                <w:p w14:paraId="227DBDE4">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27%</w:t>
                  </w:r>
                </w:p>
              </w:tc>
              <w:tc>
                <w:tcPr>
                  <w:tcW w:w="862" w:type="dxa"/>
                  <w:vAlign w:val="center"/>
                </w:tcPr>
                <w:p w14:paraId="4C011D54">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22%</w:t>
                  </w:r>
                </w:p>
              </w:tc>
            </w:tr>
            <w:tr w14:paraId="52D8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vMerge w:val="continue"/>
                  <w:vAlign w:val="center"/>
                </w:tcPr>
                <w:p w14:paraId="64008A62">
                  <w:pPr>
                    <w:adjustRightInd w:val="0"/>
                    <w:snapToGrid w:val="0"/>
                    <w:spacing w:line="360" w:lineRule="exact"/>
                    <w:jc w:val="center"/>
                    <w:rPr>
                      <w:rFonts w:cs="宋体"/>
                      <w:color w:val="000000" w:themeColor="text1"/>
                      <w:sz w:val="21"/>
                      <w:szCs w:val="21"/>
                      <w:lang w:bidi="ar"/>
                      <w14:textFill>
                        <w14:solidFill>
                          <w14:schemeClr w14:val="tx1"/>
                        </w14:solidFill>
                      </w14:textFill>
                    </w:rPr>
                  </w:pPr>
                </w:p>
              </w:tc>
              <w:tc>
                <w:tcPr>
                  <w:tcW w:w="3800" w:type="dxa"/>
                  <w:vAlign w:val="center"/>
                </w:tcPr>
                <w:p w14:paraId="1843D652">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尼龙塑胶网网径1mm，网距5mm</w:t>
                  </w:r>
                </w:p>
              </w:tc>
              <w:tc>
                <w:tcPr>
                  <w:tcW w:w="1080" w:type="dxa"/>
                  <w:vAlign w:val="center"/>
                </w:tcPr>
                <w:p w14:paraId="3CA1561E">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20%</w:t>
                  </w:r>
                </w:p>
              </w:tc>
              <w:tc>
                <w:tcPr>
                  <w:tcW w:w="1040" w:type="dxa"/>
                  <w:vAlign w:val="center"/>
                </w:tcPr>
                <w:p w14:paraId="50EF209C">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17%</w:t>
                  </w:r>
                </w:p>
              </w:tc>
              <w:tc>
                <w:tcPr>
                  <w:tcW w:w="862" w:type="dxa"/>
                  <w:vAlign w:val="center"/>
                </w:tcPr>
                <w:p w14:paraId="08AD87C7">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14%</w:t>
                  </w:r>
                </w:p>
              </w:tc>
            </w:tr>
            <w:tr w14:paraId="1E12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3" w:type="dxa"/>
                  <w:gridSpan w:val="2"/>
                  <w:vAlign w:val="center"/>
                </w:tcPr>
                <w:p w14:paraId="62CA7CE5">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化学抑尘剂</w:t>
                  </w:r>
                </w:p>
              </w:tc>
              <w:tc>
                <w:tcPr>
                  <w:tcW w:w="1080" w:type="dxa"/>
                  <w:vAlign w:val="center"/>
                </w:tcPr>
                <w:p w14:paraId="0BF4308A">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89%</w:t>
                  </w:r>
                </w:p>
              </w:tc>
              <w:tc>
                <w:tcPr>
                  <w:tcW w:w="1040" w:type="dxa"/>
                  <w:vAlign w:val="center"/>
                </w:tcPr>
                <w:p w14:paraId="14EB82AD">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84%</w:t>
                  </w:r>
                </w:p>
              </w:tc>
              <w:tc>
                <w:tcPr>
                  <w:tcW w:w="862" w:type="dxa"/>
                  <w:vAlign w:val="center"/>
                </w:tcPr>
                <w:p w14:paraId="255E0017">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71%</w:t>
                  </w:r>
                </w:p>
              </w:tc>
            </w:tr>
            <w:tr w14:paraId="20FC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vMerge w:val="restart"/>
                  <w:vAlign w:val="center"/>
                </w:tcPr>
                <w:p w14:paraId="3DA12B62">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围挡</w:t>
                  </w:r>
                </w:p>
              </w:tc>
              <w:tc>
                <w:tcPr>
                  <w:tcW w:w="3800" w:type="dxa"/>
                  <w:vAlign w:val="center"/>
                </w:tcPr>
                <w:p w14:paraId="61C637D9">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2.4m硬质围挡</w:t>
                  </w:r>
                </w:p>
              </w:tc>
              <w:tc>
                <w:tcPr>
                  <w:tcW w:w="1080" w:type="dxa"/>
                  <w:vAlign w:val="center"/>
                </w:tcPr>
                <w:p w14:paraId="6B8D7004">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18%</w:t>
                  </w:r>
                </w:p>
              </w:tc>
              <w:tc>
                <w:tcPr>
                  <w:tcW w:w="1040" w:type="dxa"/>
                  <w:vAlign w:val="center"/>
                </w:tcPr>
                <w:p w14:paraId="796E8E60">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15%</w:t>
                  </w:r>
                </w:p>
              </w:tc>
              <w:tc>
                <w:tcPr>
                  <w:tcW w:w="862" w:type="dxa"/>
                  <w:vAlign w:val="center"/>
                </w:tcPr>
                <w:p w14:paraId="5A747FB8">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13%</w:t>
                  </w:r>
                </w:p>
              </w:tc>
            </w:tr>
            <w:tr w14:paraId="1617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vMerge w:val="continue"/>
                  <w:vAlign w:val="center"/>
                </w:tcPr>
                <w:p w14:paraId="51CAA505">
                  <w:pPr>
                    <w:adjustRightInd w:val="0"/>
                    <w:snapToGrid w:val="0"/>
                    <w:spacing w:line="360" w:lineRule="exact"/>
                    <w:jc w:val="center"/>
                    <w:rPr>
                      <w:rFonts w:cs="宋体"/>
                      <w:color w:val="000000" w:themeColor="text1"/>
                      <w:sz w:val="21"/>
                      <w:szCs w:val="21"/>
                      <w:lang w:bidi="ar"/>
                      <w14:textFill>
                        <w14:solidFill>
                          <w14:schemeClr w14:val="tx1"/>
                        </w14:solidFill>
                      </w14:textFill>
                    </w:rPr>
                  </w:pPr>
                </w:p>
              </w:tc>
              <w:tc>
                <w:tcPr>
                  <w:tcW w:w="3800" w:type="dxa"/>
                  <w:vAlign w:val="center"/>
                </w:tcPr>
                <w:p w14:paraId="3C2CC3C0">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1.8m硬质围挡</w:t>
                  </w:r>
                </w:p>
              </w:tc>
              <w:tc>
                <w:tcPr>
                  <w:tcW w:w="1080" w:type="dxa"/>
                  <w:vAlign w:val="center"/>
                </w:tcPr>
                <w:p w14:paraId="3714E272">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12%</w:t>
                  </w:r>
                </w:p>
              </w:tc>
              <w:tc>
                <w:tcPr>
                  <w:tcW w:w="1040" w:type="dxa"/>
                  <w:vAlign w:val="center"/>
                </w:tcPr>
                <w:p w14:paraId="256CAC78">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10%</w:t>
                  </w:r>
                </w:p>
              </w:tc>
              <w:tc>
                <w:tcPr>
                  <w:tcW w:w="862" w:type="dxa"/>
                  <w:vAlign w:val="center"/>
                </w:tcPr>
                <w:p w14:paraId="0FFBA65C">
                  <w:pPr>
                    <w:adjustRightInd w:val="0"/>
                    <w:snapToGrid w:val="0"/>
                    <w:spacing w:line="360" w:lineRule="exact"/>
                    <w:jc w:val="center"/>
                    <w:rPr>
                      <w:rFonts w:cs="宋体"/>
                      <w:color w:val="000000" w:themeColor="text1"/>
                      <w:sz w:val="21"/>
                      <w:szCs w:val="21"/>
                      <w:lang w:bidi="ar"/>
                      <w14:textFill>
                        <w14:solidFill>
                          <w14:schemeClr w14:val="tx1"/>
                        </w14:solidFill>
                      </w14:textFill>
                    </w:rPr>
                  </w:pPr>
                  <w:r>
                    <w:rPr>
                      <w:rFonts w:hint="eastAsia" w:cs="宋体"/>
                      <w:color w:val="000000" w:themeColor="text1"/>
                      <w:sz w:val="21"/>
                      <w:szCs w:val="21"/>
                      <w:lang w:bidi="ar"/>
                      <w14:textFill>
                        <w14:solidFill>
                          <w14:schemeClr w14:val="tx1"/>
                        </w14:solidFill>
                      </w14:textFill>
                    </w:rPr>
                    <w:t>8%</w:t>
                  </w:r>
                </w:p>
              </w:tc>
            </w:tr>
          </w:tbl>
          <w:p w14:paraId="4ABD2F49">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根据上述论述可知，本项目施工区域场地施工扬尘源中TSP、PM</w:t>
            </w:r>
            <w:r>
              <w:rPr>
                <w:rFonts w:hint="eastAsia" w:cs="宋体"/>
                <w:color w:val="000000" w:themeColor="text1"/>
                <w:sz w:val="24"/>
                <w:vertAlign w:val="subscript"/>
                <w:lang w:bidi="ar"/>
                <w14:textFill>
                  <w14:solidFill>
                    <w14:schemeClr w14:val="tx1"/>
                  </w14:solidFill>
                </w14:textFill>
              </w:rPr>
              <w:t>10</w:t>
            </w:r>
            <w:r>
              <w:rPr>
                <w:rFonts w:hint="eastAsia" w:cs="宋体"/>
                <w:color w:val="000000" w:themeColor="text1"/>
                <w:sz w:val="24"/>
                <w:lang w:bidi="ar"/>
                <w14:textFill>
                  <w14:solidFill>
                    <w14:schemeClr w14:val="tx1"/>
                  </w14:solidFill>
                </w14:textFill>
              </w:rPr>
              <w:t>、PM</w:t>
            </w:r>
            <w:r>
              <w:rPr>
                <w:rFonts w:hint="eastAsia" w:cs="宋体"/>
                <w:color w:val="000000" w:themeColor="text1"/>
                <w:sz w:val="24"/>
                <w:vertAlign w:val="subscript"/>
                <w:lang w:bidi="ar"/>
                <w14:textFill>
                  <w14:solidFill>
                    <w14:schemeClr w14:val="tx1"/>
                  </w14:solidFill>
                </w14:textFill>
              </w:rPr>
              <w:t>2.5</w:t>
            </w:r>
            <w:r>
              <w:rPr>
                <w:rFonts w:hint="eastAsia" w:cs="宋体"/>
                <w:color w:val="000000" w:themeColor="text1"/>
                <w:sz w:val="24"/>
                <w:lang w:bidi="ar"/>
                <w14:textFill>
                  <w14:solidFill>
                    <w14:schemeClr w14:val="tx1"/>
                  </w14:solidFill>
                </w14:textFill>
              </w:rPr>
              <w:t>的总排放量分别为485.3t/a、345.9t/a、127.9t/a。</w:t>
            </w:r>
          </w:p>
          <w:p w14:paraId="2178C398">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为避免对施工人员造成影响，应采取如下环保措施：①对施工现场实行合理化管理，砂石料、水泥等统一堆放，采用苫布覆盖；②临时堆土场、散装建筑材料堆场应压实，并严密遮盖；③建筑垃圾分类堆放并及时清运，运输时应用苫布覆盖，避免沿途遗洒；④按设计运输路线组织运输，施工便道采用泥结碎石路面。⑤施工过程中采取喷雾抑尘措施。</w:t>
            </w:r>
          </w:p>
          <w:p w14:paraId="2479BDF3">
            <w:pPr>
              <w:adjustRightInd w:val="0"/>
              <w:snapToGrid w:val="0"/>
              <w:spacing w:line="440" w:lineRule="exact"/>
              <w:ind w:firstLine="480" w:firstLineChars="200"/>
              <w:rPr>
                <w:color w:val="000000" w:themeColor="text1"/>
                <w:sz w:val="24"/>
                <w:highlight w:val="yellow"/>
                <w14:textFill>
                  <w14:solidFill>
                    <w14:schemeClr w14:val="tx1"/>
                  </w14:solidFill>
                </w14:textFill>
              </w:rPr>
            </w:pPr>
            <w:r>
              <w:rPr>
                <w:rFonts w:hint="eastAsia" w:cs="宋体"/>
                <w:color w:val="000000" w:themeColor="text1"/>
                <w:sz w:val="24"/>
                <w:lang w:bidi="ar"/>
                <w14:textFill>
                  <w14:solidFill>
                    <w14:schemeClr w14:val="tx1"/>
                  </w14:solidFill>
                </w14:textFill>
              </w:rPr>
              <w:t>根据现场调查，本项目箱变</w:t>
            </w:r>
            <w:r>
              <w:rPr>
                <w:color w:val="000000" w:themeColor="text1"/>
                <w:sz w:val="24"/>
                <w:lang w:bidi="ar"/>
                <w14:textFill>
                  <w14:solidFill>
                    <w14:schemeClr w14:val="tx1"/>
                  </w14:solidFill>
                </w14:textFill>
              </w:rPr>
              <w:t>200m</w:t>
            </w:r>
            <w:r>
              <w:rPr>
                <w:rFonts w:hint="eastAsia" w:cs="宋体"/>
                <w:color w:val="000000" w:themeColor="text1"/>
                <w:sz w:val="24"/>
                <w:lang w:bidi="ar"/>
                <w14:textFill>
                  <w14:solidFill>
                    <w14:schemeClr w14:val="tx1"/>
                  </w14:solidFill>
                </w14:textFill>
              </w:rPr>
              <w:t>范围内主要保护目标为光伏东区东南侧35m的佟庄村，光伏北区南侧165m的刘家窝村，光伏西区北侧165m的东平台村，光伏在北区南侧35m的夜明峪村和西侧15m的潘庄村，故项目施工扬尘对其有一定影响，但项目采用在上述村庄周边光伏矩阵施工场地施工，且距离低于</w:t>
            </w:r>
            <w:r>
              <w:rPr>
                <w:color w:val="000000" w:themeColor="text1"/>
                <w:sz w:val="24"/>
                <w:lang w:bidi="ar"/>
                <w14:textFill>
                  <w14:solidFill>
                    <w14:schemeClr w14:val="tx1"/>
                  </w14:solidFill>
                </w14:textFill>
              </w:rPr>
              <w:t>200m</w:t>
            </w:r>
            <w:r>
              <w:rPr>
                <w:rFonts w:hint="eastAsia" w:cs="宋体"/>
                <w:color w:val="000000" w:themeColor="text1"/>
                <w:sz w:val="24"/>
                <w:lang w:bidi="ar"/>
                <w14:textFill>
                  <w14:solidFill>
                    <w14:schemeClr w14:val="tx1"/>
                  </w14:solidFill>
                </w14:textFill>
              </w:rPr>
              <w:t>时在光伏矩阵施工场地面向村庄一侧设置不低于</w:t>
            </w:r>
            <w:r>
              <w:rPr>
                <w:color w:val="000000" w:themeColor="text1"/>
                <w:sz w:val="24"/>
                <w:lang w:bidi="ar"/>
                <w14:textFill>
                  <w14:solidFill>
                    <w14:schemeClr w14:val="tx1"/>
                  </w14:solidFill>
                </w14:textFill>
              </w:rPr>
              <w:t>2.5m</w:t>
            </w:r>
            <w:r>
              <w:rPr>
                <w:rFonts w:hint="eastAsia" w:cs="宋体"/>
                <w:color w:val="000000" w:themeColor="text1"/>
                <w:sz w:val="24"/>
                <w:lang w:bidi="ar"/>
                <w14:textFill>
                  <w14:solidFill>
                    <w14:schemeClr w14:val="tx1"/>
                  </w14:solidFill>
                </w14:textFill>
              </w:rPr>
              <w:t>的遮挡围墙，并加强施工场地洒水降尘，用土工布覆盖易产尘材料、</w:t>
            </w:r>
            <w:r>
              <w:rPr>
                <w:rFonts w:hint="eastAsia" w:cs="宋体"/>
                <w:color w:val="000000" w:themeColor="text1"/>
                <w:sz w:val="24"/>
                <w:lang w:val="zh-CN" w:bidi="ar"/>
                <w14:textFill>
                  <w14:solidFill>
                    <w14:schemeClr w14:val="tx1"/>
                  </w14:solidFill>
                </w14:textFill>
              </w:rPr>
              <w:t>土石方及时回填压实</w:t>
            </w:r>
            <w:r>
              <w:rPr>
                <w:rFonts w:hint="eastAsia" w:cs="宋体"/>
                <w:color w:val="000000" w:themeColor="text1"/>
                <w:sz w:val="24"/>
                <w:lang w:bidi="ar"/>
                <w14:textFill>
                  <w14:solidFill>
                    <w14:schemeClr w14:val="tx1"/>
                  </w14:solidFill>
                </w14:textFill>
              </w:rPr>
              <w:t>等措施后，施工扬尘影响对周边环境影响可接受。</w:t>
            </w:r>
          </w:p>
          <w:p w14:paraId="6283A3AF">
            <w:pPr>
              <w:spacing w:line="440" w:lineRule="exact"/>
              <w:ind w:firstLine="480" w:firstLineChars="200"/>
              <w:rPr>
                <w:rFonts w:hint="eastAsia"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据有关调查资料，工地的扬尘主要来自运输车辆行驶的二次扬尘，施工运输车辆产生的道路扬尘量与车速、车型、车流量、风速、道路表面积尘量、尘土湿度等因素有关。根据生态环境部发布的《扬尘源颗粒物排放清单编制技术指南（试行）》，道路扬尘量等于调查区域所有铺装道路与非铺装道路扬尘量的总和。每条道路的扬尘排放量计算公式如下：：</w:t>
            </w:r>
          </w:p>
          <w:p w14:paraId="72339693">
            <w:pPr>
              <w:pStyle w:val="2"/>
              <w:ind w:firstLine="560"/>
              <w:rPr>
                <w:color w:val="000000" w:themeColor="text1"/>
                <w:lang w:bidi="ar"/>
                <w14:textFill>
                  <w14:solidFill>
                    <w14:schemeClr w14:val="tx1"/>
                  </w14:solidFill>
                </w14:textFill>
              </w:rPr>
            </w:pPr>
          </w:p>
          <w:p w14:paraId="6145ACFC">
            <w:pPr>
              <w:spacing w:line="440" w:lineRule="exact"/>
              <w:ind w:left="1134" w:leftChars="540" w:firstLine="42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05344" behindDoc="0" locked="0" layoutInCell="1" allowOverlap="1">
                  <wp:simplePos x="0" y="0"/>
                  <wp:positionH relativeFrom="column">
                    <wp:posOffset>944880</wp:posOffset>
                  </wp:positionH>
                  <wp:positionV relativeFrom="paragraph">
                    <wp:posOffset>40640</wp:posOffset>
                  </wp:positionV>
                  <wp:extent cx="2948940" cy="480060"/>
                  <wp:effectExtent l="0" t="0" r="7620" b="7620"/>
                  <wp:wrapNone/>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14"/>
                          <a:stretch>
                            <a:fillRect/>
                          </a:stretch>
                        </pic:blipFill>
                        <pic:spPr>
                          <a:xfrm>
                            <a:off x="0" y="0"/>
                            <a:ext cx="2948940" cy="480060"/>
                          </a:xfrm>
                          <a:prstGeom prst="rect">
                            <a:avLst/>
                          </a:prstGeom>
                          <a:noFill/>
                          <a:ln>
                            <a:noFill/>
                          </a:ln>
                        </pic:spPr>
                      </pic:pic>
                    </a:graphicData>
                  </a:graphic>
                </wp:anchor>
              </w:drawing>
            </w:r>
          </w:p>
          <w:p w14:paraId="742459BD">
            <w:pPr>
              <w:spacing w:line="440" w:lineRule="exact"/>
              <w:ind w:left="1134" w:leftChars="540" w:firstLine="420"/>
              <w:rPr>
                <w:rFonts w:cs="宋体"/>
                <w:color w:val="000000" w:themeColor="text1"/>
                <w:sz w:val="24"/>
                <w:lang w:bidi="ar"/>
                <w14:textFill>
                  <w14:solidFill>
                    <w14:schemeClr w14:val="tx1"/>
                  </w14:solidFill>
                </w14:textFill>
              </w:rPr>
            </w:pPr>
          </w:p>
          <w:p w14:paraId="54B12F9A">
            <w:pPr>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式中：</w:t>
            </w:r>
          </w:p>
          <w:p w14:paraId="50BF6E7D">
            <w:pPr>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W</w:t>
            </w:r>
            <w:r>
              <w:rPr>
                <w:rFonts w:hint="eastAsia" w:cs="宋体"/>
                <w:color w:val="000000" w:themeColor="text1"/>
                <w:sz w:val="24"/>
                <w:vertAlign w:val="subscript"/>
                <w:lang w:bidi="ar"/>
                <w14:textFill>
                  <w14:solidFill>
                    <w14:schemeClr w14:val="tx1"/>
                  </w14:solidFill>
                </w14:textFill>
              </w:rPr>
              <w:t>Ri</w:t>
            </w:r>
            <w:r>
              <w:rPr>
                <w:rFonts w:hint="eastAsia" w:cs="宋体"/>
                <w:color w:val="000000" w:themeColor="text1"/>
                <w:sz w:val="24"/>
                <w:lang w:bidi="ar"/>
                <w14:textFill>
                  <w14:solidFill>
                    <w14:schemeClr w14:val="tx1"/>
                  </w14:solidFill>
                </w14:textFill>
              </w:rPr>
              <w:t>为道路扬尘源中颗粒物PMi的总排放量，t/a；</w:t>
            </w:r>
          </w:p>
          <w:p w14:paraId="0B881825">
            <w:pPr>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E</w:t>
            </w:r>
            <w:r>
              <w:rPr>
                <w:rFonts w:hint="eastAsia" w:cs="宋体"/>
                <w:color w:val="000000" w:themeColor="text1"/>
                <w:sz w:val="24"/>
                <w:vertAlign w:val="subscript"/>
                <w:lang w:bidi="ar"/>
                <w14:textFill>
                  <w14:solidFill>
                    <w14:schemeClr w14:val="tx1"/>
                  </w14:solidFill>
                </w14:textFill>
              </w:rPr>
              <w:t>Ri</w:t>
            </w:r>
            <w:r>
              <w:rPr>
                <w:rFonts w:hint="eastAsia" w:cs="宋体"/>
                <w:color w:val="000000" w:themeColor="text1"/>
                <w:sz w:val="24"/>
                <w:lang w:bidi="ar"/>
                <w14:textFill>
                  <w14:solidFill>
                    <w14:schemeClr w14:val="tx1"/>
                  </w14:solidFill>
                </w14:textFill>
              </w:rPr>
              <w:t>为道路扬尘源中PMi平均排放系数，g/(km•辆)。；</w:t>
            </w:r>
          </w:p>
          <w:p w14:paraId="1DC511F2">
            <w:pPr>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L</w:t>
            </w:r>
            <w:r>
              <w:rPr>
                <w:rFonts w:hint="eastAsia" w:cs="宋体"/>
                <w:color w:val="000000" w:themeColor="text1"/>
                <w:sz w:val="24"/>
                <w:vertAlign w:val="subscript"/>
                <w:lang w:bidi="ar"/>
                <w14:textFill>
                  <w14:solidFill>
                    <w14:schemeClr w14:val="tx1"/>
                  </w14:solidFill>
                </w14:textFill>
              </w:rPr>
              <w:t>R</w:t>
            </w:r>
            <w:r>
              <w:rPr>
                <w:rFonts w:hint="eastAsia" w:cs="宋体"/>
                <w:color w:val="000000" w:themeColor="text1"/>
                <w:sz w:val="24"/>
                <w:lang w:bidi="ar"/>
                <w14:textFill>
                  <w14:solidFill>
                    <w14:schemeClr w14:val="tx1"/>
                  </w14:solidFill>
                </w14:textFill>
              </w:rPr>
              <w:t>为道路长度，km；</w:t>
            </w:r>
          </w:p>
          <w:p w14:paraId="7BF4C88C">
            <w:pPr>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N</w:t>
            </w:r>
            <w:r>
              <w:rPr>
                <w:rFonts w:hint="eastAsia" w:cs="宋体"/>
                <w:color w:val="000000" w:themeColor="text1"/>
                <w:sz w:val="24"/>
                <w:vertAlign w:val="subscript"/>
                <w:lang w:bidi="ar"/>
                <w14:textFill>
                  <w14:solidFill>
                    <w14:schemeClr w14:val="tx1"/>
                  </w14:solidFill>
                </w14:textFill>
              </w:rPr>
              <w:t>R</w:t>
            </w:r>
            <w:r>
              <w:rPr>
                <w:rFonts w:hint="eastAsia" w:cs="宋体"/>
                <w:color w:val="000000" w:themeColor="text1"/>
                <w:sz w:val="24"/>
                <w:lang w:bidi="ar"/>
                <w14:textFill>
                  <w14:solidFill>
                    <w14:schemeClr w14:val="tx1"/>
                  </w14:solidFill>
                </w14:textFill>
              </w:rPr>
              <w:t>为一定时期内车辆在该段道路上的平均车流量，辆/a。</w:t>
            </w:r>
          </w:p>
          <w:p w14:paraId="46180410">
            <w:pPr>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n</w:t>
            </w:r>
            <w:r>
              <w:rPr>
                <w:rFonts w:hint="eastAsia" w:cs="宋体"/>
                <w:color w:val="000000" w:themeColor="text1"/>
                <w:sz w:val="24"/>
                <w:vertAlign w:val="subscript"/>
                <w:lang w:bidi="ar"/>
                <w14:textFill>
                  <w14:solidFill>
                    <w14:schemeClr w14:val="tx1"/>
                  </w14:solidFill>
                </w14:textFill>
              </w:rPr>
              <w:t>r</w:t>
            </w:r>
            <w:r>
              <w:rPr>
                <w:rFonts w:hint="eastAsia" w:cs="宋体"/>
                <w:color w:val="000000" w:themeColor="text1"/>
                <w:sz w:val="24"/>
                <w:lang w:bidi="ar"/>
                <w14:textFill>
                  <w14:solidFill>
                    <w14:schemeClr w14:val="tx1"/>
                  </w14:solidFill>
                </w14:textFill>
              </w:rPr>
              <w:t>为不起尘天数，通过实测（统计降水造成的路面潮湿的天数）得到；在实测过程中存在困难的，可使用一年中降水量大于0.25mm/d的天数表示。</w:t>
            </w:r>
          </w:p>
          <w:p w14:paraId="2A5047E7">
            <w:pPr>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对于未铺装道路，扬尘排放系数计算公式如下：</w:t>
            </w:r>
          </w:p>
          <w:p w14:paraId="1E6D105A">
            <w:pPr>
              <w:spacing w:line="440" w:lineRule="exact"/>
              <w:ind w:firstLine="420" w:firstLineChars="200"/>
              <w:rPr>
                <w:rFonts w:cs="宋体"/>
                <w:color w:val="000000" w:themeColor="text1"/>
                <w:sz w:val="24"/>
                <w:lang w:bidi="ar"/>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06368" behindDoc="0" locked="0" layoutInCell="1" allowOverlap="1">
                  <wp:simplePos x="0" y="0"/>
                  <wp:positionH relativeFrom="column">
                    <wp:posOffset>698500</wp:posOffset>
                  </wp:positionH>
                  <wp:positionV relativeFrom="paragraph">
                    <wp:posOffset>11430</wp:posOffset>
                  </wp:positionV>
                  <wp:extent cx="3368040" cy="601980"/>
                  <wp:effectExtent l="0" t="0" r="0" b="7620"/>
                  <wp:wrapNone/>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15"/>
                          <a:stretch>
                            <a:fillRect/>
                          </a:stretch>
                        </pic:blipFill>
                        <pic:spPr>
                          <a:xfrm>
                            <a:off x="0" y="0"/>
                            <a:ext cx="3368040" cy="601980"/>
                          </a:xfrm>
                          <a:prstGeom prst="rect">
                            <a:avLst/>
                          </a:prstGeom>
                          <a:noFill/>
                          <a:ln>
                            <a:noFill/>
                          </a:ln>
                        </pic:spPr>
                      </pic:pic>
                    </a:graphicData>
                  </a:graphic>
                </wp:anchor>
              </w:drawing>
            </w:r>
          </w:p>
          <w:p w14:paraId="5E99E6C7">
            <w:pPr>
              <w:spacing w:line="440" w:lineRule="exact"/>
              <w:ind w:firstLine="480" w:firstLineChars="200"/>
              <w:rPr>
                <w:rFonts w:cs="宋体"/>
                <w:color w:val="000000" w:themeColor="text1"/>
                <w:sz w:val="24"/>
                <w:lang w:bidi="ar"/>
                <w14:textFill>
                  <w14:solidFill>
                    <w14:schemeClr w14:val="tx1"/>
                  </w14:solidFill>
                </w14:textFill>
              </w:rPr>
            </w:pPr>
          </w:p>
          <w:p w14:paraId="1114E7F5">
            <w:pPr>
              <w:spacing w:line="44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式中：</w:t>
            </w:r>
          </w:p>
          <w:p w14:paraId="1B157D2A">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EUPi为未铺装道路扬尘中PMi排放系数，g/km。</w:t>
            </w:r>
          </w:p>
          <w:p w14:paraId="35274262">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ki为产生的扬尘中PMi的粒度乘数，其与系数a、b的取值见下表；</w:t>
            </w:r>
          </w:p>
          <w:p w14:paraId="2AEEE693">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s为道路表面有效积尘率，%。</w:t>
            </w:r>
          </w:p>
          <w:p w14:paraId="49BF8140">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v为平均车速，km/h，指通过某等级道路所有车辆的平均车速。</w:t>
            </w:r>
          </w:p>
          <w:p w14:paraId="7F59A4A0">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M为道路积尘含水率，%。将采集到的尘样品取一定量称重，记录初始重量，然后在100℃条件下烘24小时后进行重量测定，记录烘干处理后的重量，取其差值，测定物料含水率。</w:t>
            </w:r>
          </w:p>
          <w:p w14:paraId="31650D52">
            <w:pPr>
              <w:spacing w:line="440" w:lineRule="exact"/>
              <w:ind w:firstLine="480" w:firstLineChars="200"/>
              <w:rPr>
                <w:color w:val="000000" w:themeColor="text1"/>
                <w:sz w:val="24"/>
                <w:lang w:bidi="ar"/>
                <w14:textFill>
                  <w14:solidFill>
                    <w14:schemeClr w14:val="tx1"/>
                  </w14:solidFill>
                </w14:textFill>
              </w:rPr>
            </w:pPr>
            <w:r>
              <w:rPr>
                <w:color w:val="000000" w:themeColor="text1"/>
                <w:sz w:val="24"/>
                <w14:textFill>
                  <w14:solidFill>
                    <w14:schemeClr w14:val="tx1"/>
                  </w14:solidFill>
                </w14:textFill>
              </w:rPr>
              <w:t>η为污染控制技术对扬尘的去除效率，%。</w:t>
            </w:r>
            <w:r>
              <w:rPr>
                <w:rFonts w:hint="eastAsia"/>
                <w:color w:val="000000" w:themeColor="text1"/>
                <w:sz w:val="24"/>
                <w14:textFill>
                  <w14:solidFill>
                    <w14:schemeClr w14:val="tx1"/>
                  </w14:solidFill>
                </w14:textFill>
              </w:rPr>
              <w:t>下</w:t>
            </w:r>
            <w:r>
              <w:rPr>
                <w:color w:val="000000" w:themeColor="text1"/>
                <w:sz w:val="24"/>
                <w14:textFill>
                  <w14:solidFill>
                    <w14:schemeClr w14:val="tx1"/>
                  </w14:solidFill>
                </w14:textFill>
              </w:rPr>
              <w:t>表是常用的未铺装道路扬尘控制措施的控制效率，其它措施的控制效率可选用类似的措施效率替代。多种措施同时开展的，取控制效率最大值。</w:t>
            </w:r>
          </w:p>
          <w:p w14:paraId="7F6EE0C9">
            <w:pPr>
              <w:spacing w:line="440" w:lineRule="exact"/>
              <w:ind w:firstLine="402" w:firstLineChars="200"/>
              <w:rPr>
                <w:b/>
                <w:bCs/>
                <w:color w:val="000000" w:themeColor="text1"/>
                <w:spacing w:val="-20"/>
                <w:sz w:val="24"/>
                <w14:textFill>
                  <w14:solidFill>
                    <w14:schemeClr w14:val="tx1"/>
                  </w14:solidFill>
                </w14:textFill>
              </w:rPr>
            </w:pPr>
            <w:r>
              <w:rPr>
                <w:rFonts w:hint="eastAsia" w:cs="宋体"/>
                <w:b/>
                <w:bCs/>
                <w:color w:val="000000" w:themeColor="text1"/>
                <w:spacing w:val="-20"/>
                <w:sz w:val="24"/>
                <w:lang w:bidi="ar"/>
                <w14:textFill>
                  <w14:solidFill>
                    <w14:schemeClr w14:val="tx1"/>
                  </w14:solidFill>
                </w14:textFill>
              </w:rPr>
              <w:t>表</w:t>
            </w:r>
            <w:r>
              <w:rPr>
                <w:b/>
                <w:bCs/>
                <w:color w:val="000000" w:themeColor="text1"/>
                <w:spacing w:val="-20"/>
                <w:sz w:val="24"/>
                <w:lang w:bidi="ar"/>
                <w14:textFill>
                  <w14:solidFill>
                    <w14:schemeClr w14:val="tx1"/>
                  </w14:solidFill>
                </w14:textFill>
              </w:rPr>
              <w:t>4-</w:t>
            </w:r>
            <w:r>
              <w:rPr>
                <w:rFonts w:hint="eastAsia"/>
                <w:b/>
                <w:bCs/>
                <w:color w:val="000000" w:themeColor="text1"/>
                <w:spacing w:val="-20"/>
                <w:sz w:val="24"/>
                <w:lang w:bidi="ar"/>
                <w14:textFill>
                  <w14:solidFill>
                    <w14:schemeClr w14:val="tx1"/>
                  </w14:solidFill>
                </w14:textFill>
              </w:rPr>
              <w:t>4</w:t>
            </w:r>
            <w:r>
              <w:rPr>
                <w:b/>
                <w:bCs/>
                <w:color w:val="000000" w:themeColor="text1"/>
                <w:spacing w:val="-20"/>
                <w:sz w:val="24"/>
                <w:lang w:bidi="ar"/>
                <w14:textFill>
                  <w14:solidFill>
                    <w14:schemeClr w14:val="tx1"/>
                  </w14:solidFill>
                </w14:textFill>
              </w:rPr>
              <w:t xml:space="preserve">    </w:t>
            </w:r>
            <w:r>
              <w:rPr>
                <w:rFonts w:hint="eastAsia"/>
                <w:b/>
                <w:bCs/>
                <w:color w:val="000000" w:themeColor="text1"/>
                <w:spacing w:val="-20"/>
                <w:sz w:val="24"/>
                <w:lang w:bidi="ar"/>
                <w14:textFill>
                  <w14:solidFill>
                    <w14:schemeClr w14:val="tx1"/>
                  </w14:solidFill>
                </w14:textFill>
              </w:rPr>
              <w:t>未铺装道路产生的颗粒物的粒度乘数及系数a、b的取值及控制效率</w:t>
            </w:r>
          </w:p>
          <w:tbl>
            <w:tblPr>
              <w:tblStyle w:val="66"/>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068"/>
              <w:gridCol w:w="1677"/>
              <w:gridCol w:w="1745"/>
              <w:gridCol w:w="1783"/>
            </w:tblGrid>
            <w:tr w14:paraId="726FF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53" w:type="pct"/>
                  <w:tcBorders>
                    <w:top w:val="single" w:color="auto" w:sz="6" w:space="0"/>
                    <w:left w:val="single" w:color="auto" w:sz="6" w:space="0"/>
                    <w:bottom w:val="single" w:color="auto" w:sz="6" w:space="0"/>
                    <w:right w:val="single" w:color="auto" w:sz="6" w:space="0"/>
                  </w:tcBorders>
                  <w:shd w:val="clear" w:color="auto" w:fill="auto"/>
                  <w:vAlign w:val="center"/>
                </w:tcPr>
                <w:p w14:paraId="3FA30B1B">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未铺装道路</w:t>
                  </w:r>
                </w:p>
              </w:tc>
              <w:tc>
                <w:tcPr>
                  <w:tcW w:w="1013" w:type="pct"/>
                  <w:tcBorders>
                    <w:top w:val="single" w:color="auto" w:sz="6" w:space="0"/>
                    <w:left w:val="single" w:color="auto" w:sz="6" w:space="0"/>
                    <w:bottom w:val="single" w:color="auto" w:sz="6" w:space="0"/>
                    <w:right w:val="single" w:color="auto" w:sz="6" w:space="0"/>
                  </w:tcBorders>
                  <w:shd w:val="clear" w:color="auto" w:fill="auto"/>
                  <w:vAlign w:val="center"/>
                </w:tcPr>
                <w:p w14:paraId="001E8B71">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TSP</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14:paraId="0FF5ACE9">
                  <w:pPr>
                    <w:keepNext w:val="0"/>
                    <w:keepLines w:val="0"/>
                    <w:pageBreakBefore w:val="0"/>
                    <w:kinsoku/>
                    <w:wordWrap/>
                    <w:overflowPunct/>
                    <w:topLinePunct w:val="0"/>
                    <w:autoSpaceDE/>
                    <w:autoSpaceDN/>
                    <w:bidi w:val="0"/>
                    <w:adjustRightInd w:val="0"/>
                    <w:snapToGrid w:val="0"/>
                    <w:spacing w:line="330" w:lineRule="exact"/>
                    <w:jc w:val="center"/>
                    <w:textAlignment w:val="auto"/>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PM</w:t>
                  </w:r>
                  <w:r>
                    <w:rPr>
                      <w:rFonts w:hint="eastAsia" w:cs="宋体"/>
                      <w:color w:val="000000" w:themeColor="text1"/>
                      <w:szCs w:val="21"/>
                      <w:vertAlign w:val="subscript"/>
                      <w:lang w:bidi="ar"/>
                      <w14:textFill>
                        <w14:solidFill>
                          <w14:schemeClr w14:val="tx1"/>
                        </w14:solidFill>
                      </w14:textFill>
                    </w:rPr>
                    <w:t>10</w:t>
                  </w:r>
                </w:p>
              </w:tc>
              <w:tc>
                <w:tcPr>
                  <w:tcW w:w="1077" w:type="pct"/>
                  <w:tcBorders>
                    <w:top w:val="single" w:color="auto" w:sz="6" w:space="0"/>
                    <w:left w:val="single" w:color="auto" w:sz="6" w:space="0"/>
                    <w:bottom w:val="single" w:color="auto" w:sz="6" w:space="0"/>
                    <w:right w:val="single" w:color="auto" w:sz="6" w:space="0"/>
                  </w:tcBorders>
                  <w:shd w:val="clear" w:color="auto" w:fill="auto"/>
                  <w:vAlign w:val="center"/>
                </w:tcPr>
                <w:p w14:paraId="2E36AF13">
                  <w:pPr>
                    <w:keepNext w:val="0"/>
                    <w:keepLines w:val="0"/>
                    <w:pageBreakBefore w:val="0"/>
                    <w:kinsoku/>
                    <w:wordWrap/>
                    <w:overflowPunct/>
                    <w:topLinePunct w:val="0"/>
                    <w:autoSpaceDE/>
                    <w:autoSpaceDN/>
                    <w:bidi w:val="0"/>
                    <w:adjustRightInd w:val="0"/>
                    <w:snapToGrid w:val="0"/>
                    <w:spacing w:line="330" w:lineRule="exact"/>
                    <w:jc w:val="center"/>
                    <w:textAlignment w:val="auto"/>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PM</w:t>
                  </w:r>
                  <w:r>
                    <w:rPr>
                      <w:rFonts w:hint="eastAsia" w:cs="宋体"/>
                      <w:color w:val="000000" w:themeColor="text1"/>
                      <w:szCs w:val="21"/>
                      <w:vertAlign w:val="subscript"/>
                      <w:lang w:bidi="ar"/>
                      <w14:textFill>
                        <w14:solidFill>
                          <w14:schemeClr w14:val="tx1"/>
                        </w14:solidFill>
                      </w14:textFill>
                    </w:rPr>
                    <w:t>2.5</w:t>
                  </w:r>
                </w:p>
              </w:tc>
            </w:tr>
            <w:tr w14:paraId="2D841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53" w:type="pct"/>
                  <w:tcBorders>
                    <w:top w:val="single" w:color="auto" w:sz="6" w:space="0"/>
                    <w:left w:val="single" w:color="auto" w:sz="6" w:space="0"/>
                    <w:bottom w:val="single" w:color="auto" w:sz="6" w:space="0"/>
                    <w:right w:val="single" w:color="auto" w:sz="6" w:space="0"/>
                  </w:tcBorders>
                  <w:shd w:val="clear" w:color="auto" w:fill="auto"/>
                  <w:vAlign w:val="center"/>
                </w:tcPr>
                <w:p w14:paraId="5684AD5D">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k（g/km）</w:t>
                  </w:r>
                </w:p>
              </w:tc>
              <w:tc>
                <w:tcPr>
                  <w:tcW w:w="1013" w:type="pct"/>
                  <w:tcBorders>
                    <w:top w:val="single" w:color="auto" w:sz="6" w:space="0"/>
                    <w:left w:val="single" w:color="auto" w:sz="6" w:space="0"/>
                    <w:bottom w:val="single" w:color="auto" w:sz="6" w:space="0"/>
                    <w:right w:val="single" w:color="auto" w:sz="6" w:space="0"/>
                  </w:tcBorders>
                  <w:shd w:val="clear" w:color="auto" w:fill="auto"/>
                  <w:vAlign w:val="center"/>
                </w:tcPr>
                <w:p w14:paraId="2356ED52">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1691.4</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14:paraId="510631E4">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507.42</w:t>
                  </w:r>
                </w:p>
              </w:tc>
              <w:tc>
                <w:tcPr>
                  <w:tcW w:w="1077" w:type="pct"/>
                  <w:tcBorders>
                    <w:top w:val="single" w:color="auto" w:sz="6" w:space="0"/>
                    <w:left w:val="single" w:color="auto" w:sz="6" w:space="0"/>
                    <w:bottom w:val="single" w:color="auto" w:sz="6" w:space="0"/>
                    <w:right w:val="single" w:color="auto" w:sz="6" w:space="0"/>
                  </w:tcBorders>
                  <w:shd w:val="clear" w:color="auto" w:fill="auto"/>
                  <w:vAlign w:val="center"/>
                </w:tcPr>
                <w:p w14:paraId="60A4A984">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50.742</w:t>
                  </w:r>
                </w:p>
              </w:tc>
            </w:tr>
            <w:tr w14:paraId="7296A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53" w:type="pct"/>
                  <w:tcBorders>
                    <w:top w:val="single" w:color="auto" w:sz="6" w:space="0"/>
                    <w:left w:val="single" w:color="auto" w:sz="6" w:space="0"/>
                    <w:bottom w:val="single" w:color="auto" w:sz="6" w:space="0"/>
                    <w:right w:val="single" w:color="auto" w:sz="6" w:space="0"/>
                  </w:tcBorders>
                  <w:shd w:val="clear" w:color="auto" w:fill="auto"/>
                  <w:vAlign w:val="center"/>
                </w:tcPr>
                <w:p w14:paraId="624D65CF">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a</w:t>
                  </w:r>
                </w:p>
              </w:tc>
              <w:tc>
                <w:tcPr>
                  <w:tcW w:w="1013" w:type="pct"/>
                  <w:tcBorders>
                    <w:top w:val="single" w:color="auto" w:sz="6" w:space="0"/>
                    <w:left w:val="single" w:color="auto" w:sz="6" w:space="0"/>
                    <w:bottom w:val="single" w:color="auto" w:sz="6" w:space="0"/>
                    <w:right w:val="single" w:color="auto" w:sz="6" w:space="0"/>
                  </w:tcBorders>
                  <w:shd w:val="clear" w:color="auto" w:fill="auto"/>
                  <w:vAlign w:val="center"/>
                </w:tcPr>
                <w:p w14:paraId="046B174D">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14:paraId="1078CD68">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1077" w:type="pct"/>
                  <w:tcBorders>
                    <w:top w:val="single" w:color="auto" w:sz="6" w:space="0"/>
                    <w:left w:val="single" w:color="auto" w:sz="6" w:space="0"/>
                    <w:bottom w:val="single" w:color="auto" w:sz="6" w:space="0"/>
                    <w:right w:val="single" w:color="auto" w:sz="6" w:space="0"/>
                  </w:tcBorders>
                  <w:shd w:val="clear" w:color="auto" w:fill="auto"/>
                  <w:vAlign w:val="center"/>
                </w:tcPr>
                <w:p w14:paraId="7AE5D992">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r>
            <w:tr w14:paraId="40C3D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8" w:hRule="atLeast"/>
                <w:jc w:val="center"/>
              </w:trPr>
              <w:tc>
                <w:tcPr>
                  <w:tcW w:w="1853" w:type="pct"/>
                  <w:tcBorders>
                    <w:top w:val="single" w:color="auto" w:sz="6" w:space="0"/>
                    <w:left w:val="single" w:color="auto" w:sz="6" w:space="0"/>
                    <w:bottom w:val="single" w:color="auto" w:sz="6" w:space="0"/>
                    <w:right w:val="single" w:color="auto" w:sz="6" w:space="0"/>
                  </w:tcBorders>
                  <w:shd w:val="clear" w:color="auto" w:fill="auto"/>
                  <w:vAlign w:val="center"/>
                </w:tcPr>
                <w:p w14:paraId="3AF4D0B3">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b</w:t>
                  </w:r>
                </w:p>
              </w:tc>
              <w:tc>
                <w:tcPr>
                  <w:tcW w:w="1013" w:type="pct"/>
                  <w:tcBorders>
                    <w:top w:val="single" w:color="auto" w:sz="6" w:space="0"/>
                    <w:left w:val="single" w:color="auto" w:sz="6" w:space="0"/>
                    <w:bottom w:val="single" w:color="auto" w:sz="6" w:space="0"/>
                    <w:right w:val="single" w:color="auto" w:sz="6" w:space="0"/>
                  </w:tcBorders>
                  <w:shd w:val="clear" w:color="auto" w:fill="auto"/>
                  <w:vAlign w:val="center"/>
                </w:tcPr>
                <w:p w14:paraId="54D60DB6">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14:paraId="7AF7BCA9">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1077" w:type="pct"/>
                  <w:tcBorders>
                    <w:top w:val="single" w:color="auto" w:sz="6" w:space="0"/>
                    <w:left w:val="single" w:color="auto" w:sz="6" w:space="0"/>
                    <w:bottom w:val="single" w:color="auto" w:sz="6" w:space="0"/>
                    <w:right w:val="single" w:color="auto" w:sz="6" w:space="0"/>
                  </w:tcBorders>
                  <w:shd w:val="clear" w:color="auto" w:fill="auto"/>
                  <w:vAlign w:val="center"/>
                </w:tcPr>
                <w:p w14:paraId="741433E9">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r>
            <w:tr w14:paraId="3F191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53" w:type="pct"/>
                  <w:tcBorders>
                    <w:top w:val="single" w:color="auto" w:sz="6" w:space="0"/>
                    <w:left w:val="single" w:color="auto" w:sz="6" w:space="0"/>
                    <w:bottom w:val="single" w:color="auto" w:sz="6" w:space="0"/>
                    <w:right w:val="single" w:color="auto" w:sz="6" w:space="0"/>
                  </w:tcBorders>
                  <w:shd w:val="clear" w:color="auto" w:fill="auto"/>
                  <w:vAlign w:val="center"/>
                </w:tcPr>
                <w:p w14:paraId="07BB9427">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控制措施</w:t>
                  </w:r>
                </w:p>
              </w:tc>
              <w:tc>
                <w:tcPr>
                  <w:tcW w:w="1013" w:type="pct"/>
                  <w:tcBorders>
                    <w:top w:val="single" w:color="auto" w:sz="6" w:space="0"/>
                    <w:left w:val="single" w:color="auto" w:sz="6" w:space="0"/>
                    <w:bottom w:val="single" w:color="auto" w:sz="6" w:space="0"/>
                    <w:right w:val="single" w:color="auto" w:sz="6" w:space="0"/>
                  </w:tcBorders>
                  <w:shd w:val="clear" w:color="auto" w:fill="auto"/>
                  <w:vAlign w:val="center"/>
                </w:tcPr>
                <w:p w14:paraId="215768B0">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TSP控制效率</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14:paraId="047D8F43">
                  <w:pPr>
                    <w:keepNext w:val="0"/>
                    <w:keepLines w:val="0"/>
                    <w:pageBreakBefore w:val="0"/>
                    <w:kinsoku/>
                    <w:wordWrap/>
                    <w:overflowPunct/>
                    <w:topLinePunct w:val="0"/>
                    <w:autoSpaceDE/>
                    <w:autoSpaceDN/>
                    <w:bidi w:val="0"/>
                    <w:adjustRightInd w:val="0"/>
                    <w:snapToGrid w:val="0"/>
                    <w:spacing w:line="330" w:lineRule="exact"/>
                    <w:jc w:val="center"/>
                    <w:textAlignment w:val="auto"/>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PM</w:t>
                  </w:r>
                  <w:r>
                    <w:rPr>
                      <w:rFonts w:hint="eastAsia" w:cs="宋体"/>
                      <w:color w:val="000000" w:themeColor="text1"/>
                      <w:szCs w:val="21"/>
                      <w:vertAlign w:val="subscript"/>
                      <w:lang w:bidi="ar"/>
                      <w14:textFill>
                        <w14:solidFill>
                          <w14:schemeClr w14:val="tx1"/>
                        </w14:solidFill>
                      </w14:textFill>
                    </w:rPr>
                    <w:t>10</w:t>
                  </w:r>
                  <w:r>
                    <w:rPr>
                      <w:rFonts w:hint="eastAsia"/>
                      <w:color w:val="000000" w:themeColor="text1"/>
                      <w:szCs w:val="21"/>
                      <w14:textFill>
                        <w14:solidFill>
                          <w14:schemeClr w14:val="tx1"/>
                        </w14:solidFill>
                      </w14:textFill>
                    </w:rPr>
                    <w:t>控制效率</w:t>
                  </w:r>
                </w:p>
              </w:tc>
              <w:tc>
                <w:tcPr>
                  <w:tcW w:w="1077" w:type="pct"/>
                  <w:tcBorders>
                    <w:top w:val="single" w:color="auto" w:sz="6" w:space="0"/>
                    <w:left w:val="single" w:color="auto" w:sz="6" w:space="0"/>
                    <w:bottom w:val="single" w:color="auto" w:sz="6" w:space="0"/>
                    <w:right w:val="single" w:color="auto" w:sz="6" w:space="0"/>
                  </w:tcBorders>
                  <w:shd w:val="clear" w:color="auto" w:fill="auto"/>
                  <w:vAlign w:val="center"/>
                </w:tcPr>
                <w:p w14:paraId="2E041C8F">
                  <w:pPr>
                    <w:keepNext w:val="0"/>
                    <w:keepLines w:val="0"/>
                    <w:pageBreakBefore w:val="0"/>
                    <w:kinsoku/>
                    <w:wordWrap/>
                    <w:overflowPunct/>
                    <w:topLinePunct w:val="0"/>
                    <w:autoSpaceDE/>
                    <w:autoSpaceDN/>
                    <w:bidi w:val="0"/>
                    <w:adjustRightInd w:val="0"/>
                    <w:snapToGrid w:val="0"/>
                    <w:spacing w:line="330" w:lineRule="exact"/>
                    <w:jc w:val="center"/>
                    <w:textAlignment w:val="auto"/>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PM</w:t>
                  </w:r>
                  <w:r>
                    <w:rPr>
                      <w:rFonts w:hint="eastAsia" w:cs="宋体"/>
                      <w:color w:val="000000" w:themeColor="text1"/>
                      <w:szCs w:val="21"/>
                      <w:vertAlign w:val="subscript"/>
                      <w:lang w:bidi="ar"/>
                      <w14:textFill>
                        <w14:solidFill>
                          <w14:schemeClr w14:val="tx1"/>
                        </w14:solidFill>
                      </w14:textFill>
                    </w:rPr>
                    <w:t>2.5</w:t>
                  </w:r>
                  <w:r>
                    <w:rPr>
                      <w:rFonts w:hint="eastAsia"/>
                      <w:color w:val="000000" w:themeColor="text1"/>
                      <w:szCs w:val="21"/>
                      <w14:textFill>
                        <w14:solidFill>
                          <w14:schemeClr w14:val="tx1"/>
                        </w14:solidFill>
                      </w14:textFill>
                    </w:rPr>
                    <w:t>控制效率</w:t>
                  </w:r>
                </w:p>
              </w:tc>
            </w:tr>
            <w:tr w14:paraId="58F649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53" w:type="pct"/>
                  <w:tcBorders>
                    <w:top w:val="single" w:color="auto" w:sz="6" w:space="0"/>
                    <w:left w:val="single" w:color="auto" w:sz="6" w:space="0"/>
                    <w:bottom w:val="single" w:color="auto" w:sz="6" w:space="0"/>
                    <w:right w:val="single" w:color="auto" w:sz="6" w:space="0"/>
                  </w:tcBorders>
                  <w:shd w:val="clear" w:color="auto" w:fill="auto"/>
                  <w:vAlign w:val="center"/>
                </w:tcPr>
                <w:p w14:paraId="27ED9F4E">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限制最高车速40千米/小时</w:t>
                  </w:r>
                </w:p>
              </w:tc>
              <w:tc>
                <w:tcPr>
                  <w:tcW w:w="1013" w:type="pct"/>
                  <w:tcBorders>
                    <w:top w:val="single" w:color="auto" w:sz="6" w:space="0"/>
                    <w:left w:val="single" w:color="auto" w:sz="6" w:space="0"/>
                    <w:bottom w:val="single" w:color="auto" w:sz="6" w:space="0"/>
                    <w:right w:val="single" w:color="auto" w:sz="6" w:space="0"/>
                  </w:tcBorders>
                  <w:shd w:val="clear" w:color="auto" w:fill="auto"/>
                  <w:vAlign w:val="center"/>
                </w:tcPr>
                <w:p w14:paraId="44A23AFA">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53%</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14:paraId="3CDB8E37">
                  <w:pPr>
                    <w:keepNext w:val="0"/>
                    <w:keepLines w:val="0"/>
                    <w:pageBreakBefore w:val="0"/>
                    <w:kinsoku/>
                    <w:wordWrap/>
                    <w:overflowPunct/>
                    <w:topLinePunct w:val="0"/>
                    <w:autoSpaceDE/>
                    <w:autoSpaceDN/>
                    <w:bidi w:val="0"/>
                    <w:adjustRightInd w:val="0"/>
                    <w:snapToGrid w:val="0"/>
                    <w:spacing w:line="330" w:lineRule="exact"/>
                    <w:jc w:val="center"/>
                    <w:textAlignment w:val="auto"/>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44%</w:t>
                  </w:r>
                </w:p>
              </w:tc>
              <w:tc>
                <w:tcPr>
                  <w:tcW w:w="1077" w:type="pct"/>
                  <w:tcBorders>
                    <w:top w:val="single" w:color="auto" w:sz="6" w:space="0"/>
                    <w:left w:val="single" w:color="auto" w:sz="6" w:space="0"/>
                    <w:bottom w:val="single" w:color="auto" w:sz="6" w:space="0"/>
                    <w:right w:val="single" w:color="auto" w:sz="6" w:space="0"/>
                  </w:tcBorders>
                  <w:shd w:val="clear" w:color="auto" w:fill="auto"/>
                  <w:vAlign w:val="center"/>
                </w:tcPr>
                <w:p w14:paraId="6A56C027">
                  <w:pPr>
                    <w:keepNext w:val="0"/>
                    <w:keepLines w:val="0"/>
                    <w:pageBreakBefore w:val="0"/>
                    <w:kinsoku/>
                    <w:wordWrap/>
                    <w:overflowPunct/>
                    <w:topLinePunct w:val="0"/>
                    <w:autoSpaceDE/>
                    <w:autoSpaceDN/>
                    <w:bidi w:val="0"/>
                    <w:adjustRightInd w:val="0"/>
                    <w:snapToGrid w:val="0"/>
                    <w:spacing w:line="330" w:lineRule="exact"/>
                    <w:jc w:val="center"/>
                    <w:textAlignment w:val="auto"/>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37%</w:t>
                  </w:r>
                </w:p>
              </w:tc>
            </w:tr>
            <w:tr w14:paraId="3A705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53" w:type="pct"/>
                  <w:tcBorders>
                    <w:top w:val="single" w:color="auto" w:sz="6" w:space="0"/>
                    <w:left w:val="single" w:color="auto" w:sz="6" w:space="0"/>
                    <w:bottom w:val="single" w:color="auto" w:sz="6" w:space="0"/>
                    <w:right w:val="single" w:color="auto" w:sz="6" w:space="0"/>
                  </w:tcBorders>
                  <w:shd w:val="clear" w:color="auto" w:fill="auto"/>
                  <w:vAlign w:val="center"/>
                </w:tcPr>
                <w:p w14:paraId="1874DFD7">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洒水2次/天</w:t>
                  </w:r>
                </w:p>
              </w:tc>
              <w:tc>
                <w:tcPr>
                  <w:tcW w:w="1013" w:type="pct"/>
                  <w:tcBorders>
                    <w:top w:val="single" w:color="auto" w:sz="6" w:space="0"/>
                    <w:left w:val="single" w:color="auto" w:sz="6" w:space="0"/>
                    <w:bottom w:val="single" w:color="auto" w:sz="6" w:space="0"/>
                    <w:right w:val="single" w:color="auto" w:sz="6" w:space="0"/>
                  </w:tcBorders>
                  <w:shd w:val="clear" w:color="auto" w:fill="auto"/>
                  <w:vAlign w:val="center"/>
                </w:tcPr>
                <w:p w14:paraId="20AC52D0">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66%</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14:paraId="3DE2C564">
                  <w:pPr>
                    <w:keepNext w:val="0"/>
                    <w:keepLines w:val="0"/>
                    <w:pageBreakBefore w:val="0"/>
                    <w:kinsoku/>
                    <w:wordWrap/>
                    <w:overflowPunct/>
                    <w:topLinePunct w:val="0"/>
                    <w:autoSpaceDE/>
                    <w:autoSpaceDN/>
                    <w:bidi w:val="0"/>
                    <w:adjustRightInd w:val="0"/>
                    <w:snapToGrid w:val="0"/>
                    <w:spacing w:line="330" w:lineRule="exact"/>
                    <w:jc w:val="center"/>
                    <w:textAlignment w:val="auto"/>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55</w:t>
                  </w:r>
                  <w:r>
                    <w:rPr>
                      <w:rFonts w:hint="eastAsia"/>
                      <w:color w:val="000000" w:themeColor="text1"/>
                      <w14:textFill>
                        <w14:solidFill>
                          <w14:schemeClr w14:val="tx1"/>
                        </w14:solidFill>
                      </w14:textFill>
                    </w:rPr>
                    <w:t>%</w:t>
                  </w:r>
                </w:p>
              </w:tc>
              <w:tc>
                <w:tcPr>
                  <w:tcW w:w="1077" w:type="pct"/>
                  <w:tcBorders>
                    <w:top w:val="single" w:color="auto" w:sz="6" w:space="0"/>
                    <w:left w:val="single" w:color="auto" w:sz="6" w:space="0"/>
                    <w:bottom w:val="single" w:color="auto" w:sz="6" w:space="0"/>
                    <w:right w:val="single" w:color="auto" w:sz="6" w:space="0"/>
                  </w:tcBorders>
                  <w:shd w:val="clear" w:color="auto" w:fill="auto"/>
                  <w:vAlign w:val="center"/>
                </w:tcPr>
                <w:p w14:paraId="4C48293D">
                  <w:pPr>
                    <w:keepNext w:val="0"/>
                    <w:keepLines w:val="0"/>
                    <w:pageBreakBefore w:val="0"/>
                    <w:kinsoku/>
                    <w:wordWrap/>
                    <w:overflowPunct/>
                    <w:topLinePunct w:val="0"/>
                    <w:autoSpaceDE/>
                    <w:autoSpaceDN/>
                    <w:bidi w:val="0"/>
                    <w:adjustRightInd w:val="0"/>
                    <w:snapToGrid w:val="0"/>
                    <w:spacing w:line="330" w:lineRule="exact"/>
                    <w:jc w:val="center"/>
                    <w:textAlignment w:val="auto"/>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46</w:t>
                  </w:r>
                  <w:r>
                    <w:rPr>
                      <w:rFonts w:hint="eastAsia"/>
                      <w:color w:val="000000" w:themeColor="text1"/>
                      <w14:textFill>
                        <w14:solidFill>
                          <w14:schemeClr w14:val="tx1"/>
                        </w14:solidFill>
                      </w14:textFill>
                    </w:rPr>
                    <w:t>%</w:t>
                  </w:r>
                </w:p>
              </w:tc>
            </w:tr>
            <w:tr w14:paraId="15C13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53" w:type="pct"/>
                  <w:tcBorders>
                    <w:top w:val="single" w:color="auto" w:sz="6" w:space="0"/>
                    <w:left w:val="single" w:color="auto" w:sz="6" w:space="0"/>
                    <w:bottom w:val="single" w:color="auto" w:sz="6" w:space="0"/>
                    <w:right w:val="single" w:color="auto" w:sz="6" w:space="0"/>
                  </w:tcBorders>
                  <w:shd w:val="clear" w:color="auto" w:fill="auto"/>
                  <w:vAlign w:val="center"/>
                </w:tcPr>
                <w:p w14:paraId="6F0A29CE">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使用化学抑尘剂</w:t>
                  </w:r>
                </w:p>
              </w:tc>
              <w:tc>
                <w:tcPr>
                  <w:tcW w:w="1013" w:type="pct"/>
                  <w:tcBorders>
                    <w:top w:val="single" w:color="auto" w:sz="6" w:space="0"/>
                    <w:left w:val="single" w:color="auto" w:sz="6" w:space="0"/>
                    <w:bottom w:val="single" w:color="auto" w:sz="6" w:space="0"/>
                    <w:right w:val="single" w:color="auto" w:sz="6" w:space="0"/>
                  </w:tcBorders>
                  <w:shd w:val="clear" w:color="auto" w:fill="auto"/>
                  <w:vAlign w:val="center"/>
                </w:tcPr>
                <w:p w14:paraId="1F319825">
                  <w:pPr>
                    <w:pStyle w:val="605"/>
                    <w:keepNext w:val="0"/>
                    <w:keepLines w:val="0"/>
                    <w:pageBreakBefore w:val="0"/>
                    <w:widowControl/>
                    <w:kinsoku/>
                    <w:wordWrap/>
                    <w:overflowPunct/>
                    <w:topLinePunct w:val="0"/>
                    <w:autoSpaceDE/>
                    <w:autoSpaceDN/>
                    <w:bidi w:val="0"/>
                    <w:spacing w:line="33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1054" w:type="pct"/>
                  <w:tcBorders>
                    <w:top w:val="single" w:color="auto" w:sz="6" w:space="0"/>
                    <w:left w:val="single" w:color="auto" w:sz="6" w:space="0"/>
                    <w:bottom w:val="single" w:color="auto" w:sz="6" w:space="0"/>
                    <w:right w:val="single" w:color="auto" w:sz="6" w:space="0"/>
                  </w:tcBorders>
                  <w:shd w:val="clear" w:color="auto" w:fill="auto"/>
                  <w:vAlign w:val="center"/>
                </w:tcPr>
                <w:p w14:paraId="6C33AEB8">
                  <w:pPr>
                    <w:keepNext w:val="0"/>
                    <w:keepLines w:val="0"/>
                    <w:pageBreakBefore w:val="0"/>
                    <w:kinsoku/>
                    <w:wordWrap/>
                    <w:overflowPunct/>
                    <w:topLinePunct w:val="0"/>
                    <w:autoSpaceDE/>
                    <w:autoSpaceDN/>
                    <w:bidi w:val="0"/>
                    <w:adjustRightInd w:val="0"/>
                    <w:snapToGrid w:val="0"/>
                    <w:spacing w:line="330" w:lineRule="exact"/>
                    <w:jc w:val="center"/>
                    <w:textAlignment w:val="auto"/>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84</w:t>
                  </w:r>
                  <w:r>
                    <w:rPr>
                      <w:rFonts w:hint="eastAsia"/>
                      <w:color w:val="000000" w:themeColor="text1"/>
                      <w14:textFill>
                        <w14:solidFill>
                          <w14:schemeClr w14:val="tx1"/>
                        </w14:solidFill>
                      </w14:textFill>
                    </w:rPr>
                    <w:t>%</w:t>
                  </w:r>
                </w:p>
              </w:tc>
              <w:tc>
                <w:tcPr>
                  <w:tcW w:w="1077" w:type="pct"/>
                  <w:tcBorders>
                    <w:top w:val="single" w:color="auto" w:sz="6" w:space="0"/>
                    <w:left w:val="single" w:color="auto" w:sz="6" w:space="0"/>
                    <w:bottom w:val="single" w:color="auto" w:sz="6" w:space="0"/>
                    <w:right w:val="single" w:color="auto" w:sz="6" w:space="0"/>
                  </w:tcBorders>
                  <w:shd w:val="clear" w:color="auto" w:fill="auto"/>
                  <w:vAlign w:val="center"/>
                </w:tcPr>
                <w:p w14:paraId="4B4ACF8C">
                  <w:pPr>
                    <w:keepNext w:val="0"/>
                    <w:keepLines w:val="0"/>
                    <w:pageBreakBefore w:val="0"/>
                    <w:kinsoku/>
                    <w:wordWrap/>
                    <w:overflowPunct/>
                    <w:topLinePunct w:val="0"/>
                    <w:autoSpaceDE/>
                    <w:autoSpaceDN/>
                    <w:bidi w:val="0"/>
                    <w:adjustRightInd w:val="0"/>
                    <w:snapToGrid w:val="0"/>
                    <w:spacing w:line="330" w:lineRule="exact"/>
                    <w:jc w:val="center"/>
                    <w:textAlignment w:val="auto"/>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70</w:t>
                  </w:r>
                  <w:r>
                    <w:rPr>
                      <w:rFonts w:hint="eastAsia"/>
                      <w:color w:val="000000" w:themeColor="text1"/>
                      <w14:textFill>
                        <w14:solidFill>
                          <w14:schemeClr w14:val="tx1"/>
                        </w14:solidFill>
                      </w14:textFill>
                    </w:rPr>
                    <w:t>%</w:t>
                  </w:r>
                </w:p>
              </w:tc>
            </w:tr>
          </w:tbl>
          <w:p w14:paraId="2FBC0C9C">
            <w:pPr>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根据上述公式及表格数据计算可得：道路扬尘污染源产生TSP、PM</w:t>
            </w:r>
            <w:r>
              <w:rPr>
                <w:rFonts w:hint="eastAsia" w:cs="宋体"/>
                <w:color w:val="000000" w:themeColor="text1"/>
                <w:sz w:val="24"/>
                <w:vertAlign w:val="subscript"/>
                <w:lang w:bidi="ar"/>
                <w14:textFill>
                  <w14:solidFill>
                    <w14:schemeClr w14:val="tx1"/>
                  </w14:solidFill>
                </w14:textFill>
              </w:rPr>
              <w:t>10</w:t>
            </w:r>
            <w:r>
              <w:rPr>
                <w:rFonts w:hint="eastAsia" w:cs="宋体"/>
                <w:color w:val="000000" w:themeColor="text1"/>
                <w:sz w:val="24"/>
                <w:lang w:bidi="ar"/>
                <w14:textFill>
                  <w14:solidFill>
                    <w14:schemeClr w14:val="tx1"/>
                  </w14:solidFill>
                </w14:textFill>
              </w:rPr>
              <w:t>、PM</w:t>
            </w:r>
            <w:r>
              <w:rPr>
                <w:rFonts w:hint="eastAsia" w:cs="宋体"/>
                <w:color w:val="000000" w:themeColor="text1"/>
                <w:sz w:val="24"/>
                <w:vertAlign w:val="subscript"/>
                <w:lang w:bidi="ar"/>
                <w14:textFill>
                  <w14:solidFill>
                    <w14:schemeClr w14:val="tx1"/>
                  </w14:solidFill>
                </w14:textFill>
              </w:rPr>
              <w:t>2.5</w:t>
            </w:r>
            <w:r>
              <w:rPr>
                <w:rFonts w:hint="eastAsia" w:cs="宋体"/>
                <w:color w:val="000000" w:themeColor="text1"/>
                <w:sz w:val="24"/>
                <w:lang w:bidi="ar"/>
                <w14:textFill>
                  <w14:solidFill>
                    <w14:schemeClr w14:val="tx1"/>
                  </w14:solidFill>
                </w14:textFill>
              </w:rPr>
              <w:t>的量分别为：4.6t/a、0.2t/a、0.044t/a。</w:t>
            </w:r>
          </w:p>
          <w:p w14:paraId="1D5FB4C3">
            <w:pPr>
              <w:spacing w:line="440" w:lineRule="exact"/>
              <w:ind w:firstLine="48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本环评要求施工过程中，要求车辆限速行驶及保持路面清洁，同时适当洒水有效控制施工道路扬尘，以降低道路扬尘对道路旁居民点的影响。</w:t>
            </w:r>
          </w:p>
          <w:p w14:paraId="765D4C57">
            <w:pPr>
              <w:spacing w:line="440" w:lineRule="exact"/>
              <w:ind w:firstLine="48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施工期间，位于运输道路两侧的佟庄村、刘家窝村、东平台村、夜明峪村、潘庄村等（上述村庄均位于入场现有乡村道路两侧）容易受到道路扬尘的影响。为减轻施工扬尘对外环境的影响、避免发生扬尘扰民问题，本评价要求建设单位在施工过程中按照《中华人民共和国大气污染防治法》、《河北省大气污染防治条例》等有关规定，采取下列扬尘防治措施：</w:t>
            </w:r>
          </w:p>
          <w:p w14:paraId="3BF4EFCE">
            <w:pPr>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1</w:t>
            </w:r>
            <w:r>
              <w:rPr>
                <w:rFonts w:hint="eastAsia" w:cs="宋体"/>
                <w:color w:val="000000" w:themeColor="text1"/>
                <w:sz w:val="24"/>
                <w:lang w:bidi="ar"/>
                <w14:textFill>
                  <w14:solidFill>
                    <w14:schemeClr w14:val="tx1"/>
                  </w14:solidFill>
                </w14:textFill>
              </w:rPr>
              <w:t>）施工期间，根据《建设工程现场管理规定》的规定设置现场平面布置图、工程概况牌、安全生产牌、消防保卫牌、文明施工牌、环境保护牌、管理人员名单及监督电话牌等标志牌。</w:t>
            </w:r>
          </w:p>
          <w:p w14:paraId="0DE7E101">
            <w:pPr>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2</w:t>
            </w:r>
            <w:r>
              <w:rPr>
                <w:rFonts w:hint="eastAsia" w:cs="宋体"/>
                <w:color w:val="000000" w:themeColor="text1"/>
                <w:sz w:val="24"/>
                <w:lang w:bidi="ar"/>
                <w14:textFill>
                  <w14:solidFill>
                    <w14:schemeClr w14:val="tx1"/>
                  </w14:solidFill>
                </w14:textFill>
              </w:rPr>
              <w:t>）施工场地和汽车行驶的路面应坚持采取洒水降尘措施，每日约</w:t>
            </w:r>
            <w:r>
              <w:rPr>
                <w:color w:val="000000" w:themeColor="text1"/>
                <w:sz w:val="24"/>
                <w:lang w:bidi="ar"/>
                <w14:textFill>
                  <w14:solidFill>
                    <w14:schemeClr w14:val="tx1"/>
                  </w14:solidFill>
                </w14:textFill>
              </w:rPr>
              <w:t>4~5</w:t>
            </w:r>
            <w:r>
              <w:rPr>
                <w:rFonts w:hint="eastAsia" w:cs="宋体"/>
                <w:color w:val="000000" w:themeColor="text1"/>
                <w:sz w:val="24"/>
                <w:lang w:bidi="ar"/>
                <w14:textFill>
                  <w14:solidFill>
                    <w14:schemeClr w14:val="tx1"/>
                  </w14:solidFill>
                </w14:textFill>
              </w:rPr>
              <w:t>次，遇大风起尘天气，还应增加洒水频率。</w:t>
            </w:r>
          </w:p>
          <w:p w14:paraId="793FC9EE">
            <w:pPr>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3</w:t>
            </w:r>
            <w:r>
              <w:rPr>
                <w:rFonts w:hint="eastAsia" w:cs="宋体"/>
                <w:color w:val="000000" w:themeColor="text1"/>
                <w:sz w:val="24"/>
                <w:lang w:bidi="ar"/>
                <w14:textFill>
                  <w14:solidFill>
                    <w14:schemeClr w14:val="tx1"/>
                  </w14:solidFill>
                </w14:textFill>
              </w:rPr>
              <w:t>）施工期间剥离表土、开挖产生的待运土石方及工地内的散体材料应采取集中堆存、土工布覆盖等防护措施，防止施工中产生的尘土飞扬及废弃物、杂物飘散。</w:t>
            </w:r>
          </w:p>
          <w:p w14:paraId="3C34DFC8">
            <w:pPr>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4</w:t>
            </w:r>
            <w:r>
              <w:rPr>
                <w:rFonts w:hint="eastAsia" w:cs="宋体"/>
                <w:color w:val="000000" w:themeColor="text1"/>
                <w:sz w:val="24"/>
                <w:lang w:bidi="ar"/>
                <w14:textFill>
                  <w14:solidFill>
                    <w14:schemeClr w14:val="tx1"/>
                  </w14:solidFill>
                </w14:textFill>
              </w:rPr>
              <w:t>）场区地处山坡位置，风速较大，在晴天容易产生尘土飞扬。为抑制尘土飞扬和降尘，晴天利用水管对堆积表面进行喷洒，以保护环境。</w:t>
            </w:r>
          </w:p>
          <w:p w14:paraId="18F0F055">
            <w:pPr>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5</w:t>
            </w:r>
            <w:r>
              <w:rPr>
                <w:rFonts w:hint="eastAsia" w:cs="宋体"/>
                <w:color w:val="000000" w:themeColor="text1"/>
                <w:sz w:val="24"/>
                <w:lang w:bidi="ar"/>
                <w14:textFill>
                  <w14:solidFill>
                    <w14:schemeClr w14:val="tx1"/>
                  </w14:solidFill>
                </w14:textFill>
              </w:rPr>
              <w:t>）施工场地应设专职人员负责扬尘控制措施的实施和监督，负责逸散性材料、渣土、裸露地面的遮蔽、覆盖和洒水作业。</w:t>
            </w:r>
          </w:p>
          <w:p w14:paraId="7E138F8F">
            <w:pPr>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6</w:t>
            </w:r>
            <w:r>
              <w:rPr>
                <w:rFonts w:hint="eastAsia" w:cs="宋体"/>
                <w:color w:val="000000" w:themeColor="text1"/>
                <w:sz w:val="24"/>
                <w:lang w:bidi="ar"/>
                <w14:textFill>
                  <w14:solidFill>
                    <w14:schemeClr w14:val="tx1"/>
                  </w14:solidFill>
                </w14:textFill>
              </w:rPr>
              <w:t>）严格控制施工期间运输车辆的装载量，避免超载运输；运输车辆的车厢应当确保牢固、严密，严禁在装运过程中沿途抛、洒、滴、漏。运输车辆经过沿途居民点时注意控制车速，减速慢行，防止高速行车时产生大量扬尘。</w:t>
            </w:r>
          </w:p>
          <w:p w14:paraId="13506DB9">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7</w:t>
            </w:r>
            <w:r>
              <w:rPr>
                <w:rFonts w:hint="eastAsia" w:cs="宋体"/>
                <w:color w:val="000000" w:themeColor="text1"/>
                <w:sz w:val="24"/>
                <w:lang w:bidi="ar"/>
                <w14:textFill>
                  <w14:solidFill>
                    <w14:schemeClr w14:val="tx1"/>
                  </w14:solidFill>
                </w14:textFill>
              </w:rPr>
              <w:t>）施工方应当加强对施工人员的环保教育，提高全体施工人员的环保意识，坚持文明科学施工。</w:t>
            </w:r>
          </w:p>
          <w:p w14:paraId="10B0619F">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8</w:t>
            </w:r>
            <w:r>
              <w:rPr>
                <w:rFonts w:hint="eastAsia" w:cs="宋体"/>
                <w:color w:val="000000" w:themeColor="text1"/>
                <w:sz w:val="24"/>
                <w:lang w:bidi="ar"/>
                <w14:textFill>
                  <w14:solidFill>
                    <w14:schemeClr w14:val="tx1"/>
                  </w14:solidFill>
                </w14:textFill>
              </w:rPr>
              <w:t>）加强施工场地洒水降尘，用土工布覆盖易产尘材料、</w:t>
            </w:r>
            <w:r>
              <w:rPr>
                <w:rFonts w:hint="eastAsia" w:cs="宋体"/>
                <w:color w:val="000000" w:themeColor="text1"/>
                <w:sz w:val="24"/>
                <w:lang w:val="zh-CN" w:bidi="ar"/>
                <w14:textFill>
                  <w14:solidFill>
                    <w14:schemeClr w14:val="tx1"/>
                  </w14:solidFill>
                </w14:textFill>
              </w:rPr>
              <w:t>土石方及时回填压实</w:t>
            </w:r>
            <w:r>
              <w:rPr>
                <w:rFonts w:hint="eastAsia" w:cs="宋体"/>
                <w:color w:val="000000" w:themeColor="text1"/>
                <w:sz w:val="24"/>
                <w:lang w:bidi="ar"/>
                <w14:textFill>
                  <w14:solidFill>
                    <w14:schemeClr w14:val="tx1"/>
                  </w14:solidFill>
                </w14:textFill>
              </w:rPr>
              <w:t>等措施。</w:t>
            </w:r>
          </w:p>
          <w:p w14:paraId="3FF9A50F">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9</w:t>
            </w:r>
            <w:r>
              <w:rPr>
                <w:rFonts w:hint="eastAsia" w:cs="宋体"/>
                <w:color w:val="000000" w:themeColor="text1"/>
                <w:sz w:val="24"/>
                <w:lang w:bidi="ar"/>
                <w14:textFill>
                  <w14:solidFill>
                    <w14:schemeClr w14:val="tx1"/>
                  </w14:solidFill>
                </w14:textFill>
              </w:rPr>
              <w:t>）施工期禁止大开挖、推平台等作业方式进行光伏打桩作业。</w:t>
            </w:r>
          </w:p>
          <w:p w14:paraId="2FDD8C01">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10</w:t>
            </w:r>
            <w:r>
              <w:rPr>
                <w:rFonts w:hint="eastAsia" w:cs="宋体"/>
                <w:color w:val="000000" w:themeColor="text1"/>
                <w:sz w:val="24"/>
                <w:lang w:bidi="ar"/>
                <w14:textFill>
                  <w14:solidFill>
                    <w14:schemeClr w14:val="tx1"/>
                  </w14:solidFill>
                </w14:textFill>
              </w:rPr>
              <w:t>）建设工程完工后，施工单位应当在</w:t>
            </w:r>
            <w:r>
              <w:rPr>
                <w:color w:val="000000" w:themeColor="text1"/>
                <w:sz w:val="24"/>
                <w:lang w:bidi="ar"/>
                <w14:textFill>
                  <w14:solidFill>
                    <w14:schemeClr w14:val="tx1"/>
                  </w14:solidFill>
                </w14:textFill>
              </w:rPr>
              <w:t>1</w:t>
            </w:r>
            <w:r>
              <w:rPr>
                <w:rFonts w:hint="eastAsia" w:cs="宋体"/>
                <w:color w:val="000000" w:themeColor="text1"/>
                <w:sz w:val="24"/>
                <w:lang w:bidi="ar"/>
                <w14:textFill>
                  <w14:solidFill>
                    <w14:schemeClr w14:val="tx1"/>
                  </w14:solidFill>
                </w14:textFill>
              </w:rPr>
              <w:t>个月内拆除工地围挡、安全防护设施和其他临时设施，并将工地及四周环境清理整洁，做到工完、料净、场地洁。</w:t>
            </w:r>
          </w:p>
          <w:p w14:paraId="556BA8EE">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综上，在严格落实上述扬尘污染防治措施后，施工期扬尘对周围大气环境保护目标及区域大气环境的影响将大为减小，并将随施工期的结束而结束。</w:t>
            </w:r>
          </w:p>
          <w:p w14:paraId="600F0D6B">
            <w:pPr>
              <w:adjustRightInd w:val="0"/>
              <w:snapToGrid w:val="0"/>
              <w:spacing w:line="440" w:lineRule="exact"/>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 xml:space="preserve">3.2 </w:t>
            </w:r>
            <w:r>
              <w:rPr>
                <w:rFonts w:hint="eastAsia" w:cs="宋体"/>
                <w:b/>
                <w:color w:val="000000" w:themeColor="text1"/>
                <w:sz w:val="24"/>
                <w:lang w:bidi="ar"/>
                <w14:textFill>
                  <w14:solidFill>
                    <w14:schemeClr w14:val="tx1"/>
                  </w14:solidFill>
                </w14:textFill>
              </w:rPr>
              <w:t>燃油废气</w:t>
            </w:r>
          </w:p>
          <w:p w14:paraId="2CE9598C">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施工机械、汽车及柴油发电机大多以柴油作为燃料，燃料燃烧过程中会产生</w:t>
            </w:r>
            <w:r>
              <w:rPr>
                <w:color w:val="000000" w:themeColor="text1"/>
                <w:sz w:val="24"/>
                <w:lang w:bidi="ar"/>
                <w14:textFill>
                  <w14:solidFill>
                    <w14:schemeClr w14:val="tx1"/>
                  </w14:solidFill>
                </w14:textFill>
              </w:rPr>
              <w:t>CO</w:t>
            </w: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SO</w:t>
            </w:r>
            <w:r>
              <w:rPr>
                <w:color w:val="000000" w:themeColor="text1"/>
                <w:sz w:val="24"/>
                <w:vertAlign w:val="subscript"/>
                <w:lang w:bidi="ar"/>
                <w14:textFill>
                  <w14:solidFill>
                    <w14:schemeClr w14:val="tx1"/>
                  </w14:solidFill>
                </w14:textFill>
              </w:rPr>
              <w:t>2</w:t>
            </w: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NO</w:t>
            </w:r>
            <w:r>
              <w:rPr>
                <w:color w:val="000000" w:themeColor="text1"/>
                <w:sz w:val="24"/>
                <w:vertAlign w:val="subscript"/>
                <w:lang w:bidi="ar"/>
                <w14:textFill>
                  <w14:solidFill>
                    <w14:schemeClr w14:val="tx1"/>
                  </w14:solidFill>
                </w14:textFill>
              </w:rPr>
              <w:t>X</w:t>
            </w:r>
            <w:r>
              <w:rPr>
                <w:rFonts w:hint="eastAsia" w:cs="宋体"/>
                <w:color w:val="000000" w:themeColor="text1"/>
                <w:sz w:val="24"/>
                <w:lang w:bidi="ar"/>
                <w14:textFill>
                  <w14:solidFill>
                    <w14:schemeClr w14:val="tx1"/>
                  </w14:solidFill>
                </w14:textFill>
              </w:rPr>
              <w:t>、碳氢化合物和烟尘，产生情况主要决定因素为燃料油种类、机械性能、作业方式和风力等，其中属机械性能、作业方式因素的影响最大，如运输车辆和部分施工机械在怠速、减速和加速时产生的污染较为严重。根据《河北省河北省2023年大气污染综合治理工作要点》相关要求，2023年7月1日起,实施重型车国6b排放标准。非道路移动机械严格执行非道路移动机械国家第四阶段排放标准。</w:t>
            </w:r>
          </w:p>
          <w:p w14:paraId="6794662C">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根据生态环境部发布的《非道路移动源大气污染物排放清单编制技术指南（试行）》及《</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"https://www.mee.gov.cn/gkml/hbb/bgg/201501/W020150107594587831090.pdf" </w:instrText>
            </w:r>
            <w:r>
              <w:rPr>
                <w:color w:val="000000" w:themeColor="text1"/>
                <w14:textFill>
                  <w14:solidFill>
                    <w14:schemeClr w14:val="tx1"/>
                  </w14:solidFill>
                </w14:textFill>
              </w:rPr>
              <w:fldChar w:fldCharType="separate"/>
            </w:r>
            <w:r>
              <w:rPr>
                <w:rFonts w:hint="eastAsia" w:cs="宋体"/>
                <w:color w:val="000000" w:themeColor="text1"/>
                <w:sz w:val="24"/>
                <w:lang w:bidi="ar"/>
                <w14:textFill>
                  <w14:solidFill>
                    <w14:schemeClr w14:val="tx1"/>
                  </w14:solidFill>
                </w14:textFill>
              </w:rPr>
              <w:t>道路机动车大气污染物排放清单编制技术指南（试行）</w:t>
            </w:r>
            <w:r>
              <w:rPr>
                <w:rFonts w:hint="eastAsia" w:cs="宋体"/>
                <w:color w:val="000000" w:themeColor="text1"/>
                <w:sz w:val="24"/>
                <w:lang w:bidi="ar"/>
                <w14:textFill>
                  <w14:solidFill>
                    <w14:schemeClr w14:val="tx1"/>
                  </w14:solidFill>
                </w14:textFill>
              </w:rPr>
              <w:fldChar w:fldCharType="end"/>
            </w:r>
            <w:r>
              <w:rPr>
                <w:rFonts w:hint="eastAsia" w:cs="宋体"/>
                <w:color w:val="000000" w:themeColor="text1"/>
                <w:sz w:val="24"/>
                <w:lang w:bidi="ar"/>
                <w14:textFill>
                  <w14:solidFill>
                    <w14:schemeClr w14:val="tx1"/>
                  </w14:solidFill>
                </w14:textFill>
              </w:rPr>
              <w:t>》，工程机械包括挖掘机、推土机、装载机、叉车、压路机、摊铺机、平地机、以及其他机械等，其运行过程当中产生的污染物源强核算按照《非道路移动源大气污染物排放清单编制技术指南（试行）》核算，根据指南要求，</w:t>
            </w:r>
          </w:p>
          <w:p w14:paraId="1991924A">
            <w:pPr>
              <w:adjustRightInd w:val="0"/>
              <w:snapToGrid w:val="0"/>
              <w:spacing w:line="440"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09440" behindDoc="0" locked="0" layoutInCell="1" allowOverlap="1">
                  <wp:simplePos x="0" y="0"/>
                  <wp:positionH relativeFrom="column">
                    <wp:posOffset>1129665</wp:posOffset>
                  </wp:positionH>
                  <wp:positionV relativeFrom="paragraph">
                    <wp:posOffset>48260</wp:posOffset>
                  </wp:positionV>
                  <wp:extent cx="3404235" cy="2629535"/>
                  <wp:effectExtent l="0" t="0" r="9525" b="6985"/>
                  <wp:wrapNone/>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6"/>
                          <a:stretch>
                            <a:fillRect/>
                          </a:stretch>
                        </pic:blipFill>
                        <pic:spPr>
                          <a:xfrm>
                            <a:off x="0" y="0"/>
                            <a:ext cx="3404235" cy="2629535"/>
                          </a:xfrm>
                          <a:prstGeom prst="rect">
                            <a:avLst/>
                          </a:prstGeom>
                          <a:noFill/>
                          <a:ln>
                            <a:noFill/>
                          </a:ln>
                        </pic:spPr>
                      </pic:pic>
                    </a:graphicData>
                  </a:graphic>
                </wp:anchor>
              </w:drawing>
            </w:r>
          </w:p>
          <w:p w14:paraId="1ECE4176">
            <w:pPr>
              <w:pStyle w:val="2"/>
              <w:ind w:firstLine="560"/>
              <w:rPr>
                <w:color w:val="000000" w:themeColor="text1"/>
                <w14:textFill>
                  <w14:solidFill>
                    <w14:schemeClr w14:val="tx1"/>
                  </w14:solidFill>
                </w14:textFill>
              </w:rPr>
            </w:pPr>
          </w:p>
          <w:p w14:paraId="720F82F6">
            <w:pPr>
              <w:pStyle w:val="3"/>
              <w:ind w:firstLine="560"/>
              <w:rPr>
                <w:color w:val="000000" w:themeColor="text1"/>
                <w14:textFill>
                  <w14:solidFill>
                    <w14:schemeClr w14:val="tx1"/>
                  </w14:solidFill>
                </w14:textFill>
              </w:rPr>
            </w:pPr>
          </w:p>
          <w:p w14:paraId="3076521A">
            <w:pPr>
              <w:rPr>
                <w:color w:val="000000" w:themeColor="text1"/>
                <w14:textFill>
                  <w14:solidFill>
                    <w14:schemeClr w14:val="tx1"/>
                  </w14:solidFill>
                </w14:textFill>
              </w:rPr>
            </w:pPr>
          </w:p>
          <w:p w14:paraId="7DEC5568">
            <w:pPr>
              <w:pStyle w:val="2"/>
              <w:ind w:firstLine="560"/>
              <w:rPr>
                <w:color w:val="000000" w:themeColor="text1"/>
                <w14:textFill>
                  <w14:solidFill>
                    <w14:schemeClr w14:val="tx1"/>
                  </w14:solidFill>
                </w14:textFill>
              </w:rPr>
            </w:pPr>
          </w:p>
          <w:p w14:paraId="73D69D6B">
            <w:pPr>
              <w:pStyle w:val="3"/>
              <w:ind w:firstLine="560"/>
              <w:rPr>
                <w:color w:val="000000" w:themeColor="text1"/>
                <w14:textFill>
                  <w14:solidFill>
                    <w14:schemeClr w14:val="tx1"/>
                  </w14:solidFill>
                </w14:textFill>
              </w:rPr>
            </w:pPr>
          </w:p>
          <w:p w14:paraId="3CDCDE46">
            <w:pPr>
              <w:rPr>
                <w:color w:val="000000" w:themeColor="text1"/>
                <w14:textFill>
                  <w14:solidFill>
                    <w14:schemeClr w14:val="tx1"/>
                  </w14:solidFill>
                </w14:textFill>
              </w:rPr>
            </w:pPr>
          </w:p>
          <w:p w14:paraId="7D4A374D">
            <w:pPr>
              <w:pStyle w:val="2"/>
              <w:ind w:firstLine="560"/>
              <w:rPr>
                <w:color w:val="000000" w:themeColor="text1"/>
                <w14:textFill>
                  <w14:solidFill>
                    <w14:schemeClr w14:val="tx1"/>
                  </w14:solidFill>
                </w14:textFill>
              </w:rPr>
            </w:pPr>
          </w:p>
          <w:p w14:paraId="690A0CD9">
            <w:pPr>
              <w:pStyle w:val="3"/>
              <w:ind w:firstLine="560"/>
              <w:rPr>
                <w:color w:val="000000" w:themeColor="text1"/>
                <w14:textFill>
                  <w14:solidFill>
                    <w14:schemeClr w14:val="tx1"/>
                  </w14:solidFill>
                </w14:textFill>
              </w:rPr>
            </w:pPr>
          </w:p>
          <w:p w14:paraId="3B286672">
            <w:pPr>
              <w:rPr>
                <w:color w:val="000000" w:themeColor="text1"/>
                <w14:textFill>
                  <w14:solidFill>
                    <w14:schemeClr w14:val="tx1"/>
                  </w14:solidFill>
                </w14:textFill>
              </w:rPr>
            </w:pPr>
          </w:p>
          <w:p w14:paraId="44F783BF">
            <w:pPr>
              <w:pStyle w:val="2"/>
              <w:ind w:firstLine="560"/>
              <w:rPr>
                <w:color w:val="000000" w:themeColor="text1"/>
                <w14:textFill>
                  <w14:solidFill>
                    <w14:schemeClr w14:val="tx1"/>
                  </w14:solidFill>
                </w14:textFill>
              </w:rPr>
            </w:pPr>
          </w:p>
          <w:p w14:paraId="22CC7277">
            <w:pPr>
              <w:pStyle w:val="3"/>
              <w:ind w:firstLine="2168" w:firstLineChars="900"/>
              <w:rPr>
                <w:b/>
                <w:bCs/>
                <w:color w:val="000000" w:themeColor="text1"/>
                <w:sz w:val="24"/>
                <w:lang w:bidi="ar"/>
                <w14:textFill>
                  <w14:solidFill>
                    <w14:schemeClr w14:val="tx1"/>
                  </w14:solidFill>
                </w14:textFill>
              </w:rPr>
            </w:pPr>
            <w:r>
              <w:rPr>
                <w:rFonts w:hint="eastAsia"/>
                <w:b/>
                <w:bCs/>
                <w:color w:val="000000" w:themeColor="text1"/>
                <w:sz w:val="24"/>
                <w:lang w:bidi="ar"/>
                <w14:textFill>
                  <w14:solidFill>
                    <w14:schemeClr w14:val="tx1"/>
                  </w14:solidFill>
                </w14:textFill>
              </w:rPr>
              <w:t>图4-1    非道路移动机械排放计算方法选择流程</w:t>
            </w:r>
          </w:p>
          <w:p w14:paraId="047D0578">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本项目非道路移动源强核算选择该指南中的方法1，则</w:t>
            </w:r>
          </w:p>
          <w:p w14:paraId="2996ED6E">
            <w:pPr>
              <w:pStyle w:val="2"/>
              <w:ind w:firstLine="480"/>
              <w:rPr>
                <w:rFonts w:cs="宋体"/>
                <w:color w:val="000000" w:themeColor="text1"/>
                <w:sz w:val="24"/>
                <w:lang w:bidi="ar"/>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08416" behindDoc="0" locked="0" layoutInCell="1" allowOverlap="1">
                  <wp:simplePos x="0" y="0"/>
                  <wp:positionH relativeFrom="column">
                    <wp:posOffset>1287780</wp:posOffset>
                  </wp:positionH>
                  <wp:positionV relativeFrom="paragraph">
                    <wp:posOffset>54610</wp:posOffset>
                  </wp:positionV>
                  <wp:extent cx="2339340" cy="342900"/>
                  <wp:effectExtent l="0" t="0" r="7620" b="7620"/>
                  <wp:wrapNone/>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17"/>
                          <a:stretch>
                            <a:fillRect/>
                          </a:stretch>
                        </pic:blipFill>
                        <pic:spPr>
                          <a:xfrm>
                            <a:off x="0" y="0"/>
                            <a:ext cx="2339340" cy="342900"/>
                          </a:xfrm>
                          <a:prstGeom prst="rect">
                            <a:avLst/>
                          </a:prstGeom>
                          <a:noFill/>
                          <a:ln>
                            <a:noFill/>
                          </a:ln>
                        </pic:spPr>
                      </pic:pic>
                    </a:graphicData>
                  </a:graphic>
                </wp:anchor>
              </w:drawing>
            </w:r>
          </w:p>
          <w:p w14:paraId="6365AF5E">
            <w:pPr>
              <w:pStyle w:val="3"/>
              <w:ind w:firstLine="560"/>
              <w:rPr>
                <w:color w:val="000000" w:themeColor="text1"/>
                <w14:textFill>
                  <w14:solidFill>
                    <w14:schemeClr w14:val="tx1"/>
                  </w14:solidFill>
                </w14:textFill>
              </w:rPr>
            </w:pPr>
          </w:p>
          <w:p w14:paraId="5E83AC0A">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式中：</w:t>
            </w:r>
          </w:p>
          <w:p w14:paraId="1919FFA7">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E为非道路移动机械的CO、HC、NO</w:t>
            </w:r>
            <w:r>
              <w:rPr>
                <w:rFonts w:hint="eastAsia" w:cs="宋体"/>
                <w:color w:val="000000" w:themeColor="text1"/>
                <w:sz w:val="24"/>
                <w:vertAlign w:val="subscript"/>
                <w:lang w:bidi="ar"/>
                <w14:textFill>
                  <w14:solidFill>
                    <w14:schemeClr w14:val="tx1"/>
                  </w14:solidFill>
                </w14:textFill>
              </w:rPr>
              <w:t>X</w:t>
            </w:r>
            <w:r>
              <w:rPr>
                <w:rFonts w:hint="eastAsia" w:cs="宋体"/>
                <w:color w:val="000000" w:themeColor="text1"/>
                <w:sz w:val="24"/>
                <w:lang w:bidi="ar"/>
                <w14:textFill>
                  <w14:solidFill>
                    <w14:schemeClr w14:val="tx1"/>
                  </w14:solidFill>
                </w14:textFill>
              </w:rPr>
              <w:t>、PM</w:t>
            </w:r>
            <w:r>
              <w:rPr>
                <w:rFonts w:hint="eastAsia" w:cs="宋体"/>
                <w:color w:val="000000" w:themeColor="text1"/>
                <w:sz w:val="24"/>
                <w:vertAlign w:val="subscript"/>
                <w:lang w:bidi="ar"/>
                <w14:textFill>
                  <w14:solidFill>
                    <w14:schemeClr w14:val="tx1"/>
                  </w14:solidFill>
                </w14:textFill>
              </w:rPr>
              <w:t>2.5</w:t>
            </w:r>
            <w:r>
              <w:rPr>
                <w:rFonts w:hint="eastAsia" w:cs="宋体"/>
                <w:color w:val="000000" w:themeColor="text1"/>
                <w:sz w:val="24"/>
                <w:lang w:bidi="ar"/>
                <w14:textFill>
                  <w14:solidFill>
                    <w14:schemeClr w14:val="tx1"/>
                  </w14:solidFill>
                </w14:textFill>
              </w:rPr>
              <w:t>和PM</w:t>
            </w:r>
            <w:r>
              <w:rPr>
                <w:rFonts w:hint="eastAsia" w:cs="宋体"/>
                <w:color w:val="000000" w:themeColor="text1"/>
                <w:sz w:val="24"/>
                <w:vertAlign w:val="subscript"/>
                <w:lang w:bidi="ar"/>
                <w14:textFill>
                  <w14:solidFill>
                    <w14:schemeClr w14:val="tx1"/>
                  </w14:solidFill>
                </w14:textFill>
              </w:rPr>
              <w:t>10</w:t>
            </w:r>
            <w:r>
              <w:rPr>
                <w:rFonts w:hint="eastAsia" w:cs="宋体"/>
                <w:color w:val="000000" w:themeColor="text1"/>
                <w:sz w:val="24"/>
                <w:lang w:bidi="ar"/>
                <w14:textFill>
                  <w14:solidFill>
                    <w14:schemeClr w14:val="tx1"/>
                  </w14:solidFill>
                </w14:textFill>
              </w:rPr>
              <w:t>排放量，单位为吨；</w:t>
            </w:r>
          </w:p>
          <w:p w14:paraId="44170BEE">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Y为燃油消耗量，单位为千克；</w:t>
            </w:r>
          </w:p>
          <w:p w14:paraId="5FB22C21">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EF为排放系数，单位为克/千克燃料。</w:t>
            </w:r>
          </w:p>
          <w:p w14:paraId="03CB1672">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根据企业提供相关工程机械台班燃油消耗量，本项目施工期为6个月，燃油消耗量约为15.6t，根据该技术指南中的表5提供的排放系数，具体系数如下：</w:t>
            </w:r>
          </w:p>
          <w:p w14:paraId="31AE90A8">
            <w:pPr>
              <w:spacing w:line="440" w:lineRule="exact"/>
              <w:ind w:firstLine="402" w:firstLineChars="200"/>
              <w:rPr>
                <w:b/>
                <w:bCs/>
                <w:color w:val="000000" w:themeColor="text1"/>
                <w:sz w:val="24"/>
                <w14:textFill>
                  <w14:solidFill>
                    <w14:schemeClr w14:val="tx1"/>
                  </w14:solidFill>
                </w14:textFill>
              </w:rPr>
            </w:pPr>
            <w:r>
              <w:rPr>
                <w:rFonts w:hint="eastAsia" w:cs="宋体"/>
                <w:b/>
                <w:bCs/>
                <w:color w:val="000000" w:themeColor="text1"/>
                <w:spacing w:val="-20"/>
                <w:sz w:val="24"/>
                <w:lang w:bidi="ar"/>
                <w14:textFill>
                  <w14:solidFill>
                    <w14:schemeClr w14:val="tx1"/>
                  </w14:solidFill>
                </w14:textFill>
              </w:rPr>
              <w:t>表</w:t>
            </w:r>
            <w:r>
              <w:rPr>
                <w:b/>
                <w:bCs/>
                <w:color w:val="000000" w:themeColor="text1"/>
                <w:spacing w:val="-20"/>
                <w:sz w:val="24"/>
                <w:lang w:bidi="ar"/>
                <w14:textFill>
                  <w14:solidFill>
                    <w14:schemeClr w14:val="tx1"/>
                  </w14:solidFill>
                </w14:textFill>
              </w:rPr>
              <w:t>4-</w:t>
            </w:r>
            <w:r>
              <w:rPr>
                <w:rFonts w:hint="eastAsia"/>
                <w:b/>
                <w:bCs/>
                <w:color w:val="000000" w:themeColor="text1"/>
                <w:spacing w:val="-20"/>
                <w:sz w:val="24"/>
                <w:lang w:bidi="ar"/>
                <w14:textFill>
                  <w14:solidFill>
                    <w14:schemeClr w14:val="tx1"/>
                  </w14:solidFill>
                </w14:textFill>
              </w:rPr>
              <w:t>5</w:t>
            </w:r>
            <w:r>
              <w:rPr>
                <w:b/>
                <w:bCs/>
                <w:color w:val="000000" w:themeColor="text1"/>
                <w:spacing w:val="-20"/>
                <w:sz w:val="24"/>
                <w:lang w:bidi="ar"/>
                <w14:textFill>
                  <w14:solidFill>
                    <w14:schemeClr w14:val="tx1"/>
                  </w14:solidFill>
                </w14:textFill>
              </w:rPr>
              <w:t xml:space="preserve">    </w:t>
            </w:r>
            <w:r>
              <w:rPr>
                <w:rFonts w:hint="eastAsia"/>
                <w:b/>
                <w:bCs/>
                <w:color w:val="000000" w:themeColor="text1"/>
                <w:sz w:val="24"/>
                <w:lang w:bidi="ar"/>
                <w14:textFill>
                  <w14:solidFill>
                    <w14:schemeClr w14:val="tx1"/>
                  </w14:solidFill>
                </w14:textFill>
              </w:rPr>
              <w:t>方法 1 适用的非道路移动机械平均排放系数（g/kg燃料）</w:t>
            </w:r>
          </w:p>
          <w:tbl>
            <w:tblPr>
              <w:tblStyle w:val="66"/>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141"/>
              <w:gridCol w:w="1218"/>
              <w:gridCol w:w="1246"/>
              <w:gridCol w:w="1170"/>
              <w:gridCol w:w="1246"/>
              <w:gridCol w:w="1246"/>
            </w:tblGrid>
            <w:tr w14:paraId="0AB8E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5" w:type="pct"/>
                  <w:tcBorders>
                    <w:top w:val="single" w:color="auto" w:sz="6" w:space="0"/>
                    <w:left w:val="single" w:color="auto" w:sz="6" w:space="0"/>
                    <w:bottom w:val="single" w:color="auto" w:sz="6" w:space="0"/>
                    <w:right w:val="single" w:color="auto" w:sz="6" w:space="0"/>
                  </w:tcBorders>
                  <w:shd w:val="clear" w:color="auto" w:fill="auto"/>
                  <w:vAlign w:val="center"/>
                </w:tcPr>
                <w:p w14:paraId="0D103A00">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未铺装道路</w:t>
                  </w:r>
                </w:p>
              </w:tc>
              <w:tc>
                <w:tcPr>
                  <w:tcW w:w="736" w:type="pct"/>
                  <w:tcBorders>
                    <w:top w:val="single" w:color="auto" w:sz="6" w:space="0"/>
                    <w:left w:val="single" w:color="auto" w:sz="6" w:space="0"/>
                    <w:bottom w:val="single" w:color="auto" w:sz="6" w:space="0"/>
                    <w:right w:val="single" w:color="auto" w:sz="6" w:space="0"/>
                  </w:tcBorders>
                  <w:shd w:val="clear" w:color="auto" w:fill="auto"/>
                  <w:vAlign w:val="center"/>
                </w:tcPr>
                <w:p w14:paraId="05248A74">
                  <w:pPr>
                    <w:adjustRightInd w:val="0"/>
                    <w:snapToGrid w:val="0"/>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PM</w:t>
                  </w:r>
                  <w:r>
                    <w:rPr>
                      <w:rFonts w:hint="eastAsia" w:cs="宋体"/>
                      <w:color w:val="000000" w:themeColor="text1"/>
                      <w:szCs w:val="21"/>
                      <w:vertAlign w:val="subscript"/>
                      <w:lang w:bidi="ar"/>
                      <w14:textFill>
                        <w14:solidFill>
                          <w14:schemeClr w14:val="tx1"/>
                        </w14:solidFill>
                      </w14:textFill>
                    </w:rPr>
                    <w:t>10</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1B9BD4DE">
                  <w:pPr>
                    <w:adjustRightInd w:val="0"/>
                    <w:snapToGrid w:val="0"/>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PM</w:t>
                  </w:r>
                  <w:r>
                    <w:rPr>
                      <w:rFonts w:hint="eastAsia" w:cs="宋体"/>
                      <w:color w:val="000000" w:themeColor="text1"/>
                      <w:szCs w:val="21"/>
                      <w:vertAlign w:val="subscript"/>
                      <w:lang w:bidi="ar"/>
                      <w14:textFill>
                        <w14:solidFill>
                          <w14:schemeClr w14:val="tx1"/>
                        </w14:solidFill>
                      </w14:textFill>
                    </w:rPr>
                    <w:t>2.5</w:t>
                  </w:r>
                </w:p>
              </w:tc>
              <w:tc>
                <w:tcPr>
                  <w:tcW w:w="707" w:type="pct"/>
                  <w:tcBorders>
                    <w:top w:val="single" w:color="auto" w:sz="6" w:space="0"/>
                    <w:left w:val="single" w:color="auto" w:sz="6" w:space="0"/>
                    <w:bottom w:val="single" w:color="auto" w:sz="6" w:space="0"/>
                    <w:right w:val="single" w:color="auto" w:sz="6" w:space="0"/>
                  </w:tcBorders>
                  <w:shd w:val="clear" w:color="auto" w:fill="auto"/>
                  <w:vAlign w:val="center"/>
                </w:tcPr>
                <w:p w14:paraId="03CD4A3F">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HC</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2B530E62">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NOx</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6495C417">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CO</w:t>
                  </w:r>
                </w:p>
              </w:tc>
            </w:tr>
            <w:tr w14:paraId="5A486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5" w:type="pct"/>
                  <w:tcBorders>
                    <w:top w:val="single" w:color="auto" w:sz="6" w:space="0"/>
                    <w:left w:val="single" w:color="auto" w:sz="6" w:space="0"/>
                    <w:bottom w:val="single" w:color="auto" w:sz="6" w:space="0"/>
                    <w:right w:val="single" w:color="auto" w:sz="6" w:space="0"/>
                  </w:tcBorders>
                  <w:shd w:val="clear" w:color="auto" w:fill="auto"/>
                  <w:vAlign w:val="center"/>
                </w:tcPr>
                <w:p w14:paraId="6BF5A74F">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工程机械</w:t>
                  </w:r>
                </w:p>
              </w:tc>
              <w:tc>
                <w:tcPr>
                  <w:tcW w:w="736" w:type="pct"/>
                  <w:tcBorders>
                    <w:top w:val="single" w:color="auto" w:sz="6" w:space="0"/>
                    <w:left w:val="single" w:color="auto" w:sz="6" w:space="0"/>
                    <w:bottom w:val="single" w:color="auto" w:sz="6" w:space="0"/>
                    <w:right w:val="single" w:color="auto" w:sz="6" w:space="0"/>
                  </w:tcBorders>
                  <w:shd w:val="clear" w:color="auto" w:fill="auto"/>
                  <w:vAlign w:val="center"/>
                </w:tcPr>
                <w:p w14:paraId="0CF822C3">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2.09</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53CCB6AF">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2.09</w:t>
                  </w:r>
                </w:p>
              </w:tc>
              <w:tc>
                <w:tcPr>
                  <w:tcW w:w="707" w:type="pct"/>
                  <w:tcBorders>
                    <w:top w:val="single" w:color="auto" w:sz="6" w:space="0"/>
                    <w:left w:val="single" w:color="auto" w:sz="6" w:space="0"/>
                    <w:bottom w:val="single" w:color="auto" w:sz="6" w:space="0"/>
                    <w:right w:val="single" w:color="auto" w:sz="6" w:space="0"/>
                  </w:tcBorders>
                  <w:shd w:val="clear" w:color="auto" w:fill="auto"/>
                  <w:vAlign w:val="center"/>
                </w:tcPr>
                <w:p w14:paraId="242C57E5">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3.39</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68C82C9F">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32.79</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5C924DDE">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10.72</w:t>
                  </w:r>
                </w:p>
              </w:tc>
            </w:tr>
            <w:tr w14:paraId="2118E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5" w:type="pct"/>
                  <w:tcBorders>
                    <w:top w:val="single" w:color="auto" w:sz="6" w:space="0"/>
                    <w:left w:val="single" w:color="auto" w:sz="6" w:space="0"/>
                    <w:bottom w:val="single" w:color="auto" w:sz="6" w:space="0"/>
                    <w:right w:val="single" w:color="auto" w:sz="6" w:space="0"/>
                  </w:tcBorders>
                  <w:shd w:val="clear" w:color="auto" w:fill="auto"/>
                  <w:vAlign w:val="center"/>
                </w:tcPr>
                <w:p w14:paraId="5081DB98">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柴油发电机组</w:t>
                  </w:r>
                </w:p>
              </w:tc>
              <w:tc>
                <w:tcPr>
                  <w:tcW w:w="1218" w:type="dxa"/>
                  <w:tcBorders>
                    <w:top w:val="single" w:color="auto" w:sz="6" w:space="0"/>
                    <w:left w:val="single" w:color="auto" w:sz="6" w:space="0"/>
                    <w:bottom w:val="single" w:color="auto" w:sz="6" w:space="0"/>
                    <w:right w:val="single" w:color="auto" w:sz="6" w:space="0"/>
                  </w:tcBorders>
                  <w:shd w:val="clear" w:color="auto" w:fill="auto"/>
                  <w:vAlign w:val="center"/>
                </w:tcPr>
                <w:p w14:paraId="2A2867B6">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2.09</w:t>
                  </w:r>
                </w:p>
              </w:tc>
              <w:tc>
                <w:tcPr>
                  <w:tcW w:w="1246" w:type="dxa"/>
                  <w:tcBorders>
                    <w:top w:val="single" w:color="auto" w:sz="6" w:space="0"/>
                    <w:left w:val="single" w:color="auto" w:sz="6" w:space="0"/>
                    <w:bottom w:val="single" w:color="auto" w:sz="6" w:space="0"/>
                    <w:right w:val="single" w:color="auto" w:sz="6" w:space="0"/>
                  </w:tcBorders>
                  <w:shd w:val="clear" w:color="auto" w:fill="auto"/>
                  <w:vAlign w:val="center"/>
                </w:tcPr>
                <w:p w14:paraId="351E8446">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2.09</w:t>
                  </w:r>
                </w:p>
              </w:tc>
              <w:tc>
                <w:tcPr>
                  <w:tcW w:w="1170" w:type="dxa"/>
                  <w:tcBorders>
                    <w:top w:val="single" w:color="auto" w:sz="6" w:space="0"/>
                    <w:left w:val="single" w:color="auto" w:sz="6" w:space="0"/>
                    <w:bottom w:val="single" w:color="auto" w:sz="6" w:space="0"/>
                    <w:right w:val="single" w:color="auto" w:sz="6" w:space="0"/>
                  </w:tcBorders>
                  <w:shd w:val="clear" w:color="auto" w:fill="auto"/>
                  <w:vAlign w:val="center"/>
                </w:tcPr>
                <w:p w14:paraId="3B25FDE4">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3.39</w:t>
                  </w:r>
                </w:p>
              </w:tc>
              <w:tc>
                <w:tcPr>
                  <w:tcW w:w="1246" w:type="dxa"/>
                  <w:tcBorders>
                    <w:top w:val="single" w:color="auto" w:sz="6" w:space="0"/>
                    <w:left w:val="single" w:color="auto" w:sz="6" w:space="0"/>
                    <w:bottom w:val="single" w:color="auto" w:sz="6" w:space="0"/>
                    <w:right w:val="single" w:color="auto" w:sz="6" w:space="0"/>
                  </w:tcBorders>
                  <w:shd w:val="clear" w:color="auto" w:fill="auto"/>
                  <w:vAlign w:val="center"/>
                </w:tcPr>
                <w:p w14:paraId="1E77B7B0">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32.79</w:t>
                  </w:r>
                </w:p>
              </w:tc>
              <w:tc>
                <w:tcPr>
                  <w:tcW w:w="1246" w:type="dxa"/>
                  <w:tcBorders>
                    <w:top w:val="single" w:color="auto" w:sz="6" w:space="0"/>
                    <w:left w:val="single" w:color="auto" w:sz="6" w:space="0"/>
                    <w:bottom w:val="single" w:color="auto" w:sz="6" w:space="0"/>
                    <w:right w:val="single" w:color="auto" w:sz="6" w:space="0"/>
                  </w:tcBorders>
                  <w:shd w:val="clear" w:color="auto" w:fill="auto"/>
                  <w:vAlign w:val="center"/>
                </w:tcPr>
                <w:p w14:paraId="2CA4368F">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10.72</w:t>
                  </w:r>
                </w:p>
              </w:tc>
            </w:tr>
          </w:tbl>
          <w:p w14:paraId="3E3DA4A9">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则本项目施工期非道路机械施工过程中产生的PM</w:t>
            </w:r>
            <w:r>
              <w:rPr>
                <w:rFonts w:hint="eastAsia" w:cs="宋体"/>
                <w:color w:val="000000" w:themeColor="text1"/>
                <w:sz w:val="24"/>
                <w:vertAlign w:val="subscript"/>
                <w:lang w:bidi="ar"/>
                <w14:textFill>
                  <w14:solidFill>
                    <w14:schemeClr w14:val="tx1"/>
                  </w14:solidFill>
                </w14:textFill>
              </w:rPr>
              <w:t>10</w:t>
            </w:r>
            <w:r>
              <w:rPr>
                <w:rFonts w:hint="eastAsia" w:cs="宋体"/>
                <w:color w:val="000000" w:themeColor="text1"/>
                <w:sz w:val="24"/>
                <w:lang w:bidi="ar"/>
                <w14:textFill>
                  <w14:solidFill>
                    <w14:schemeClr w14:val="tx1"/>
                  </w14:solidFill>
                </w14:textFill>
              </w:rPr>
              <w:t>、PM</w:t>
            </w:r>
            <w:r>
              <w:rPr>
                <w:rFonts w:hint="eastAsia" w:cs="宋体"/>
                <w:color w:val="000000" w:themeColor="text1"/>
                <w:sz w:val="24"/>
                <w:vertAlign w:val="subscript"/>
                <w:lang w:bidi="ar"/>
                <w14:textFill>
                  <w14:solidFill>
                    <w14:schemeClr w14:val="tx1"/>
                  </w14:solidFill>
                </w14:textFill>
              </w:rPr>
              <w:t>2.5</w:t>
            </w:r>
            <w:r>
              <w:rPr>
                <w:rFonts w:hint="eastAsia" w:cs="宋体"/>
                <w:color w:val="000000" w:themeColor="text1"/>
                <w:sz w:val="24"/>
                <w:lang w:bidi="ar"/>
                <w14:textFill>
                  <w14:solidFill>
                    <w14:schemeClr w14:val="tx1"/>
                  </w14:solidFill>
                </w14:textFill>
              </w:rPr>
              <w:t>、HC、NO</w:t>
            </w:r>
            <w:r>
              <w:rPr>
                <w:rFonts w:hint="eastAsia" w:cs="宋体"/>
                <w:color w:val="000000" w:themeColor="text1"/>
                <w:sz w:val="24"/>
                <w:vertAlign w:val="subscript"/>
                <w:lang w:bidi="ar"/>
                <w14:textFill>
                  <w14:solidFill>
                    <w14:schemeClr w14:val="tx1"/>
                  </w14:solidFill>
                </w14:textFill>
              </w:rPr>
              <w:t>X</w:t>
            </w:r>
            <w:r>
              <w:rPr>
                <w:rFonts w:hint="eastAsia" w:cs="宋体"/>
                <w:color w:val="000000" w:themeColor="text1"/>
                <w:sz w:val="24"/>
                <w:lang w:bidi="ar"/>
                <w14:textFill>
                  <w14:solidFill>
                    <w14:schemeClr w14:val="tx1"/>
                  </w14:solidFill>
                </w14:textFill>
              </w:rPr>
              <w:t>和CO排放量分别为0.033t/a、0.033t/a、0.053t/a、0.512t/a及0.167t/a。</w:t>
            </w:r>
          </w:p>
          <w:p w14:paraId="0E11D1B8">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施工期涉及装载机属于道路机动车，按照《</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"https://www.mee.gov.cn/gkml/hbb/bgg/201501/W020150107594587831090.pdf" </w:instrText>
            </w:r>
            <w:r>
              <w:rPr>
                <w:color w:val="000000" w:themeColor="text1"/>
                <w14:textFill>
                  <w14:solidFill>
                    <w14:schemeClr w14:val="tx1"/>
                  </w14:solidFill>
                </w14:textFill>
              </w:rPr>
              <w:fldChar w:fldCharType="separate"/>
            </w:r>
            <w:r>
              <w:rPr>
                <w:rFonts w:hint="eastAsia" w:cs="宋体"/>
                <w:color w:val="000000" w:themeColor="text1"/>
                <w:sz w:val="24"/>
                <w:lang w:bidi="ar"/>
                <w14:textFill>
                  <w14:solidFill>
                    <w14:schemeClr w14:val="tx1"/>
                  </w14:solidFill>
                </w14:textFill>
              </w:rPr>
              <w:t>道路机动车大气污染物排放清单编制技术指南（试行）</w:t>
            </w:r>
            <w:r>
              <w:rPr>
                <w:rFonts w:hint="eastAsia" w:cs="宋体"/>
                <w:color w:val="000000" w:themeColor="text1"/>
                <w:sz w:val="24"/>
                <w:lang w:bidi="ar"/>
                <w14:textFill>
                  <w14:solidFill>
                    <w14:schemeClr w14:val="tx1"/>
                  </w14:solidFill>
                </w14:textFill>
              </w:rPr>
              <w:fldChar w:fldCharType="end"/>
            </w:r>
            <w:r>
              <w:rPr>
                <w:rFonts w:hint="eastAsia" w:cs="宋体"/>
                <w:color w:val="000000" w:themeColor="text1"/>
                <w:sz w:val="24"/>
                <w:lang w:bidi="ar"/>
                <w14:textFill>
                  <w14:solidFill>
                    <w14:schemeClr w14:val="tx1"/>
                  </w14:solidFill>
                </w14:textFill>
              </w:rPr>
              <w:t>》相关要求核算污染物排放源强，本项目使用装载机属于道路机车第三级分类，其排放量公式如下所示：</w:t>
            </w:r>
          </w:p>
          <w:p w14:paraId="48DFCF21">
            <w:pPr>
              <w:adjustRightInd w:val="0"/>
              <w:snapToGrid w:val="0"/>
              <w:spacing w:line="440" w:lineRule="exact"/>
              <w:ind w:firstLine="420" w:firstLineChars="200"/>
              <w:rPr>
                <w:rFonts w:cs="宋体"/>
                <w:color w:val="000000" w:themeColor="text1"/>
                <w:sz w:val="24"/>
                <w:lang w:bidi="ar"/>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11488" behindDoc="0" locked="0" layoutInCell="1" allowOverlap="1">
                  <wp:simplePos x="0" y="0"/>
                  <wp:positionH relativeFrom="column">
                    <wp:posOffset>1958340</wp:posOffset>
                  </wp:positionH>
                  <wp:positionV relativeFrom="paragraph">
                    <wp:posOffset>447040</wp:posOffset>
                  </wp:positionV>
                  <wp:extent cx="1135380" cy="312420"/>
                  <wp:effectExtent l="0" t="0" r="7620" b="7620"/>
                  <wp:wrapNone/>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8"/>
                          <a:stretch>
                            <a:fillRect/>
                          </a:stretch>
                        </pic:blipFill>
                        <pic:spPr>
                          <a:xfrm>
                            <a:off x="0" y="0"/>
                            <a:ext cx="1135380" cy="312420"/>
                          </a:xfrm>
                          <a:prstGeom prst="rect">
                            <a:avLst/>
                          </a:prstGeom>
                          <a:noFill/>
                          <a:ln>
                            <a:noFill/>
                          </a:ln>
                        </pic:spPr>
                      </pic:pic>
                    </a:graphicData>
                  </a:graphic>
                </wp:anchor>
              </w:drawing>
            </w:r>
            <w:r>
              <w:rPr>
                <w:rFonts w:hint="eastAsia" w:cs="宋体"/>
                <w:color w:val="000000" w:themeColor="text1"/>
                <w:sz w:val="24"/>
                <w:lang w:bidi="ar"/>
                <w14:textFill>
                  <w14:solidFill>
                    <w14:schemeClr w14:val="tx1"/>
                  </w14:solidFill>
                </w14:textFill>
              </w:rPr>
              <w:t>道路机动车排放量（E）主要包括尾气排放（E1）和HC蒸发排放（E2）两部分。其计算公式如下：</w:t>
            </w:r>
          </w:p>
          <w:p w14:paraId="71744833">
            <w:pPr>
              <w:adjustRightInd w:val="0"/>
              <w:snapToGrid w:val="0"/>
              <w:spacing w:line="440" w:lineRule="exact"/>
              <w:ind w:firstLine="420" w:firstLineChars="200"/>
              <w:rPr>
                <w:rFonts w:cs="宋体"/>
                <w:color w:val="000000" w:themeColor="text1"/>
                <w:sz w:val="24"/>
                <w:lang w:bidi="ar"/>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10464" behindDoc="0" locked="0" layoutInCell="1" allowOverlap="1">
                  <wp:simplePos x="0" y="0"/>
                  <wp:positionH relativeFrom="column">
                    <wp:posOffset>1242060</wp:posOffset>
                  </wp:positionH>
                  <wp:positionV relativeFrom="paragraph">
                    <wp:posOffset>231140</wp:posOffset>
                  </wp:positionV>
                  <wp:extent cx="2598420" cy="335280"/>
                  <wp:effectExtent l="0" t="0" r="7620" b="0"/>
                  <wp:wrapNone/>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19"/>
                          <a:stretch>
                            <a:fillRect/>
                          </a:stretch>
                        </pic:blipFill>
                        <pic:spPr>
                          <a:xfrm>
                            <a:off x="0" y="0"/>
                            <a:ext cx="2598420" cy="335280"/>
                          </a:xfrm>
                          <a:prstGeom prst="rect">
                            <a:avLst/>
                          </a:prstGeom>
                          <a:noFill/>
                          <a:ln>
                            <a:noFill/>
                          </a:ln>
                        </pic:spPr>
                      </pic:pic>
                    </a:graphicData>
                  </a:graphic>
                </wp:anchor>
              </w:drawing>
            </w:r>
          </w:p>
          <w:p w14:paraId="36CECFBB">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p>
          <w:p w14:paraId="52851F83">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式中，E1为第三级机动车排放源i对应的CO、HC、NO</w:t>
            </w:r>
            <w:r>
              <w:rPr>
                <w:rFonts w:hint="eastAsia" w:cs="宋体"/>
                <w:color w:val="000000" w:themeColor="text1"/>
                <w:sz w:val="24"/>
                <w:vertAlign w:val="subscript"/>
                <w:lang w:bidi="ar"/>
                <w14:textFill>
                  <w14:solidFill>
                    <w14:schemeClr w14:val="tx1"/>
                  </w14:solidFill>
                </w14:textFill>
              </w:rPr>
              <w:t>X</w:t>
            </w:r>
            <w:r>
              <w:rPr>
                <w:rFonts w:hint="eastAsia" w:cs="宋体"/>
                <w:color w:val="000000" w:themeColor="text1"/>
                <w:sz w:val="24"/>
                <w:lang w:bidi="ar"/>
                <w14:textFill>
                  <w14:solidFill>
                    <w14:schemeClr w14:val="tx1"/>
                  </w14:solidFill>
                </w14:textFill>
              </w:rPr>
              <w:t>、PM</w:t>
            </w:r>
            <w:r>
              <w:rPr>
                <w:rFonts w:hint="eastAsia" w:cs="宋体"/>
                <w:color w:val="000000" w:themeColor="text1"/>
                <w:sz w:val="24"/>
                <w:vertAlign w:val="subscript"/>
                <w:lang w:bidi="ar"/>
                <w14:textFill>
                  <w14:solidFill>
                    <w14:schemeClr w14:val="tx1"/>
                  </w14:solidFill>
                </w14:textFill>
              </w:rPr>
              <w:t>2.5</w:t>
            </w:r>
            <w:r>
              <w:rPr>
                <w:rFonts w:hint="eastAsia" w:cs="宋体"/>
                <w:color w:val="000000" w:themeColor="text1"/>
                <w:sz w:val="24"/>
                <w:lang w:bidi="ar"/>
                <w14:textFill>
                  <w14:solidFill>
                    <w14:schemeClr w14:val="tx1"/>
                  </w14:solidFill>
                </w14:textFill>
              </w:rPr>
              <w:t>和PM</w:t>
            </w:r>
            <w:r>
              <w:rPr>
                <w:rFonts w:hint="eastAsia" w:cs="宋体"/>
                <w:color w:val="000000" w:themeColor="text1"/>
                <w:sz w:val="24"/>
                <w:vertAlign w:val="subscript"/>
                <w:lang w:bidi="ar"/>
                <w14:textFill>
                  <w14:solidFill>
                    <w14:schemeClr w14:val="tx1"/>
                  </w14:solidFill>
                </w14:textFill>
              </w:rPr>
              <w:t>10</w:t>
            </w:r>
            <w:r>
              <w:rPr>
                <w:rFonts w:hint="eastAsia" w:cs="宋体"/>
                <w:color w:val="000000" w:themeColor="text1"/>
                <w:sz w:val="24"/>
                <w:lang w:bidi="ar"/>
                <w14:textFill>
                  <w14:solidFill>
                    <w14:schemeClr w14:val="tx1"/>
                  </w14:solidFill>
                </w14:textFill>
              </w:rPr>
              <w:t>的年排放量，单位为吨；</w:t>
            </w:r>
          </w:p>
          <w:p w14:paraId="58F5C4CA">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EFi为i类型机动车行驶单位距离尾气所排放的污染物的量，单位为克/公里；</w:t>
            </w:r>
          </w:p>
          <w:p w14:paraId="3BB84481">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P为所在地区i类型机动车的保有量，单位为辆；</w:t>
            </w:r>
          </w:p>
          <w:p w14:paraId="20A9E4AB">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VKTi为i类型机动车的年均行驶里程，单位为公里/辆。</w:t>
            </w:r>
          </w:p>
          <w:p w14:paraId="6F24E53F">
            <w:pPr>
              <w:adjustRightInd w:val="0"/>
              <w:snapToGrid w:val="0"/>
              <w:spacing w:line="440" w:lineRule="exact"/>
              <w:ind w:firstLine="420" w:firstLineChars="200"/>
              <w:rPr>
                <w:rFonts w:cs="宋体"/>
                <w:color w:val="000000" w:themeColor="text1"/>
                <w:sz w:val="24"/>
                <w:lang w:bidi="ar"/>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12512" behindDoc="0" locked="0" layoutInCell="1" allowOverlap="1">
                  <wp:simplePos x="0" y="0"/>
                  <wp:positionH relativeFrom="column">
                    <wp:posOffset>1325880</wp:posOffset>
                  </wp:positionH>
                  <wp:positionV relativeFrom="paragraph">
                    <wp:posOffset>27940</wp:posOffset>
                  </wp:positionV>
                  <wp:extent cx="3147060" cy="403860"/>
                  <wp:effectExtent l="0" t="0" r="7620" b="7620"/>
                  <wp:wrapNone/>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20"/>
                          <a:stretch>
                            <a:fillRect/>
                          </a:stretch>
                        </pic:blipFill>
                        <pic:spPr>
                          <a:xfrm>
                            <a:off x="0" y="0"/>
                            <a:ext cx="3147060" cy="403860"/>
                          </a:xfrm>
                          <a:prstGeom prst="rect">
                            <a:avLst/>
                          </a:prstGeom>
                          <a:noFill/>
                          <a:ln>
                            <a:noFill/>
                          </a:ln>
                        </pic:spPr>
                      </pic:pic>
                    </a:graphicData>
                  </a:graphic>
                </wp:anchor>
              </w:drawing>
            </w:r>
          </w:p>
          <w:p w14:paraId="63CE004D">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p>
          <w:p w14:paraId="644D94EA">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式中，E2为每年行驶及驻车期间的 HC 蒸发排放量，单位为吨；</w:t>
            </w:r>
          </w:p>
          <w:p w14:paraId="1A5F216A">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EF1为机动车行驶过程中的蒸发排放系数，单位为克/小时；</w:t>
            </w:r>
          </w:p>
          <w:p w14:paraId="36EE877C">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VTK为当地车辆的单车年均行驶里程，单位为公里；</w:t>
            </w:r>
          </w:p>
          <w:p w14:paraId="1490868D">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V为机动车运行的平均行驶速度，单位为公里/小时；</w:t>
            </w:r>
          </w:p>
          <w:p w14:paraId="55DC58EC">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EF2为驻车期间的综合排放系数，主要包括热浸、昼间和渗透过程中排放系数，单位为克/天；</w:t>
            </w:r>
          </w:p>
          <w:p w14:paraId="4062DC28">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P为当地以汽油为燃料的机动车保有量，单位为辆。</w:t>
            </w:r>
          </w:p>
          <w:p w14:paraId="5409DE47">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根据上述论述并结合本项目情况，本项目道路机动车CO、HC、NO</w:t>
            </w:r>
            <w:r>
              <w:rPr>
                <w:rFonts w:hint="eastAsia" w:cs="宋体"/>
                <w:color w:val="000000" w:themeColor="text1"/>
                <w:sz w:val="24"/>
                <w:vertAlign w:val="subscript"/>
                <w:lang w:bidi="ar"/>
                <w14:textFill>
                  <w14:solidFill>
                    <w14:schemeClr w14:val="tx1"/>
                  </w14:solidFill>
                </w14:textFill>
              </w:rPr>
              <w:t>X</w:t>
            </w:r>
            <w:r>
              <w:rPr>
                <w:rFonts w:hint="eastAsia" w:cs="宋体"/>
                <w:color w:val="000000" w:themeColor="text1"/>
                <w:sz w:val="24"/>
                <w:lang w:bidi="ar"/>
                <w14:textFill>
                  <w14:solidFill>
                    <w14:schemeClr w14:val="tx1"/>
                  </w14:solidFill>
                </w14:textFill>
              </w:rPr>
              <w:t>、PM</w:t>
            </w:r>
            <w:r>
              <w:rPr>
                <w:rFonts w:hint="eastAsia" w:cs="宋体"/>
                <w:color w:val="000000" w:themeColor="text1"/>
                <w:sz w:val="24"/>
                <w:vertAlign w:val="subscript"/>
                <w:lang w:bidi="ar"/>
                <w14:textFill>
                  <w14:solidFill>
                    <w14:schemeClr w14:val="tx1"/>
                  </w14:solidFill>
                </w14:textFill>
              </w:rPr>
              <w:t>2.5</w:t>
            </w:r>
            <w:r>
              <w:rPr>
                <w:rFonts w:hint="eastAsia" w:cs="宋体"/>
                <w:color w:val="000000" w:themeColor="text1"/>
                <w:sz w:val="24"/>
                <w:lang w:bidi="ar"/>
                <w14:textFill>
                  <w14:solidFill>
                    <w14:schemeClr w14:val="tx1"/>
                  </w14:solidFill>
                </w14:textFill>
              </w:rPr>
              <w:t>和PM</w:t>
            </w:r>
            <w:r>
              <w:rPr>
                <w:rFonts w:hint="eastAsia" w:cs="宋体"/>
                <w:color w:val="000000" w:themeColor="text1"/>
                <w:sz w:val="24"/>
                <w:vertAlign w:val="subscript"/>
                <w:lang w:bidi="ar"/>
                <w14:textFill>
                  <w14:solidFill>
                    <w14:schemeClr w14:val="tx1"/>
                  </w14:solidFill>
                </w14:textFill>
              </w:rPr>
              <w:t>10</w:t>
            </w:r>
            <w:r>
              <w:rPr>
                <w:rFonts w:hint="eastAsia" w:cs="宋体"/>
                <w:color w:val="000000" w:themeColor="text1"/>
                <w:sz w:val="24"/>
                <w:lang w:bidi="ar"/>
                <w14:textFill>
                  <w14:solidFill>
                    <w14:schemeClr w14:val="tx1"/>
                  </w14:solidFill>
                </w14:textFill>
              </w:rPr>
              <w:t>的年排放量分别为</w:t>
            </w:r>
          </w:p>
          <w:p w14:paraId="6D43CFD8">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根据该指南中表4可知重型载货车VKT为75000km</w:t>
            </w:r>
          </w:p>
          <w:p w14:paraId="423724BF">
            <w:pPr>
              <w:adjustRightInd w:val="0"/>
              <w:snapToGrid w:val="0"/>
              <w:spacing w:line="440" w:lineRule="exact"/>
              <w:ind w:firstLine="420" w:firstLineChars="200"/>
              <w:rPr>
                <w:rFonts w:cs="宋体"/>
                <w:color w:val="000000" w:themeColor="text1"/>
                <w:sz w:val="24"/>
                <w:lang w:bidi="ar"/>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13536" behindDoc="0" locked="0" layoutInCell="1" allowOverlap="1">
                  <wp:simplePos x="0" y="0"/>
                  <wp:positionH relativeFrom="column">
                    <wp:posOffset>1242060</wp:posOffset>
                  </wp:positionH>
                  <wp:positionV relativeFrom="paragraph">
                    <wp:posOffset>256540</wp:posOffset>
                  </wp:positionV>
                  <wp:extent cx="2423160" cy="295275"/>
                  <wp:effectExtent l="0" t="0" r="0" b="0"/>
                  <wp:wrapNone/>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21"/>
                          <a:srcRect t="22629"/>
                          <a:stretch>
                            <a:fillRect/>
                          </a:stretch>
                        </pic:blipFill>
                        <pic:spPr>
                          <a:xfrm>
                            <a:off x="0" y="0"/>
                            <a:ext cx="2423160" cy="295275"/>
                          </a:xfrm>
                          <a:prstGeom prst="rect">
                            <a:avLst/>
                          </a:prstGeom>
                          <a:noFill/>
                          <a:ln>
                            <a:noFill/>
                          </a:ln>
                        </pic:spPr>
                      </pic:pic>
                    </a:graphicData>
                  </a:graphic>
                </wp:anchor>
              </w:drawing>
            </w:r>
            <w:r>
              <w:rPr>
                <w:rFonts w:hint="eastAsia" w:cs="宋体"/>
                <w:color w:val="000000" w:themeColor="text1"/>
                <w:sz w:val="24"/>
                <w:lang w:bidi="ar"/>
                <w14:textFill>
                  <w14:solidFill>
                    <w14:schemeClr w14:val="tx1"/>
                  </w14:solidFill>
                </w14:textFill>
              </w:rPr>
              <w:t>机动车尾气排放系数的计算公式如下：</w:t>
            </w:r>
          </w:p>
          <w:p w14:paraId="2F670C30">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p>
          <w:p w14:paraId="007940C8">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式中，EFi,j为i类车在j地区的排放系数；</w:t>
            </w:r>
          </w:p>
          <w:p w14:paraId="7E7D4088">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BEFi为i类车的综合基准排放系数；</w:t>
            </w:r>
          </w:p>
          <w:p w14:paraId="0EF1F9A7">
            <w:pPr>
              <w:adjustRightInd w:val="0"/>
              <w:snapToGrid w:val="0"/>
              <w:spacing w:line="440" w:lineRule="exact"/>
              <w:ind w:firstLine="420" w:firstLineChars="200"/>
              <w:rPr>
                <w:rFonts w:cs="宋体"/>
                <w:color w:val="000000" w:themeColor="text1"/>
                <w:sz w:val="24"/>
                <w:lang w:bidi="ar"/>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714560" behindDoc="0" locked="0" layoutInCell="1" allowOverlap="1">
                  <wp:simplePos x="0" y="0"/>
                  <wp:positionH relativeFrom="column">
                    <wp:posOffset>2332355</wp:posOffset>
                  </wp:positionH>
                  <wp:positionV relativeFrom="paragraph">
                    <wp:posOffset>10160</wp:posOffset>
                  </wp:positionV>
                  <wp:extent cx="2057400" cy="304800"/>
                  <wp:effectExtent l="0" t="0" r="0" b="0"/>
                  <wp:wrapNone/>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22"/>
                          <a:stretch>
                            <a:fillRect/>
                          </a:stretch>
                        </pic:blipFill>
                        <pic:spPr>
                          <a:xfrm>
                            <a:off x="0" y="0"/>
                            <a:ext cx="2057400" cy="304800"/>
                          </a:xfrm>
                          <a:prstGeom prst="rect">
                            <a:avLst/>
                          </a:prstGeom>
                          <a:noFill/>
                          <a:ln>
                            <a:noFill/>
                          </a:ln>
                        </pic:spPr>
                      </pic:pic>
                    </a:graphicData>
                  </a:graphic>
                </wp:anchor>
              </w:drawing>
            </w:r>
            <w:r>
              <w:rPr>
                <w:rFonts w:hint="eastAsia" w:cs="宋体"/>
                <w:color w:val="000000" w:themeColor="text1"/>
                <w:sz w:val="24"/>
                <w:lang w:bidi="ar"/>
                <w14:textFill>
                  <w14:solidFill>
                    <w14:schemeClr w14:val="tx1"/>
                  </w14:solidFill>
                </w14:textFill>
              </w:rPr>
              <w:t>ψj为j地区的环境修正因子；</w:t>
            </w:r>
          </w:p>
          <w:p w14:paraId="3656203D">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γ为j地区的平均速度修正因子；</w:t>
            </w:r>
          </w:p>
          <w:p w14:paraId="38332621">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λ为i类车辆的劣化修正因子；</w:t>
            </w:r>
          </w:p>
          <w:p w14:paraId="14B479D0">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θ为i类车辆的其他使用条件（如负载系数、油品质量等）修正因子。</w:t>
            </w:r>
          </w:p>
          <w:p w14:paraId="58D8287E">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根据技术指南中相关要求，最终确定上述参数如下：</w:t>
            </w:r>
          </w:p>
          <w:p w14:paraId="29948F9F">
            <w:pPr>
              <w:spacing w:line="440" w:lineRule="exact"/>
              <w:ind w:firstLine="402" w:firstLineChars="200"/>
              <w:rPr>
                <w:b/>
                <w:bCs/>
                <w:color w:val="000000" w:themeColor="text1"/>
                <w:sz w:val="24"/>
                <w14:textFill>
                  <w14:solidFill>
                    <w14:schemeClr w14:val="tx1"/>
                  </w14:solidFill>
                </w14:textFill>
              </w:rPr>
            </w:pPr>
            <w:r>
              <w:rPr>
                <w:rFonts w:hint="eastAsia" w:cs="宋体"/>
                <w:b/>
                <w:bCs/>
                <w:color w:val="000000" w:themeColor="text1"/>
                <w:spacing w:val="-20"/>
                <w:sz w:val="24"/>
                <w:lang w:bidi="ar"/>
                <w14:textFill>
                  <w14:solidFill>
                    <w14:schemeClr w14:val="tx1"/>
                  </w14:solidFill>
                </w14:textFill>
              </w:rPr>
              <w:t>表</w:t>
            </w:r>
            <w:r>
              <w:rPr>
                <w:b/>
                <w:bCs/>
                <w:color w:val="000000" w:themeColor="text1"/>
                <w:spacing w:val="-20"/>
                <w:sz w:val="24"/>
                <w:lang w:bidi="ar"/>
                <w14:textFill>
                  <w14:solidFill>
                    <w14:schemeClr w14:val="tx1"/>
                  </w14:solidFill>
                </w14:textFill>
              </w:rPr>
              <w:t>4-</w:t>
            </w:r>
            <w:r>
              <w:rPr>
                <w:rFonts w:hint="eastAsia"/>
                <w:b/>
                <w:bCs/>
                <w:color w:val="000000" w:themeColor="text1"/>
                <w:spacing w:val="-20"/>
                <w:sz w:val="24"/>
                <w:lang w:bidi="ar"/>
                <w14:textFill>
                  <w14:solidFill>
                    <w14:schemeClr w14:val="tx1"/>
                  </w14:solidFill>
                </w14:textFill>
              </w:rPr>
              <w:t>6</w:t>
            </w:r>
            <w:r>
              <w:rPr>
                <w:b/>
                <w:bCs/>
                <w:color w:val="000000" w:themeColor="text1"/>
                <w:spacing w:val="-20"/>
                <w:sz w:val="24"/>
                <w:lang w:bidi="ar"/>
                <w14:textFill>
                  <w14:solidFill>
                    <w14:schemeClr w14:val="tx1"/>
                  </w14:solidFill>
                </w14:textFill>
              </w:rPr>
              <w:t xml:space="preserve">    </w:t>
            </w:r>
            <w:r>
              <w:rPr>
                <w:rFonts w:hint="eastAsia"/>
                <w:b/>
                <w:bCs/>
                <w:color w:val="000000" w:themeColor="text1"/>
                <w:sz w:val="24"/>
                <w:lang w:bidi="ar"/>
                <w14:textFill>
                  <w14:solidFill>
                    <w14:schemeClr w14:val="tx1"/>
                  </w14:solidFill>
                </w14:textFill>
              </w:rPr>
              <w:t>公式中相关参数选取数据一览表</w:t>
            </w:r>
          </w:p>
          <w:tbl>
            <w:tblPr>
              <w:tblStyle w:val="66"/>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140"/>
              <w:gridCol w:w="1217"/>
              <w:gridCol w:w="1246"/>
              <w:gridCol w:w="1170"/>
              <w:gridCol w:w="1246"/>
              <w:gridCol w:w="1246"/>
            </w:tblGrid>
            <w:tr w14:paraId="593B9D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4" w:type="pct"/>
                  <w:tcBorders>
                    <w:top w:val="single" w:color="auto" w:sz="6" w:space="0"/>
                    <w:left w:val="single" w:color="auto" w:sz="6" w:space="0"/>
                    <w:bottom w:val="single" w:color="auto" w:sz="6" w:space="0"/>
                    <w:right w:val="single" w:color="auto" w:sz="6" w:space="0"/>
                  </w:tcBorders>
                  <w:shd w:val="clear" w:color="auto" w:fill="auto"/>
                  <w:vAlign w:val="center"/>
                </w:tcPr>
                <w:p w14:paraId="0E869E2B">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参数</w:t>
                  </w:r>
                </w:p>
              </w:tc>
              <w:tc>
                <w:tcPr>
                  <w:tcW w:w="736" w:type="pct"/>
                  <w:tcBorders>
                    <w:top w:val="single" w:color="auto" w:sz="6" w:space="0"/>
                    <w:left w:val="single" w:color="auto" w:sz="6" w:space="0"/>
                    <w:bottom w:val="single" w:color="auto" w:sz="6" w:space="0"/>
                    <w:right w:val="single" w:color="auto" w:sz="6" w:space="0"/>
                  </w:tcBorders>
                  <w:shd w:val="clear" w:color="auto" w:fill="auto"/>
                  <w:vAlign w:val="center"/>
                </w:tcPr>
                <w:p w14:paraId="034C1C09">
                  <w:pPr>
                    <w:adjustRightInd w:val="0"/>
                    <w:snapToGrid w:val="0"/>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CO</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1BD1D3A7">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HC</w:t>
                  </w:r>
                </w:p>
              </w:tc>
              <w:tc>
                <w:tcPr>
                  <w:tcW w:w="707" w:type="pct"/>
                  <w:tcBorders>
                    <w:top w:val="single" w:color="auto" w:sz="6" w:space="0"/>
                    <w:left w:val="single" w:color="auto" w:sz="6" w:space="0"/>
                    <w:bottom w:val="single" w:color="auto" w:sz="6" w:space="0"/>
                    <w:right w:val="single" w:color="auto" w:sz="6" w:space="0"/>
                  </w:tcBorders>
                  <w:shd w:val="clear" w:color="auto" w:fill="auto"/>
                  <w:vAlign w:val="center"/>
                </w:tcPr>
                <w:p w14:paraId="21E2A51A">
                  <w:pPr>
                    <w:pStyle w:val="605"/>
                    <w:widowControl/>
                    <w:spacing w:line="360" w:lineRule="exact"/>
                    <w:rPr>
                      <w:color w:val="000000" w:themeColor="text1"/>
                      <w14:textFill>
                        <w14:solidFill>
                          <w14:schemeClr w14:val="tx1"/>
                        </w14:solidFill>
                      </w14:textFill>
                    </w:rPr>
                  </w:pPr>
                  <w:r>
                    <w:rPr>
                      <w:rFonts w:hint="eastAsia" w:cs="宋体"/>
                      <w:color w:val="000000" w:themeColor="text1"/>
                      <w:szCs w:val="21"/>
                      <w:lang w:bidi="ar"/>
                      <w14:textFill>
                        <w14:solidFill>
                          <w14:schemeClr w14:val="tx1"/>
                        </w14:solidFill>
                      </w14:textFill>
                    </w:rPr>
                    <w:t>NOx</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77F7A269">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PM</w:t>
                  </w:r>
                  <w:r>
                    <w:rPr>
                      <w:rFonts w:hint="eastAsia" w:cs="宋体"/>
                      <w:color w:val="000000" w:themeColor="text1"/>
                      <w:szCs w:val="21"/>
                      <w:vertAlign w:val="subscript"/>
                      <w:lang w:bidi="ar"/>
                      <w14:textFill>
                        <w14:solidFill>
                          <w14:schemeClr w14:val="tx1"/>
                        </w14:solidFill>
                      </w14:textFill>
                    </w:rPr>
                    <w:t>2.5</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6DC16A7A">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PM</w:t>
                  </w:r>
                  <w:r>
                    <w:rPr>
                      <w:rFonts w:hint="eastAsia" w:cs="宋体"/>
                      <w:color w:val="000000" w:themeColor="text1"/>
                      <w:szCs w:val="21"/>
                      <w:vertAlign w:val="subscript"/>
                      <w:lang w:bidi="ar"/>
                      <w14:textFill>
                        <w14:solidFill>
                          <w14:schemeClr w14:val="tx1"/>
                        </w14:solidFill>
                      </w14:textFill>
                    </w:rPr>
                    <w:t>10</w:t>
                  </w:r>
                </w:p>
              </w:tc>
            </w:tr>
            <w:tr w14:paraId="4EB44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4" w:type="pct"/>
                  <w:tcBorders>
                    <w:top w:val="single" w:color="auto" w:sz="6" w:space="0"/>
                    <w:left w:val="single" w:color="auto" w:sz="6" w:space="0"/>
                    <w:bottom w:val="single" w:color="auto" w:sz="6" w:space="0"/>
                    <w:right w:val="single" w:color="auto" w:sz="6" w:space="0"/>
                  </w:tcBorders>
                  <w:shd w:val="clear" w:color="auto" w:fill="auto"/>
                  <w:vAlign w:val="center"/>
                </w:tcPr>
                <w:p w14:paraId="2ABE322E">
                  <w:pPr>
                    <w:pStyle w:val="605"/>
                    <w:widowControl/>
                    <w:spacing w:line="360" w:lineRule="exact"/>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BEFi（汽油国四）</w:t>
                  </w:r>
                </w:p>
              </w:tc>
              <w:tc>
                <w:tcPr>
                  <w:tcW w:w="736" w:type="pct"/>
                  <w:tcBorders>
                    <w:top w:val="single" w:color="auto" w:sz="6" w:space="0"/>
                    <w:left w:val="single" w:color="auto" w:sz="6" w:space="0"/>
                    <w:bottom w:val="single" w:color="auto" w:sz="6" w:space="0"/>
                    <w:right w:val="single" w:color="auto" w:sz="6" w:space="0"/>
                  </w:tcBorders>
                  <w:shd w:val="clear" w:color="auto" w:fill="auto"/>
                  <w:vAlign w:val="center"/>
                </w:tcPr>
                <w:p w14:paraId="2C208BB2">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4.50</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0881222B">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0.555</w:t>
                  </w:r>
                </w:p>
              </w:tc>
              <w:tc>
                <w:tcPr>
                  <w:tcW w:w="707" w:type="pct"/>
                  <w:tcBorders>
                    <w:top w:val="single" w:color="auto" w:sz="6" w:space="0"/>
                    <w:left w:val="single" w:color="auto" w:sz="6" w:space="0"/>
                    <w:bottom w:val="single" w:color="auto" w:sz="6" w:space="0"/>
                    <w:right w:val="single" w:color="auto" w:sz="6" w:space="0"/>
                  </w:tcBorders>
                  <w:shd w:val="clear" w:color="auto" w:fill="auto"/>
                  <w:vAlign w:val="center"/>
                </w:tcPr>
                <w:p w14:paraId="03B220A2">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0.907</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257FC963">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0.044</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20DE26C2">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0.049</w:t>
                  </w:r>
                </w:p>
              </w:tc>
            </w:tr>
            <w:tr w14:paraId="3D5A4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4" w:type="pct"/>
                  <w:tcBorders>
                    <w:top w:val="single" w:color="auto" w:sz="6" w:space="0"/>
                    <w:left w:val="single" w:color="auto" w:sz="6" w:space="0"/>
                    <w:bottom w:val="single" w:color="auto" w:sz="6" w:space="0"/>
                    <w:right w:val="single" w:color="auto" w:sz="6" w:space="0"/>
                  </w:tcBorders>
                  <w:shd w:val="clear" w:color="auto" w:fill="auto"/>
                  <w:vAlign w:val="center"/>
                </w:tcPr>
                <w:p w14:paraId="0C56909B">
                  <w:pPr>
                    <w:pStyle w:val="605"/>
                    <w:widowControl/>
                    <w:spacing w:line="360" w:lineRule="exact"/>
                    <w:rPr>
                      <w:color w:val="000000" w:themeColor="text1"/>
                      <w:szCs w:val="21"/>
                      <w14:textFill>
                        <w14:solidFill>
                          <w14:schemeClr w14:val="tx1"/>
                        </w14:solidFill>
                      </w14:textFill>
                    </w:rPr>
                  </w:pPr>
                  <w:r>
                    <w:rPr>
                      <w:rFonts w:hint="eastAsia" w:cs="宋体"/>
                      <w:color w:val="000000" w:themeColor="text1"/>
                      <w:szCs w:val="20"/>
                      <w:lang w:bidi="ar"/>
                      <w14:textFill>
                        <w14:solidFill>
                          <w14:schemeClr w14:val="tx1"/>
                        </w14:solidFill>
                      </w14:textFill>
                    </w:rPr>
                    <w:t>ψ</w:t>
                  </w:r>
                  <w:r>
                    <w:rPr>
                      <w:rFonts w:hint="eastAsia" w:cs="宋体"/>
                      <w:color w:val="000000" w:themeColor="text1"/>
                      <w:szCs w:val="21"/>
                      <w:vertAlign w:val="subscript"/>
                      <w:lang w:bidi="ar"/>
                      <w14:textFill>
                        <w14:solidFill>
                          <w14:schemeClr w14:val="tx1"/>
                        </w14:solidFill>
                      </w14:textFill>
                    </w:rPr>
                    <w:t>T</w:t>
                  </w:r>
                  <w:r>
                    <w:rPr>
                      <w:rFonts w:hint="eastAsia" w:cs="宋体"/>
                      <w:color w:val="000000" w:themeColor="text1"/>
                      <w:szCs w:val="21"/>
                      <w:lang w:bidi="ar"/>
                      <w14:textFill>
                        <w14:solidFill>
                          <w14:schemeClr w14:val="tx1"/>
                        </w14:solidFill>
                      </w14:textFill>
                    </w:rPr>
                    <w:t>（＜10℃）</w:t>
                  </w:r>
                </w:p>
              </w:tc>
              <w:tc>
                <w:tcPr>
                  <w:tcW w:w="736" w:type="pct"/>
                  <w:tcBorders>
                    <w:top w:val="single" w:color="auto" w:sz="6" w:space="0"/>
                    <w:left w:val="single" w:color="auto" w:sz="6" w:space="0"/>
                    <w:bottom w:val="single" w:color="auto" w:sz="6" w:space="0"/>
                    <w:right w:val="single" w:color="auto" w:sz="6" w:space="0"/>
                  </w:tcBorders>
                  <w:shd w:val="clear" w:color="auto" w:fill="auto"/>
                  <w:vAlign w:val="center"/>
                </w:tcPr>
                <w:p w14:paraId="582EC5F1">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1.36</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0263CB3B">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1.47</w:t>
                  </w:r>
                </w:p>
              </w:tc>
              <w:tc>
                <w:tcPr>
                  <w:tcW w:w="707" w:type="pct"/>
                  <w:tcBorders>
                    <w:top w:val="single" w:color="auto" w:sz="6" w:space="0"/>
                    <w:left w:val="single" w:color="auto" w:sz="6" w:space="0"/>
                    <w:bottom w:val="single" w:color="auto" w:sz="6" w:space="0"/>
                    <w:right w:val="single" w:color="auto" w:sz="6" w:space="0"/>
                  </w:tcBorders>
                  <w:shd w:val="clear" w:color="auto" w:fill="auto"/>
                  <w:vAlign w:val="center"/>
                </w:tcPr>
                <w:p w14:paraId="03653AC9">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1.15</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4E2E50F8">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491F8BAE">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r>
            <w:tr w14:paraId="7D282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4" w:type="pct"/>
                  <w:tcBorders>
                    <w:top w:val="single" w:color="auto" w:sz="6" w:space="0"/>
                    <w:left w:val="single" w:color="auto" w:sz="6" w:space="0"/>
                    <w:bottom w:val="single" w:color="auto" w:sz="6" w:space="0"/>
                    <w:right w:val="single" w:color="auto" w:sz="6" w:space="0"/>
                  </w:tcBorders>
                  <w:shd w:val="clear" w:color="auto" w:fill="auto"/>
                  <w:vAlign w:val="center"/>
                </w:tcPr>
                <w:p w14:paraId="34B43B68">
                  <w:pPr>
                    <w:pStyle w:val="605"/>
                    <w:widowControl/>
                    <w:spacing w:line="360" w:lineRule="exact"/>
                    <w:rPr>
                      <w:rFonts w:cs="宋体"/>
                      <w:color w:val="000000" w:themeColor="text1"/>
                      <w:szCs w:val="20"/>
                      <w:lang w:bidi="ar"/>
                      <w14:textFill>
                        <w14:solidFill>
                          <w14:schemeClr w14:val="tx1"/>
                        </w14:solidFill>
                      </w14:textFill>
                    </w:rPr>
                  </w:pPr>
                  <w:r>
                    <w:rPr>
                      <w:rFonts w:hint="eastAsia" w:cs="宋体"/>
                      <w:color w:val="000000" w:themeColor="text1"/>
                      <w:szCs w:val="20"/>
                      <w:lang w:bidi="ar"/>
                      <w14:textFill>
                        <w14:solidFill>
                          <w14:schemeClr w14:val="tx1"/>
                        </w14:solidFill>
                      </w14:textFill>
                    </w:rPr>
                    <w:t>ψ</w:t>
                  </w:r>
                  <w:r>
                    <w:rPr>
                      <w:rFonts w:hint="eastAsia" w:cs="宋体"/>
                      <w:color w:val="000000" w:themeColor="text1"/>
                      <w:szCs w:val="21"/>
                      <w:vertAlign w:val="subscript"/>
                      <w:lang w:bidi="ar"/>
                      <w14:textFill>
                        <w14:solidFill>
                          <w14:schemeClr w14:val="tx1"/>
                        </w14:solidFill>
                      </w14:textFill>
                    </w:rPr>
                    <w:t>R</w:t>
                  </w:r>
                  <w:r>
                    <w:rPr>
                      <w:rFonts w:hint="eastAsia" w:cs="宋体"/>
                      <w:color w:val="000000" w:themeColor="text1"/>
                      <w:szCs w:val="21"/>
                      <w:lang w:bidi="ar"/>
                      <w14:textFill>
                        <w14:solidFill>
                          <w14:schemeClr w14:val="tx1"/>
                        </w14:solidFill>
                      </w14:textFill>
                    </w:rPr>
                    <w:t>（＜24℃，低湿度）</w:t>
                  </w:r>
                </w:p>
              </w:tc>
              <w:tc>
                <w:tcPr>
                  <w:tcW w:w="736" w:type="pct"/>
                  <w:tcBorders>
                    <w:top w:val="single" w:color="auto" w:sz="6" w:space="0"/>
                    <w:left w:val="single" w:color="auto" w:sz="6" w:space="0"/>
                    <w:bottom w:val="single" w:color="auto" w:sz="6" w:space="0"/>
                    <w:right w:val="single" w:color="auto" w:sz="6" w:space="0"/>
                  </w:tcBorders>
                  <w:shd w:val="clear" w:color="auto" w:fill="auto"/>
                  <w:vAlign w:val="center"/>
                </w:tcPr>
                <w:p w14:paraId="2E79CDF6">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2369C8FE">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c>
                <w:tcPr>
                  <w:tcW w:w="707" w:type="pct"/>
                  <w:tcBorders>
                    <w:top w:val="single" w:color="auto" w:sz="6" w:space="0"/>
                    <w:left w:val="single" w:color="auto" w:sz="6" w:space="0"/>
                    <w:bottom w:val="single" w:color="auto" w:sz="6" w:space="0"/>
                    <w:right w:val="single" w:color="auto" w:sz="6" w:space="0"/>
                  </w:tcBorders>
                  <w:shd w:val="clear" w:color="auto" w:fill="auto"/>
                  <w:vAlign w:val="center"/>
                </w:tcPr>
                <w:p w14:paraId="54DFE764">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1.06</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2FB465BA">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5DB5F269">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r>
            <w:tr w14:paraId="3CE0F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4" w:type="pct"/>
                  <w:tcBorders>
                    <w:top w:val="single" w:color="auto" w:sz="6" w:space="0"/>
                    <w:left w:val="single" w:color="auto" w:sz="6" w:space="0"/>
                    <w:bottom w:val="single" w:color="auto" w:sz="6" w:space="0"/>
                    <w:right w:val="single" w:color="auto" w:sz="6" w:space="0"/>
                  </w:tcBorders>
                  <w:shd w:val="clear" w:color="auto" w:fill="auto"/>
                  <w:vAlign w:val="center"/>
                </w:tcPr>
                <w:p w14:paraId="1FFFD4A0">
                  <w:pPr>
                    <w:pStyle w:val="605"/>
                    <w:widowControl/>
                    <w:spacing w:line="360" w:lineRule="exact"/>
                    <w:rPr>
                      <w:rFonts w:cs="宋体"/>
                      <w:color w:val="000000" w:themeColor="text1"/>
                      <w:szCs w:val="20"/>
                      <w:lang w:bidi="ar"/>
                      <w14:textFill>
                        <w14:solidFill>
                          <w14:schemeClr w14:val="tx1"/>
                        </w14:solidFill>
                      </w14:textFill>
                    </w:rPr>
                  </w:pPr>
                  <w:r>
                    <w:rPr>
                      <w:rFonts w:hint="eastAsia" w:cs="宋体"/>
                      <w:color w:val="000000" w:themeColor="text1"/>
                      <w:szCs w:val="20"/>
                      <w:lang w:bidi="ar"/>
                      <w14:textFill>
                        <w14:solidFill>
                          <w14:schemeClr w14:val="tx1"/>
                        </w14:solidFill>
                      </w14:textFill>
                    </w:rPr>
                    <w:t>ψ</w:t>
                  </w:r>
                  <w:r>
                    <w:rPr>
                      <w:rFonts w:hint="eastAsia" w:cs="宋体"/>
                      <w:color w:val="000000" w:themeColor="text1"/>
                      <w:szCs w:val="21"/>
                      <w:vertAlign w:val="subscript"/>
                      <w:lang w:bidi="ar"/>
                      <w14:textFill>
                        <w14:solidFill>
                          <w14:schemeClr w14:val="tx1"/>
                        </w14:solidFill>
                      </w14:textFill>
                    </w:rPr>
                    <w:t>H</w:t>
                  </w:r>
                </w:p>
              </w:tc>
              <w:tc>
                <w:tcPr>
                  <w:tcW w:w="736" w:type="pct"/>
                  <w:tcBorders>
                    <w:top w:val="single" w:color="auto" w:sz="6" w:space="0"/>
                    <w:left w:val="single" w:color="auto" w:sz="6" w:space="0"/>
                    <w:bottom w:val="single" w:color="auto" w:sz="6" w:space="0"/>
                    <w:right w:val="single" w:color="auto" w:sz="6" w:space="0"/>
                  </w:tcBorders>
                  <w:shd w:val="clear" w:color="auto" w:fill="auto"/>
                  <w:vAlign w:val="center"/>
                </w:tcPr>
                <w:p w14:paraId="6570D8CB">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6C157424">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c>
                <w:tcPr>
                  <w:tcW w:w="707" w:type="pct"/>
                  <w:tcBorders>
                    <w:top w:val="single" w:color="auto" w:sz="6" w:space="0"/>
                    <w:left w:val="single" w:color="auto" w:sz="6" w:space="0"/>
                    <w:bottom w:val="single" w:color="auto" w:sz="6" w:space="0"/>
                    <w:right w:val="single" w:color="auto" w:sz="6" w:space="0"/>
                  </w:tcBorders>
                  <w:shd w:val="clear" w:color="auto" w:fill="auto"/>
                  <w:vAlign w:val="center"/>
                </w:tcPr>
                <w:p w14:paraId="67AF0EAC">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47F1FE1D">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33B828F0">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r>
            <w:tr w14:paraId="36E42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4" w:type="pct"/>
                  <w:tcBorders>
                    <w:top w:val="single" w:color="auto" w:sz="6" w:space="0"/>
                    <w:left w:val="single" w:color="auto" w:sz="6" w:space="0"/>
                    <w:bottom w:val="single" w:color="auto" w:sz="6" w:space="0"/>
                    <w:right w:val="single" w:color="auto" w:sz="6" w:space="0"/>
                  </w:tcBorders>
                  <w:shd w:val="clear" w:color="auto" w:fill="auto"/>
                  <w:vAlign w:val="center"/>
                </w:tcPr>
                <w:p w14:paraId="5E491C23">
                  <w:pPr>
                    <w:pStyle w:val="605"/>
                    <w:widowControl/>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0"/>
                      <w:lang w:bidi="ar"/>
                      <w14:textFill>
                        <w14:solidFill>
                          <w14:schemeClr w14:val="tx1"/>
                        </w14:solidFill>
                      </w14:textFill>
                    </w:rPr>
                    <w:t>γ</w:t>
                  </w:r>
                  <w:r>
                    <w:rPr>
                      <w:rFonts w:hint="eastAsia" w:cs="宋体"/>
                      <w:color w:val="000000" w:themeColor="text1"/>
                      <w:szCs w:val="21"/>
                      <w:lang w:bidi="ar"/>
                      <w14:textFill>
                        <w14:solidFill>
                          <w14:schemeClr w14:val="tx1"/>
                        </w14:solidFill>
                      </w14:textFill>
                    </w:rPr>
                    <w:t>（20-30km/h）</w:t>
                  </w:r>
                </w:p>
              </w:tc>
              <w:tc>
                <w:tcPr>
                  <w:tcW w:w="736" w:type="pct"/>
                  <w:tcBorders>
                    <w:top w:val="single" w:color="auto" w:sz="6" w:space="0"/>
                    <w:left w:val="single" w:color="auto" w:sz="6" w:space="0"/>
                    <w:bottom w:val="single" w:color="auto" w:sz="6" w:space="0"/>
                    <w:right w:val="single" w:color="auto" w:sz="6" w:space="0"/>
                  </w:tcBorders>
                  <w:shd w:val="clear" w:color="auto" w:fill="auto"/>
                  <w:vAlign w:val="center"/>
                </w:tcPr>
                <w:p w14:paraId="1C3F44C9">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1.26</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1C710C82">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1.25</w:t>
                  </w:r>
                </w:p>
              </w:tc>
              <w:tc>
                <w:tcPr>
                  <w:tcW w:w="707" w:type="pct"/>
                  <w:tcBorders>
                    <w:top w:val="single" w:color="auto" w:sz="6" w:space="0"/>
                    <w:left w:val="single" w:color="auto" w:sz="6" w:space="0"/>
                    <w:bottom w:val="single" w:color="auto" w:sz="6" w:space="0"/>
                    <w:right w:val="single" w:color="auto" w:sz="6" w:space="0"/>
                  </w:tcBorders>
                  <w:shd w:val="clear" w:color="auto" w:fill="auto"/>
                  <w:vAlign w:val="center"/>
                </w:tcPr>
                <w:p w14:paraId="75398311">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1.13</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323ACC50">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1.25</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2EDD78F8">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1.25</w:t>
                  </w:r>
                </w:p>
              </w:tc>
            </w:tr>
            <w:tr w14:paraId="3ECB2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4" w:type="pct"/>
                  <w:tcBorders>
                    <w:top w:val="single" w:color="auto" w:sz="6" w:space="0"/>
                    <w:left w:val="single" w:color="auto" w:sz="6" w:space="0"/>
                    <w:bottom w:val="single" w:color="auto" w:sz="6" w:space="0"/>
                    <w:right w:val="single" w:color="auto" w:sz="6" w:space="0"/>
                  </w:tcBorders>
                  <w:shd w:val="clear" w:color="auto" w:fill="auto"/>
                  <w:vAlign w:val="center"/>
                </w:tcPr>
                <w:p w14:paraId="56E0733D">
                  <w:pPr>
                    <w:pStyle w:val="605"/>
                    <w:widowControl/>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λ</w:t>
                  </w:r>
                </w:p>
              </w:tc>
              <w:tc>
                <w:tcPr>
                  <w:tcW w:w="736" w:type="pct"/>
                  <w:tcBorders>
                    <w:top w:val="single" w:color="auto" w:sz="6" w:space="0"/>
                    <w:left w:val="single" w:color="auto" w:sz="6" w:space="0"/>
                    <w:bottom w:val="single" w:color="auto" w:sz="6" w:space="0"/>
                    <w:right w:val="single" w:color="auto" w:sz="6" w:space="0"/>
                  </w:tcBorders>
                  <w:shd w:val="clear" w:color="auto" w:fill="auto"/>
                  <w:vAlign w:val="center"/>
                </w:tcPr>
                <w:p w14:paraId="09D2A6F7">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1.43</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4084243E">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1.48</w:t>
                  </w:r>
                </w:p>
              </w:tc>
              <w:tc>
                <w:tcPr>
                  <w:tcW w:w="707" w:type="pct"/>
                  <w:tcBorders>
                    <w:top w:val="single" w:color="auto" w:sz="6" w:space="0"/>
                    <w:left w:val="single" w:color="auto" w:sz="6" w:space="0"/>
                    <w:bottom w:val="single" w:color="auto" w:sz="6" w:space="0"/>
                    <w:right w:val="single" w:color="auto" w:sz="6" w:space="0"/>
                  </w:tcBorders>
                  <w:shd w:val="clear" w:color="auto" w:fill="auto"/>
                  <w:vAlign w:val="center"/>
                </w:tcPr>
                <w:p w14:paraId="0B149058">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1.25</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78B9A881">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336BF2E5">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r>
            <w:tr w14:paraId="69DA21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4" w:type="pct"/>
                  <w:tcBorders>
                    <w:top w:val="single" w:color="auto" w:sz="6" w:space="0"/>
                    <w:left w:val="single" w:color="auto" w:sz="6" w:space="0"/>
                    <w:bottom w:val="single" w:color="auto" w:sz="6" w:space="0"/>
                    <w:right w:val="single" w:color="auto" w:sz="6" w:space="0"/>
                  </w:tcBorders>
                  <w:shd w:val="clear" w:color="auto" w:fill="auto"/>
                  <w:vAlign w:val="center"/>
                </w:tcPr>
                <w:p w14:paraId="0FD85820">
                  <w:pPr>
                    <w:pStyle w:val="605"/>
                    <w:widowControl/>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0"/>
                      <w:lang w:bidi="ar"/>
                      <w14:textFill>
                        <w14:solidFill>
                          <w14:schemeClr w14:val="tx1"/>
                        </w14:solidFill>
                      </w14:textFill>
                    </w:rPr>
                    <w:t>θ</w:t>
                  </w:r>
                  <w:r>
                    <w:rPr>
                      <w:rFonts w:hint="eastAsia" w:cs="宋体"/>
                      <w:color w:val="000000" w:themeColor="text1"/>
                      <w:szCs w:val="21"/>
                      <w:lang w:bidi="ar"/>
                      <w14:textFill>
                        <w14:solidFill>
                          <w14:schemeClr w14:val="tx1"/>
                        </w14:solidFill>
                      </w14:textFill>
                    </w:rPr>
                    <w:t>（含硫量为50ppm）</w:t>
                  </w:r>
                </w:p>
              </w:tc>
              <w:tc>
                <w:tcPr>
                  <w:tcW w:w="736" w:type="pct"/>
                  <w:tcBorders>
                    <w:top w:val="single" w:color="auto" w:sz="6" w:space="0"/>
                    <w:left w:val="single" w:color="auto" w:sz="6" w:space="0"/>
                    <w:bottom w:val="single" w:color="auto" w:sz="6" w:space="0"/>
                    <w:right w:val="single" w:color="auto" w:sz="6" w:space="0"/>
                  </w:tcBorders>
                  <w:shd w:val="clear" w:color="auto" w:fill="auto"/>
                  <w:vAlign w:val="center"/>
                </w:tcPr>
                <w:p w14:paraId="209DDDAD">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1.00</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6A9AA1DE">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1.00</w:t>
                  </w:r>
                </w:p>
              </w:tc>
              <w:tc>
                <w:tcPr>
                  <w:tcW w:w="707" w:type="pct"/>
                  <w:tcBorders>
                    <w:top w:val="single" w:color="auto" w:sz="6" w:space="0"/>
                    <w:left w:val="single" w:color="auto" w:sz="6" w:space="0"/>
                    <w:bottom w:val="single" w:color="auto" w:sz="6" w:space="0"/>
                    <w:right w:val="single" w:color="auto" w:sz="6" w:space="0"/>
                  </w:tcBorders>
                  <w:shd w:val="clear" w:color="auto" w:fill="auto"/>
                  <w:vAlign w:val="center"/>
                </w:tcPr>
                <w:p w14:paraId="4B4E9C19">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703CF813">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76823A38">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r>
            <w:tr w14:paraId="08683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4" w:type="pct"/>
                  <w:tcBorders>
                    <w:top w:val="single" w:color="auto" w:sz="6" w:space="0"/>
                    <w:left w:val="single" w:color="auto" w:sz="6" w:space="0"/>
                    <w:bottom w:val="single" w:color="auto" w:sz="6" w:space="0"/>
                    <w:right w:val="single" w:color="auto" w:sz="6" w:space="0"/>
                  </w:tcBorders>
                  <w:shd w:val="clear" w:color="auto" w:fill="auto"/>
                  <w:vAlign w:val="center"/>
                </w:tcPr>
                <w:p w14:paraId="373F9B68">
                  <w:pPr>
                    <w:pStyle w:val="605"/>
                    <w:widowControl/>
                    <w:spacing w:line="360" w:lineRule="exact"/>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EF1</w:t>
                  </w:r>
                </w:p>
              </w:tc>
              <w:tc>
                <w:tcPr>
                  <w:tcW w:w="736" w:type="pct"/>
                  <w:tcBorders>
                    <w:top w:val="single" w:color="auto" w:sz="6" w:space="0"/>
                    <w:left w:val="single" w:color="auto" w:sz="6" w:space="0"/>
                    <w:bottom w:val="single" w:color="auto" w:sz="6" w:space="0"/>
                    <w:right w:val="single" w:color="auto" w:sz="6" w:space="0"/>
                  </w:tcBorders>
                  <w:shd w:val="clear" w:color="auto" w:fill="auto"/>
                  <w:vAlign w:val="center"/>
                </w:tcPr>
                <w:p w14:paraId="165D11C7">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70F35C4A">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11.6</w:t>
                  </w:r>
                </w:p>
              </w:tc>
              <w:tc>
                <w:tcPr>
                  <w:tcW w:w="707" w:type="pct"/>
                  <w:tcBorders>
                    <w:top w:val="single" w:color="auto" w:sz="6" w:space="0"/>
                    <w:left w:val="single" w:color="auto" w:sz="6" w:space="0"/>
                    <w:bottom w:val="single" w:color="auto" w:sz="6" w:space="0"/>
                    <w:right w:val="single" w:color="auto" w:sz="6" w:space="0"/>
                  </w:tcBorders>
                  <w:shd w:val="clear" w:color="auto" w:fill="auto"/>
                  <w:vAlign w:val="center"/>
                </w:tcPr>
                <w:p w14:paraId="22155EF0">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27C4A5B0">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6C278136">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r>
            <w:tr w14:paraId="54EF9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94" w:type="pct"/>
                  <w:tcBorders>
                    <w:top w:val="single" w:color="auto" w:sz="6" w:space="0"/>
                    <w:left w:val="single" w:color="auto" w:sz="6" w:space="0"/>
                    <w:bottom w:val="single" w:color="auto" w:sz="6" w:space="0"/>
                    <w:right w:val="single" w:color="auto" w:sz="6" w:space="0"/>
                  </w:tcBorders>
                  <w:shd w:val="clear" w:color="auto" w:fill="auto"/>
                  <w:vAlign w:val="center"/>
                </w:tcPr>
                <w:p w14:paraId="61FFC1B3">
                  <w:pPr>
                    <w:pStyle w:val="605"/>
                    <w:widowControl/>
                    <w:spacing w:line="360" w:lineRule="exact"/>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EF2</w:t>
                  </w:r>
                </w:p>
              </w:tc>
              <w:tc>
                <w:tcPr>
                  <w:tcW w:w="736" w:type="pct"/>
                  <w:tcBorders>
                    <w:top w:val="single" w:color="auto" w:sz="6" w:space="0"/>
                    <w:left w:val="single" w:color="auto" w:sz="6" w:space="0"/>
                    <w:bottom w:val="single" w:color="auto" w:sz="6" w:space="0"/>
                    <w:right w:val="single" w:color="auto" w:sz="6" w:space="0"/>
                  </w:tcBorders>
                  <w:shd w:val="clear" w:color="auto" w:fill="auto"/>
                  <w:vAlign w:val="center"/>
                </w:tcPr>
                <w:p w14:paraId="04516C40">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4F0CEF65">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6.5</w:t>
                  </w:r>
                </w:p>
              </w:tc>
              <w:tc>
                <w:tcPr>
                  <w:tcW w:w="707" w:type="pct"/>
                  <w:tcBorders>
                    <w:top w:val="single" w:color="auto" w:sz="6" w:space="0"/>
                    <w:left w:val="single" w:color="auto" w:sz="6" w:space="0"/>
                    <w:bottom w:val="single" w:color="auto" w:sz="6" w:space="0"/>
                    <w:right w:val="single" w:color="auto" w:sz="6" w:space="0"/>
                  </w:tcBorders>
                  <w:shd w:val="clear" w:color="auto" w:fill="auto"/>
                  <w:vAlign w:val="center"/>
                </w:tcPr>
                <w:p w14:paraId="4EB249A7">
                  <w:pPr>
                    <w:pStyle w:val="605"/>
                    <w:widowControl/>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3EE7DF98">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c>
                <w:tcPr>
                  <w:tcW w:w="753" w:type="pct"/>
                  <w:tcBorders>
                    <w:top w:val="single" w:color="auto" w:sz="6" w:space="0"/>
                    <w:left w:val="single" w:color="auto" w:sz="6" w:space="0"/>
                    <w:bottom w:val="single" w:color="auto" w:sz="6" w:space="0"/>
                    <w:right w:val="single" w:color="auto" w:sz="6" w:space="0"/>
                  </w:tcBorders>
                  <w:shd w:val="clear" w:color="auto" w:fill="auto"/>
                  <w:vAlign w:val="center"/>
                </w:tcPr>
                <w:p w14:paraId="785BE73D">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w:t>
                  </w:r>
                </w:p>
              </w:tc>
            </w:tr>
          </w:tbl>
          <w:p w14:paraId="116483C9">
            <w:pPr>
              <w:adjustRightInd w:val="0"/>
              <w:snapToGrid w:val="0"/>
              <w:spacing w:line="440" w:lineRule="exact"/>
              <w:ind w:firstLine="480" w:firstLineChars="200"/>
              <w:rPr>
                <w:rFonts w:cs="宋体"/>
                <w:color w:val="000000" w:themeColor="text1"/>
                <w:sz w:val="24"/>
                <w:lang w:bidi="ar"/>
                <w14:textFill>
                  <w14:solidFill>
                    <w14:schemeClr w14:val="tx1"/>
                  </w14:solidFill>
                </w14:textFill>
              </w:rPr>
            </w:pPr>
            <w:r>
              <w:rPr>
                <w:rFonts w:hint="eastAsia" w:cs="宋体"/>
                <w:color w:val="000000" w:themeColor="text1"/>
                <w:sz w:val="24"/>
                <w:lang w:bidi="ar"/>
                <w14:textFill>
                  <w14:solidFill>
                    <w14:schemeClr w14:val="tx1"/>
                  </w14:solidFill>
                </w14:textFill>
              </w:rPr>
              <w:t>根据上述表格数据计算得出道路机动车CO、HC、NO</w:t>
            </w:r>
            <w:r>
              <w:rPr>
                <w:rFonts w:hint="eastAsia" w:cs="宋体"/>
                <w:color w:val="000000" w:themeColor="text1"/>
                <w:sz w:val="24"/>
                <w:vertAlign w:val="subscript"/>
                <w:lang w:bidi="ar"/>
                <w14:textFill>
                  <w14:solidFill>
                    <w14:schemeClr w14:val="tx1"/>
                  </w14:solidFill>
                </w14:textFill>
              </w:rPr>
              <w:t>X</w:t>
            </w:r>
            <w:r>
              <w:rPr>
                <w:rFonts w:hint="eastAsia" w:cs="宋体"/>
                <w:color w:val="000000" w:themeColor="text1"/>
                <w:sz w:val="24"/>
                <w:lang w:bidi="ar"/>
                <w14:textFill>
                  <w14:solidFill>
                    <w14:schemeClr w14:val="tx1"/>
                  </w14:solidFill>
                </w14:textFill>
              </w:rPr>
              <w:t>、PM</w:t>
            </w:r>
            <w:r>
              <w:rPr>
                <w:rFonts w:hint="eastAsia" w:cs="宋体"/>
                <w:color w:val="000000" w:themeColor="text1"/>
                <w:sz w:val="24"/>
                <w:vertAlign w:val="subscript"/>
                <w:lang w:bidi="ar"/>
                <w14:textFill>
                  <w14:solidFill>
                    <w14:schemeClr w14:val="tx1"/>
                  </w14:solidFill>
                </w14:textFill>
              </w:rPr>
              <w:t>2.5</w:t>
            </w:r>
            <w:r>
              <w:rPr>
                <w:rFonts w:hint="eastAsia" w:cs="宋体"/>
                <w:color w:val="000000" w:themeColor="text1"/>
                <w:sz w:val="24"/>
                <w:lang w:bidi="ar"/>
                <w14:textFill>
                  <w14:solidFill>
                    <w14:schemeClr w14:val="tx1"/>
                  </w14:solidFill>
                </w14:textFill>
              </w:rPr>
              <w:t>和PM</w:t>
            </w:r>
            <w:r>
              <w:rPr>
                <w:rFonts w:hint="eastAsia" w:cs="宋体"/>
                <w:color w:val="000000" w:themeColor="text1"/>
                <w:sz w:val="24"/>
                <w:vertAlign w:val="subscript"/>
                <w:lang w:bidi="ar"/>
                <w14:textFill>
                  <w14:solidFill>
                    <w14:schemeClr w14:val="tx1"/>
                  </w14:solidFill>
                </w14:textFill>
              </w:rPr>
              <w:t>10</w:t>
            </w:r>
            <w:r>
              <w:rPr>
                <w:rFonts w:hint="eastAsia" w:cs="宋体"/>
                <w:color w:val="000000" w:themeColor="text1"/>
                <w:sz w:val="24"/>
                <w:lang w:bidi="ar"/>
                <w14:textFill>
                  <w14:solidFill>
                    <w14:schemeClr w14:val="tx1"/>
                  </w14:solidFill>
                </w14:textFill>
              </w:rPr>
              <w:t>的年排放量分别为0.827t/a、0.159t/a、0.117t/a、0.004t/a及0.005t/a。</w:t>
            </w:r>
          </w:p>
          <w:p w14:paraId="503CAC98">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各类施工机械流动性较强，且燃料用量不大，所产生的废气少且较为分散，在易于扩散的气象条件下，该废气对周围环境的影响不大。由于项目区域大而施工较为分散，在易于扩散的气象条件下，施工期燃油废气对周围环境的影响不大，且随着施工期的结束，该污染物也随即消失，故施工期燃油废气对周围大气环境影响较小。</w:t>
            </w:r>
          </w:p>
          <w:p w14:paraId="101B3C22">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综上，本项目施工期产生的扬尘影响主要为施工场地风力扬尘、运输车辆行驶扬尘和燃油废气。采取环保措施后，可以有效地控制施工期扬尘影响的范围及程度。而且施工扬尘造成的污染是短期的、局部的，施工结束后即会消失，因此项目对大气环境及场内道路周边居民的影响是有限的。</w:t>
            </w:r>
          </w:p>
          <w:p w14:paraId="04433C32">
            <w:pPr>
              <w:adjustRightInd w:val="0"/>
              <w:snapToGrid w:val="0"/>
              <w:spacing w:line="440" w:lineRule="exact"/>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 xml:space="preserve">4 </w:t>
            </w:r>
            <w:r>
              <w:rPr>
                <w:rFonts w:hint="eastAsia" w:cs="宋体"/>
                <w:b/>
                <w:color w:val="000000" w:themeColor="text1"/>
                <w:sz w:val="24"/>
                <w:lang w:bidi="ar"/>
                <w14:textFill>
                  <w14:solidFill>
                    <w14:schemeClr w14:val="tx1"/>
                  </w14:solidFill>
                </w14:textFill>
              </w:rPr>
              <w:t>施工噪声环境影响分析</w:t>
            </w:r>
          </w:p>
          <w:p w14:paraId="48765F7F">
            <w:pPr>
              <w:adjustRightInd w:val="0"/>
              <w:snapToGrid w:val="0"/>
              <w:spacing w:line="440" w:lineRule="exact"/>
              <w:rPr>
                <w:b/>
                <w:bCs/>
                <w:color w:val="000000" w:themeColor="text1"/>
                <w:sz w:val="24"/>
                <w14:textFill>
                  <w14:solidFill>
                    <w14:schemeClr w14:val="tx1"/>
                  </w14:solidFill>
                </w14:textFill>
              </w:rPr>
            </w:pPr>
            <w:r>
              <w:rPr>
                <w:b/>
                <w:bCs/>
                <w:color w:val="000000" w:themeColor="text1"/>
                <w:sz w:val="24"/>
                <w:lang w:bidi="ar"/>
                <w14:textFill>
                  <w14:solidFill>
                    <w14:schemeClr w14:val="tx1"/>
                  </w14:solidFill>
                </w14:textFill>
              </w:rPr>
              <w:t xml:space="preserve">4.1 </w:t>
            </w:r>
            <w:r>
              <w:rPr>
                <w:rFonts w:hint="eastAsia" w:cs="宋体"/>
                <w:b/>
                <w:bCs/>
                <w:color w:val="000000" w:themeColor="text1"/>
                <w:sz w:val="24"/>
                <w:lang w:bidi="ar"/>
                <w14:textFill>
                  <w14:solidFill>
                    <w14:schemeClr w14:val="tx1"/>
                  </w14:solidFill>
                </w14:textFill>
              </w:rPr>
              <w:t>机械设备噪声影响</w:t>
            </w:r>
          </w:p>
          <w:p w14:paraId="33B9FC8F">
            <w:pPr>
              <w:adjustRightInd w:val="0"/>
              <w:snapToGrid w:val="0"/>
              <w:spacing w:line="440" w:lineRule="exact"/>
              <w:ind w:firstLine="480" w:firstLineChars="200"/>
              <w:rPr>
                <w:bCs/>
                <w:color w:val="000000" w:themeColor="text1"/>
                <w:sz w:val="24"/>
                <w14:textFill>
                  <w14:solidFill>
                    <w14:schemeClr w14:val="tx1"/>
                  </w14:solidFill>
                </w14:textFill>
              </w:rPr>
            </w:pPr>
            <w:r>
              <w:rPr>
                <w:rFonts w:hint="eastAsia" w:cs="宋体"/>
                <w:bCs/>
                <w:color w:val="000000" w:themeColor="text1"/>
                <w:sz w:val="24"/>
                <w:lang w:bidi="ar"/>
                <w14:textFill>
                  <w14:solidFill>
                    <w14:schemeClr w14:val="tx1"/>
                  </w14:solidFill>
                </w14:textFill>
              </w:rPr>
              <w:t>（</w:t>
            </w:r>
            <w:r>
              <w:rPr>
                <w:bCs/>
                <w:color w:val="000000" w:themeColor="text1"/>
                <w:sz w:val="24"/>
                <w:lang w:bidi="ar"/>
                <w14:textFill>
                  <w14:solidFill>
                    <w14:schemeClr w14:val="tx1"/>
                  </w14:solidFill>
                </w14:textFill>
              </w:rPr>
              <w:t>1</w:t>
            </w:r>
            <w:r>
              <w:rPr>
                <w:rFonts w:hint="eastAsia" w:cs="宋体"/>
                <w:bCs/>
                <w:color w:val="000000" w:themeColor="text1"/>
                <w:sz w:val="24"/>
                <w:lang w:bidi="ar"/>
                <w14:textFill>
                  <w14:solidFill>
                    <w14:schemeClr w14:val="tx1"/>
                  </w14:solidFill>
                </w14:textFill>
              </w:rPr>
              <w:t>）噪声源强</w:t>
            </w:r>
          </w:p>
          <w:p w14:paraId="34E05F4D">
            <w:pPr>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s="宋体"/>
                <w:color w:val="000000" w:themeColor="text1"/>
                <w:kern w:val="0"/>
                <w:sz w:val="24"/>
                <w:lang w:bidi="ar"/>
                <w14:textFill>
                  <w14:solidFill>
                    <w14:schemeClr w14:val="tx1"/>
                  </w14:solidFill>
                </w14:textFill>
              </w:rPr>
              <w:t>施工期的噪声污染源主要是施工现场的各类施工噪声。由于在施工过程中，需动用大量的车辆和施工机械，挖掘机、搅拌机、装载机等，噪声强度较大。各类施工机械声级采用类比调查法获取，具体的噪声源强见表</w:t>
            </w:r>
            <w:r>
              <w:rPr>
                <w:color w:val="000000" w:themeColor="text1"/>
                <w:kern w:val="0"/>
                <w:sz w:val="24"/>
                <w:lang w:bidi="ar"/>
                <w14:textFill>
                  <w14:solidFill>
                    <w14:schemeClr w14:val="tx1"/>
                  </w14:solidFill>
                </w14:textFill>
              </w:rPr>
              <w:t>4-</w:t>
            </w:r>
            <w:r>
              <w:rPr>
                <w:rFonts w:hint="eastAsia"/>
                <w:color w:val="000000" w:themeColor="text1"/>
                <w:kern w:val="0"/>
                <w:sz w:val="24"/>
                <w:lang w:bidi="ar"/>
                <w14:textFill>
                  <w14:solidFill>
                    <w14:schemeClr w14:val="tx1"/>
                  </w14:solidFill>
                </w14:textFill>
              </w:rPr>
              <w:t>7</w:t>
            </w:r>
            <w:r>
              <w:rPr>
                <w:rFonts w:hint="eastAsia" w:cs="宋体"/>
                <w:color w:val="000000" w:themeColor="text1"/>
                <w:kern w:val="0"/>
                <w:sz w:val="24"/>
                <w:lang w:bidi="ar"/>
                <w14:textFill>
                  <w14:solidFill>
                    <w14:schemeClr w14:val="tx1"/>
                  </w14:solidFill>
                </w14:textFill>
              </w:rPr>
              <w:t>。</w:t>
            </w:r>
          </w:p>
          <w:p w14:paraId="52E8CAA3">
            <w:pPr>
              <w:adjustRightInd w:val="0"/>
              <w:snapToGrid w:val="0"/>
              <w:spacing w:line="440" w:lineRule="exact"/>
              <w:ind w:firstLine="482" w:firstLineChars="200"/>
              <w:rPr>
                <w:b/>
                <w:color w:val="000000" w:themeColor="text1"/>
                <w:sz w:val="24"/>
                <w14:textFill>
                  <w14:solidFill>
                    <w14:schemeClr w14:val="tx1"/>
                  </w14:solidFill>
                </w14:textFill>
              </w:rPr>
            </w:pPr>
            <w:r>
              <w:rPr>
                <w:rFonts w:hint="eastAsia" w:cs="宋体"/>
                <w:b/>
                <w:color w:val="000000" w:themeColor="text1"/>
                <w:sz w:val="24"/>
                <w:lang w:bidi="ar"/>
                <w14:textFill>
                  <w14:solidFill>
                    <w14:schemeClr w14:val="tx1"/>
                  </w14:solidFill>
                </w14:textFill>
              </w:rPr>
              <w:t>表</w:t>
            </w:r>
            <w:r>
              <w:rPr>
                <w:b/>
                <w:color w:val="000000" w:themeColor="text1"/>
                <w:sz w:val="24"/>
                <w:lang w:bidi="ar"/>
                <w14:textFill>
                  <w14:solidFill>
                    <w14:schemeClr w14:val="tx1"/>
                  </w14:solidFill>
                </w14:textFill>
              </w:rPr>
              <w:t>4-</w:t>
            </w:r>
            <w:r>
              <w:rPr>
                <w:rFonts w:hint="eastAsia"/>
                <w:b/>
                <w:color w:val="000000" w:themeColor="text1"/>
                <w:sz w:val="24"/>
                <w:lang w:bidi="ar"/>
                <w14:textFill>
                  <w14:solidFill>
                    <w14:schemeClr w14:val="tx1"/>
                  </w14:solidFill>
                </w14:textFill>
              </w:rPr>
              <w:t>7</w:t>
            </w:r>
            <w:r>
              <w:rPr>
                <w:b/>
                <w:color w:val="000000" w:themeColor="text1"/>
                <w:sz w:val="24"/>
                <w:lang w:bidi="ar"/>
                <w14:textFill>
                  <w14:solidFill>
                    <w14:schemeClr w14:val="tx1"/>
                  </w14:solidFill>
                </w14:textFill>
              </w:rPr>
              <w:t xml:space="preserve"> </w:t>
            </w:r>
            <w:r>
              <w:rPr>
                <w:rFonts w:hint="eastAsia"/>
                <w:b/>
                <w:color w:val="000000" w:themeColor="text1"/>
                <w:sz w:val="24"/>
                <w:lang w:bidi="ar"/>
                <w14:textFill>
                  <w14:solidFill>
                    <w14:schemeClr w14:val="tx1"/>
                  </w14:solidFill>
                </w14:textFill>
              </w:rPr>
              <w:t xml:space="preserve"> </w:t>
            </w:r>
            <w:r>
              <w:rPr>
                <w:b/>
                <w:color w:val="000000" w:themeColor="text1"/>
                <w:sz w:val="24"/>
                <w:lang w:bidi="ar"/>
                <w14:textFill>
                  <w14:solidFill>
                    <w14:schemeClr w14:val="tx1"/>
                  </w14:solidFill>
                </w14:textFill>
              </w:rPr>
              <w:t xml:space="preserve">  </w:t>
            </w:r>
            <w:r>
              <w:rPr>
                <w:rFonts w:hint="eastAsia" w:cs="宋体"/>
                <w:b/>
                <w:color w:val="000000" w:themeColor="text1"/>
                <w:sz w:val="24"/>
                <w:lang w:bidi="ar"/>
                <w14:textFill>
                  <w14:solidFill>
                    <w14:schemeClr w14:val="tx1"/>
                  </w14:solidFill>
                </w14:textFill>
              </w:rPr>
              <w:t>主要施工设备噪声源强</w:t>
            </w:r>
            <w:r>
              <w:rPr>
                <w:b/>
                <w:color w:val="000000" w:themeColor="text1"/>
                <w:sz w:val="24"/>
                <w:lang w:bidi="ar"/>
                <w14:textFill>
                  <w14:solidFill>
                    <w14:schemeClr w14:val="tx1"/>
                  </w14:solidFill>
                </w14:textFill>
              </w:rPr>
              <w:t xml:space="preserve">   </w:t>
            </w:r>
            <w:r>
              <w:rPr>
                <w:rFonts w:hint="eastAsia"/>
                <w:b/>
                <w:color w:val="000000" w:themeColor="text1"/>
                <w:sz w:val="24"/>
                <w:lang w:bidi="ar"/>
                <w14:textFill>
                  <w14:solidFill>
                    <w14:schemeClr w14:val="tx1"/>
                  </w14:solidFill>
                </w14:textFill>
              </w:rPr>
              <w:t xml:space="preserve">                   </w:t>
            </w:r>
            <w:r>
              <w:rPr>
                <w:b/>
                <w:color w:val="000000" w:themeColor="text1"/>
                <w:sz w:val="24"/>
                <w:lang w:bidi="ar"/>
                <w14:textFill>
                  <w14:solidFill>
                    <w14:schemeClr w14:val="tx1"/>
                  </w14:solidFill>
                </w14:textFill>
              </w:rPr>
              <w:t xml:space="preserve"> </w:t>
            </w:r>
            <w:r>
              <w:rPr>
                <w:rFonts w:hint="eastAsia" w:cs="宋体"/>
                <w:b/>
                <w:color w:val="000000" w:themeColor="text1"/>
                <w:sz w:val="24"/>
                <w:lang w:bidi="ar"/>
                <w14:textFill>
                  <w14:solidFill>
                    <w14:schemeClr w14:val="tx1"/>
                  </w14:solidFill>
                </w14:textFill>
              </w:rPr>
              <w:t>单位：</w:t>
            </w:r>
            <w:r>
              <w:rPr>
                <w:b/>
                <w:color w:val="000000" w:themeColor="text1"/>
                <w:sz w:val="24"/>
                <w:lang w:bidi="ar"/>
                <w14:textFill>
                  <w14:solidFill>
                    <w14:schemeClr w14:val="tx1"/>
                  </w14:solidFill>
                </w14:textFill>
              </w:rPr>
              <w:t>dB(A)</w:t>
            </w:r>
          </w:p>
          <w:tbl>
            <w:tblPr>
              <w:tblStyle w:val="6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94"/>
              <w:gridCol w:w="2783"/>
            </w:tblGrid>
            <w:tr w14:paraId="6C47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8" w:type="pct"/>
                  <w:tcBorders>
                    <w:tl2br w:val="nil"/>
                    <w:tr2bl w:val="nil"/>
                  </w:tcBorders>
                  <w:shd w:val="clear" w:color="auto" w:fill="auto"/>
                  <w:vAlign w:val="center"/>
                </w:tcPr>
                <w:p w14:paraId="449A36B4">
                  <w:pPr>
                    <w:adjustRightInd w:val="0"/>
                    <w:snapToGrid w:val="0"/>
                    <w:spacing w:line="360" w:lineRule="exact"/>
                    <w:jc w:val="center"/>
                    <w:rPr>
                      <w:b/>
                      <w:bCs/>
                      <w:color w:val="000000" w:themeColor="text1"/>
                      <w:szCs w:val="21"/>
                      <w14:textFill>
                        <w14:solidFill>
                          <w14:schemeClr w14:val="tx1"/>
                        </w14:solidFill>
                      </w14:textFill>
                    </w:rPr>
                  </w:pPr>
                  <w:r>
                    <w:rPr>
                      <w:rFonts w:hint="eastAsia" w:cs="宋体"/>
                      <w:b/>
                      <w:bCs/>
                      <w:color w:val="000000" w:themeColor="text1"/>
                      <w:szCs w:val="21"/>
                      <w:lang w:bidi="ar"/>
                      <w14:textFill>
                        <w14:solidFill>
                          <w14:schemeClr w14:val="tx1"/>
                        </w14:solidFill>
                      </w14:textFill>
                    </w:rPr>
                    <w:t>主要噪声设备</w:t>
                  </w:r>
                </w:p>
              </w:tc>
              <w:tc>
                <w:tcPr>
                  <w:tcW w:w="1681" w:type="pct"/>
                  <w:tcBorders>
                    <w:tl2br w:val="nil"/>
                    <w:tr2bl w:val="nil"/>
                  </w:tcBorders>
                  <w:shd w:val="clear" w:color="auto" w:fill="auto"/>
                  <w:vAlign w:val="center"/>
                </w:tcPr>
                <w:p w14:paraId="50BC0743">
                  <w:pPr>
                    <w:adjustRightInd w:val="0"/>
                    <w:snapToGrid w:val="0"/>
                    <w:spacing w:line="360" w:lineRule="exact"/>
                    <w:jc w:val="center"/>
                    <w:rPr>
                      <w:b/>
                      <w:bCs/>
                      <w:color w:val="000000" w:themeColor="text1"/>
                      <w:szCs w:val="21"/>
                      <w14:textFill>
                        <w14:solidFill>
                          <w14:schemeClr w14:val="tx1"/>
                        </w14:solidFill>
                      </w14:textFill>
                    </w:rPr>
                  </w:pPr>
                  <w:r>
                    <w:rPr>
                      <w:rFonts w:hint="eastAsia" w:cs="宋体"/>
                      <w:b/>
                      <w:bCs/>
                      <w:color w:val="000000" w:themeColor="text1"/>
                      <w:szCs w:val="21"/>
                      <w:lang w:bidi="ar"/>
                      <w14:textFill>
                        <w14:solidFill>
                          <w14:schemeClr w14:val="tx1"/>
                        </w14:solidFill>
                      </w14:textFill>
                    </w:rPr>
                    <w:t>距离设备1m处/源强（</w:t>
                  </w:r>
                  <w:r>
                    <w:rPr>
                      <w:b/>
                      <w:bCs/>
                      <w:color w:val="000000" w:themeColor="text1"/>
                      <w:szCs w:val="21"/>
                      <w:lang w:bidi="ar"/>
                      <w14:textFill>
                        <w14:solidFill>
                          <w14:schemeClr w14:val="tx1"/>
                        </w14:solidFill>
                      </w14:textFill>
                    </w:rPr>
                    <w:t>dB(A)</w:t>
                  </w:r>
                  <w:r>
                    <w:rPr>
                      <w:rFonts w:hint="eastAsia" w:cs="宋体"/>
                      <w:b/>
                      <w:bCs/>
                      <w:color w:val="000000" w:themeColor="text1"/>
                      <w:szCs w:val="21"/>
                      <w:lang w:bidi="ar"/>
                      <w14:textFill>
                        <w14:solidFill>
                          <w14:schemeClr w14:val="tx1"/>
                        </w14:solidFill>
                      </w14:textFill>
                    </w:rPr>
                    <w:t>）</w:t>
                  </w:r>
                </w:p>
              </w:tc>
            </w:tr>
            <w:tr w14:paraId="1209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318" w:type="pct"/>
                  <w:tcBorders>
                    <w:tl2br w:val="nil"/>
                    <w:tr2bl w:val="nil"/>
                  </w:tcBorders>
                  <w:shd w:val="clear" w:color="auto" w:fill="auto"/>
                  <w:vAlign w:val="center"/>
                </w:tcPr>
                <w:p w14:paraId="42821291">
                  <w:pPr>
                    <w:adjustRightInd w:val="0"/>
                    <w:snapToGrid w:val="0"/>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挖掘机</w:t>
                  </w:r>
                </w:p>
              </w:tc>
              <w:tc>
                <w:tcPr>
                  <w:tcW w:w="1681" w:type="pct"/>
                  <w:tcBorders>
                    <w:tl2br w:val="nil"/>
                    <w:tr2bl w:val="nil"/>
                  </w:tcBorders>
                  <w:shd w:val="clear" w:color="auto" w:fill="auto"/>
                  <w:vAlign w:val="center"/>
                </w:tcPr>
                <w:p w14:paraId="1779E0BF">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80-90</w:t>
                  </w:r>
                </w:p>
              </w:tc>
            </w:tr>
            <w:tr w14:paraId="4661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8" w:type="pct"/>
                  <w:tcBorders>
                    <w:tl2br w:val="nil"/>
                    <w:tr2bl w:val="nil"/>
                  </w:tcBorders>
                  <w:shd w:val="clear" w:color="auto" w:fill="auto"/>
                  <w:vAlign w:val="center"/>
                </w:tcPr>
                <w:p w14:paraId="70D2DE05">
                  <w:pPr>
                    <w:adjustRightInd w:val="0"/>
                    <w:snapToGrid w:val="0"/>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装载机、压路机、推土机</w:t>
                  </w:r>
                </w:p>
              </w:tc>
              <w:tc>
                <w:tcPr>
                  <w:tcW w:w="1681" w:type="pct"/>
                  <w:tcBorders>
                    <w:tl2br w:val="nil"/>
                    <w:tr2bl w:val="nil"/>
                  </w:tcBorders>
                  <w:shd w:val="clear" w:color="auto" w:fill="auto"/>
                  <w:vAlign w:val="center"/>
                </w:tcPr>
                <w:p w14:paraId="34D3C492">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85</w:t>
                  </w:r>
                  <w:r>
                    <w:rPr>
                      <w:rFonts w:hint="eastAsia"/>
                      <w:color w:val="000000" w:themeColor="text1"/>
                      <w:szCs w:val="21"/>
                      <w:lang w:bidi="ar"/>
                      <w14:textFill>
                        <w14:solidFill>
                          <w14:schemeClr w14:val="tx1"/>
                        </w14:solidFill>
                      </w14:textFill>
                    </w:rPr>
                    <w:t>-100</w:t>
                  </w:r>
                </w:p>
              </w:tc>
            </w:tr>
            <w:tr w14:paraId="7A78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8" w:type="pct"/>
                  <w:tcBorders>
                    <w:tl2br w:val="nil"/>
                    <w:tr2bl w:val="nil"/>
                  </w:tcBorders>
                  <w:shd w:val="clear" w:color="auto" w:fill="auto"/>
                  <w:vAlign w:val="center"/>
                </w:tcPr>
                <w:p w14:paraId="1B48F4D5">
                  <w:pPr>
                    <w:adjustRightInd w:val="0"/>
                    <w:snapToGrid w:val="0"/>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钢筋切割机、</w:t>
                  </w:r>
                  <w:r>
                    <w:rPr>
                      <w:rFonts w:hint="eastAsia"/>
                      <w:iCs/>
                      <w:snapToGrid w:val="0"/>
                      <w:color w:val="000000" w:themeColor="text1"/>
                      <w:kern w:val="0"/>
                      <w:szCs w:val="21"/>
                      <w14:textFill>
                        <w14:solidFill>
                          <w14:schemeClr w14:val="tx1"/>
                        </w14:solidFill>
                      </w14:textFill>
                    </w:rPr>
                    <w:t>混凝土插入式振动器</w:t>
                  </w:r>
                </w:p>
              </w:tc>
              <w:tc>
                <w:tcPr>
                  <w:tcW w:w="1681" w:type="pct"/>
                  <w:tcBorders>
                    <w:tl2br w:val="nil"/>
                    <w:tr2bl w:val="nil"/>
                  </w:tcBorders>
                  <w:shd w:val="clear" w:color="auto" w:fill="auto"/>
                  <w:vAlign w:val="center"/>
                </w:tcPr>
                <w:p w14:paraId="5E76A417">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90-102</w:t>
                  </w:r>
                </w:p>
              </w:tc>
            </w:tr>
            <w:tr w14:paraId="0F20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8" w:type="pct"/>
                  <w:tcBorders>
                    <w:tl2br w:val="nil"/>
                    <w:tr2bl w:val="nil"/>
                  </w:tcBorders>
                  <w:shd w:val="clear" w:color="auto" w:fill="auto"/>
                  <w:vAlign w:val="center"/>
                </w:tcPr>
                <w:p w14:paraId="7425E9DD">
                  <w:pPr>
                    <w:adjustRightInd w:val="0"/>
                    <w:snapToGrid w:val="0"/>
                    <w:spacing w:line="360" w:lineRule="exact"/>
                    <w:jc w:val="center"/>
                    <w:rPr>
                      <w:color w:val="000000" w:themeColor="text1"/>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一体式潜孔钻</w:t>
                  </w:r>
                  <w:r>
                    <w:rPr>
                      <w:rFonts w:hint="eastAsia" w:cs="宋体"/>
                      <w:color w:val="000000" w:themeColor="text1"/>
                      <w:szCs w:val="21"/>
                      <w:lang w:bidi="ar"/>
                      <w14:textFill>
                        <w14:solidFill>
                          <w14:schemeClr w14:val="tx1"/>
                        </w14:solidFill>
                      </w14:textFill>
                    </w:rPr>
                    <w:t>、柴油发电机、</w:t>
                  </w:r>
                  <w:r>
                    <w:rPr>
                      <w:rFonts w:hint="eastAsia"/>
                      <w:iCs/>
                      <w:snapToGrid w:val="0"/>
                      <w:color w:val="000000" w:themeColor="text1"/>
                      <w:kern w:val="0"/>
                      <w:szCs w:val="21"/>
                      <w14:textFill>
                        <w14:solidFill>
                          <w14:schemeClr w14:val="tx1"/>
                        </w14:solidFill>
                      </w14:textFill>
                    </w:rPr>
                    <w:t>振动打夯机</w:t>
                  </w:r>
                </w:p>
              </w:tc>
              <w:tc>
                <w:tcPr>
                  <w:tcW w:w="1681" w:type="pct"/>
                  <w:tcBorders>
                    <w:tl2br w:val="nil"/>
                    <w:tr2bl w:val="nil"/>
                  </w:tcBorders>
                  <w:shd w:val="clear" w:color="auto" w:fill="auto"/>
                  <w:vAlign w:val="center"/>
                </w:tcPr>
                <w:p w14:paraId="143BDE7E">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90-105</w:t>
                  </w:r>
                </w:p>
              </w:tc>
            </w:tr>
            <w:tr w14:paraId="4A5A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8" w:type="pct"/>
                  <w:tcBorders>
                    <w:tl2br w:val="nil"/>
                    <w:tr2bl w:val="nil"/>
                  </w:tcBorders>
                  <w:shd w:val="clear" w:color="auto" w:fill="auto"/>
                  <w:vAlign w:val="center"/>
                </w:tcPr>
                <w:p w14:paraId="5671FD24">
                  <w:pPr>
                    <w:adjustRightInd w:val="0"/>
                    <w:snapToGrid w:val="0"/>
                    <w:spacing w:line="360" w:lineRule="exact"/>
                    <w:jc w:val="center"/>
                    <w:rPr>
                      <w:color w:val="000000" w:themeColor="text1"/>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交流电弧焊机</w:t>
                  </w:r>
                  <w:r>
                    <w:rPr>
                      <w:rFonts w:hint="eastAsia" w:cs="宋体"/>
                      <w:color w:val="000000" w:themeColor="text1"/>
                      <w:szCs w:val="21"/>
                      <w:lang w:bidi="ar"/>
                      <w14:textFill>
                        <w14:solidFill>
                          <w14:schemeClr w14:val="tx1"/>
                        </w14:solidFill>
                      </w14:textFill>
                    </w:rPr>
                    <w:t>、搅拌车、</w:t>
                  </w:r>
                  <w:r>
                    <w:rPr>
                      <w:rFonts w:hint="eastAsia"/>
                      <w:iCs/>
                      <w:snapToGrid w:val="0"/>
                      <w:color w:val="000000" w:themeColor="text1"/>
                      <w:kern w:val="0"/>
                      <w:szCs w:val="21"/>
                      <w14:textFill>
                        <w14:solidFill>
                          <w14:schemeClr w14:val="tx1"/>
                        </w14:solidFill>
                      </w14:textFill>
                    </w:rPr>
                    <w:t>砂浆搅拌机、混凝土搅拌机</w:t>
                  </w:r>
                </w:p>
              </w:tc>
              <w:tc>
                <w:tcPr>
                  <w:tcW w:w="1681" w:type="pct"/>
                  <w:tcBorders>
                    <w:tl2br w:val="nil"/>
                    <w:tr2bl w:val="nil"/>
                  </w:tcBorders>
                  <w:shd w:val="clear" w:color="auto" w:fill="auto"/>
                  <w:vAlign w:val="center"/>
                </w:tcPr>
                <w:p w14:paraId="7C8991AE">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80</w:t>
                  </w:r>
                  <w:r>
                    <w:rPr>
                      <w:rFonts w:hint="eastAsia"/>
                      <w:color w:val="000000" w:themeColor="text1"/>
                      <w:szCs w:val="21"/>
                      <w:lang w:bidi="ar"/>
                      <w14:textFill>
                        <w14:solidFill>
                          <w14:schemeClr w14:val="tx1"/>
                        </w14:solidFill>
                      </w14:textFill>
                    </w:rPr>
                    <w:t>-95</w:t>
                  </w:r>
                </w:p>
              </w:tc>
            </w:tr>
            <w:tr w14:paraId="606C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8" w:type="pct"/>
                  <w:tcBorders>
                    <w:tl2br w:val="nil"/>
                    <w:tr2bl w:val="nil"/>
                  </w:tcBorders>
                  <w:shd w:val="clear" w:color="auto" w:fill="auto"/>
                  <w:vAlign w:val="center"/>
                </w:tcPr>
                <w:p w14:paraId="267FDDFC">
                  <w:pPr>
                    <w:adjustRightInd w:val="0"/>
                    <w:snapToGrid w:val="0"/>
                    <w:spacing w:line="360" w:lineRule="exact"/>
                    <w:jc w:val="center"/>
                    <w:rPr>
                      <w:color w:val="000000" w:themeColor="text1"/>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混凝土罐车、汽车式起重机、叉车</w:t>
                  </w:r>
                </w:p>
              </w:tc>
              <w:tc>
                <w:tcPr>
                  <w:tcW w:w="1681" w:type="pct"/>
                  <w:tcBorders>
                    <w:tl2br w:val="nil"/>
                    <w:tr2bl w:val="nil"/>
                  </w:tcBorders>
                  <w:shd w:val="clear" w:color="auto" w:fill="auto"/>
                  <w:vAlign w:val="center"/>
                </w:tcPr>
                <w:p w14:paraId="081BC8E9">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70-75</w:t>
                  </w:r>
                </w:p>
              </w:tc>
            </w:tr>
            <w:tr w14:paraId="1E87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8" w:type="pct"/>
                  <w:tcBorders>
                    <w:tl2br w:val="nil"/>
                    <w:tr2bl w:val="nil"/>
                  </w:tcBorders>
                  <w:shd w:val="clear" w:color="auto" w:fill="auto"/>
                  <w:vAlign w:val="center"/>
                </w:tcPr>
                <w:p w14:paraId="565A6E9F">
                  <w:pPr>
                    <w:adjustRightInd w:val="0"/>
                    <w:snapToGrid w:val="0"/>
                    <w:spacing w:line="360" w:lineRule="exac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钢筋弯曲机、钢筋调直机、牵引机、张力机、</w:t>
                  </w:r>
                  <w:r>
                    <w:rPr>
                      <w:rFonts w:hint="eastAsia"/>
                      <w:iCs/>
                      <w:snapToGrid w:val="0"/>
                      <w:color w:val="000000" w:themeColor="text1"/>
                      <w:kern w:val="0"/>
                      <w:szCs w:val="21"/>
                      <w14:textFill>
                        <w14:solidFill>
                          <w14:schemeClr w14:val="tx1"/>
                        </w14:solidFill>
                      </w14:textFill>
                    </w:rPr>
                    <w:t>运水车</w:t>
                  </w:r>
                </w:p>
              </w:tc>
              <w:tc>
                <w:tcPr>
                  <w:tcW w:w="1681" w:type="pct"/>
                  <w:tcBorders>
                    <w:tl2br w:val="nil"/>
                    <w:tr2bl w:val="nil"/>
                  </w:tcBorders>
                  <w:shd w:val="clear" w:color="auto" w:fill="auto"/>
                  <w:vAlign w:val="center"/>
                </w:tcPr>
                <w:p w14:paraId="2EFE69F6">
                  <w:pPr>
                    <w:adjustRightInd w:val="0"/>
                    <w:snapToGrid w:val="0"/>
                    <w:spacing w:line="360" w:lineRule="exact"/>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65-70</w:t>
                  </w:r>
                </w:p>
              </w:tc>
            </w:tr>
          </w:tbl>
          <w:p w14:paraId="4E4C4144">
            <w:pPr>
              <w:spacing w:line="440" w:lineRule="exact"/>
              <w:ind w:firstLine="480" w:firstLineChars="200"/>
              <w:rPr>
                <w:bCs/>
                <w:color w:val="000000" w:themeColor="text1"/>
                <w:sz w:val="24"/>
                <w14:textFill>
                  <w14:solidFill>
                    <w14:schemeClr w14:val="tx1"/>
                  </w14:solidFill>
                </w14:textFill>
              </w:rPr>
            </w:pPr>
            <w:r>
              <w:rPr>
                <w:rFonts w:hint="eastAsia" w:cs="宋体"/>
                <w:bCs/>
                <w:color w:val="000000" w:themeColor="text1"/>
                <w:sz w:val="24"/>
                <w:lang w:bidi="ar"/>
                <w14:textFill>
                  <w14:solidFill>
                    <w14:schemeClr w14:val="tx1"/>
                  </w14:solidFill>
                </w14:textFill>
              </w:rPr>
              <w:t>（</w:t>
            </w:r>
            <w:r>
              <w:rPr>
                <w:bCs/>
                <w:color w:val="000000" w:themeColor="text1"/>
                <w:sz w:val="24"/>
                <w:lang w:bidi="ar"/>
                <w14:textFill>
                  <w14:solidFill>
                    <w14:schemeClr w14:val="tx1"/>
                  </w14:solidFill>
                </w14:textFill>
              </w:rPr>
              <w:t>2</w:t>
            </w:r>
            <w:r>
              <w:rPr>
                <w:rFonts w:hint="eastAsia" w:cs="宋体"/>
                <w:bCs/>
                <w:color w:val="000000" w:themeColor="text1"/>
                <w:sz w:val="24"/>
                <w:lang w:bidi="ar"/>
                <w14:textFill>
                  <w14:solidFill>
                    <w14:schemeClr w14:val="tx1"/>
                  </w14:solidFill>
                </w14:textFill>
              </w:rPr>
              <w:t>）预测模式</w:t>
            </w:r>
          </w:p>
          <w:p w14:paraId="41755035">
            <w:pPr>
              <w:spacing w:line="440" w:lineRule="exact"/>
              <w:ind w:firstLine="480" w:firstLineChars="200"/>
              <w:rPr>
                <w:bCs/>
                <w:color w:val="000000" w:themeColor="text1"/>
                <w:sz w:val="24"/>
                <w14:textFill>
                  <w14:solidFill>
                    <w14:schemeClr w14:val="tx1"/>
                  </w14:solidFill>
                </w14:textFill>
              </w:rPr>
            </w:pPr>
            <w:r>
              <w:rPr>
                <w:rFonts w:hint="eastAsia" w:cs="宋体"/>
                <w:bCs/>
                <w:color w:val="000000" w:themeColor="text1"/>
                <w:sz w:val="24"/>
                <w:lang w:bidi="ar"/>
                <w14:textFill>
                  <w14:solidFill>
                    <w14:schemeClr w14:val="tx1"/>
                  </w14:solidFill>
                </w14:textFill>
              </w:rPr>
              <w:t>施工机械噪声可近似作为点声源处理，根据点声源噪声传播衰减模式，可估算施工期间离噪声声源不同距离处的噪声值，从而可就施工噪声对敏感点的影响作出分析评价。本次预测主要考虑点声源的几何发散衰减，预测模式如下：</w:t>
            </w:r>
          </w:p>
          <w:p w14:paraId="70E0EDC6">
            <w:pPr>
              <w:spacing w:line="440" w:lineRule="exact"/>
              <w:ind w:firstLine="1200" w:firstLineChars="500"/>
              <w:rPr>
                <w:color w:val="000000" w:themeColor="text1"/>
                <w:kern w:val="28"/>
                <w:sz w:val="24"/>
                <w14:textFill>
                  <w14:solidFill>
                    <w14:schemeClr w14:val="tx1"/>
                  </w14:solidFill>
                </w14:textFill>
              </w:rPr>
            </w:pPr>
            <w:r>
              <w:rPr>
                <w:i/>
                <w:color w:val="000000" w:themeColor="text1"/>
                <w:kern w:val="28"/>
                <w:sz w:val="24"/>
                <w:lang w:bidi="ar"/>
                <w14:textFill>
                  <w14:solidFill>
                    <w14:schemeClr w14:val="tx1"/>
                  </w14:solidFill>
                </w14:textFill>
              </w:rPr>
              <w:t>L</w:t>
            </w:r>
            <w:r>
              <w:rPr>
                <w:i/>
                <w:color w:val="000000" w:themeColor="text1"/>
                <w:kern w:val="28"/>
                <w:sz w:val="24"/>
                <w:vertAlign w:val="subscript"/>
                <w:lang w:bidi="ar"/>
                <w14:textFill>
                  <w14:solidFill>
                    <w14:schemeClr w14:val="tx1"/>
                  </w14:solidFill>
                </w14:textFill>
              </w:rPr>
              <w:t>A</w:t>
            </w:r>
            <w:r>
              <w:rPr>
                <w:rFonts w:hint="eastAsia" w:cs="宋体"/>
                <w:i/>
                <w:color w:val="000000" w:themeColor="text1"/>
                <w:kern w:val="28"/>
                <w:sz w:val="24"/>
                <w:vertAlign w:val="subscript"/>
                <w:lang w:bidi="ar"/>
                <w14:textFill>
                  <w14:solidFill>
                    <w14:schemeClr w14:val="tx1"/>
                  </w14:solidFill>
                </w14:textFill>
              </w:rPr>
              <w:t>（</w:t>
            </w:r>
            <w:r>
              <w:rPr>
                <w:i/>
                <w:color w:val="000000" w:themeColor="text1"/>
                <w:kern w:val="28"/>
                <w:sz w:val="24"/>
                <w:vertAlign w:val="subscript"/>
                <w:lang w:bidi="ar"/>
                <w14:textFill>
                  <w14:solidFill>
                    <w14:schemeClr w14:val="tx1"/>
                  </w14:solidFill>
                </w14:textFill>
              </w:rPr>
              <w:t>r</w:t>
            </w:r>
            <w:r>
              <w:rPr>
                <w:rFonts w:hint="eastAsia" w:cs="宋体"/>
                <w:i/>
                <w:color w:val="000000" w:themeColor="text1"/>
                <w:kern w:val="28"/>
                <w:sz w:val="24"/>
                <w:vertAlign w:val="subscript"/>
                <w:lang w:bidi="ar"/>
                <w14:textFill>
                  <w14:solidFill>
                    <w14:schemeClr w14:val="tx1"/>
                  </w14:solidFill>
                </w14:textFill>
              </w:rPr>
              <w:t>）</w:t>
            </w:r>
            <w:r>
              <w:rPr>
                <w:color w:val="000000" w:themeColor="text1"/>
                <w:kern w:val="28"/>
                <w:sz w:val="24"/>
                <w:lang w:bidi="ar"/>
                <w14:textFill>
                  <w14:solidFill>
                    <w14:schemeClr w14:val="tx1"/>
                  </w14:solidFill>
                </w14:textFill>
              </w:rPr>
              <w:t>=</w:t>
            </w:r>
            <w:r>
              <w:rPr>
                <w:i/>
                <w:color w:val="000000" w:themeColor="text1"/>
                <w:kern w:val="28"/>
                <w:sz w:val="24"/>
                <w:lang w:bidi="ar"/>
                <w14:textFill>
                  <w14:solidFill>
                    <w14:schemeClr w14:val="tx1"/>
                  </w14:solidFill>
                </w14:textFill>
              </w:rPr>
              <w:t xml:space="preserve"> L</w:t>
            </w:r>
            <w:r>
              <w:rPr>
                <w:i/>
                <w:color w:val="000000" w:themeColor="text1"/>
                <w:kern w:val="28"/>
                <w:sz w:val="24"/>
                <w:vertAlign w:val="subscript"/>
                <w:lang w:bidi="ar"/>
                <w14:textFill>
                  <w14:solidFill>
                    <w14:schemeClr w14:val="tx1"/>
                  </w14:solidFill>
                </w14:textFill>
              </w:rPr>
              <w:t>A</w:t>
            </w:r>
            <w:r>
              <w:rPr>
                <w:rFonts w:hint="eastAsia" w:cs="宋体"/>
                <w:i/>
                <w:color w:val="000000" w:themeColor="text1"/>
                <w:kern w:val="28"/>
                <w:sz w:val="24"/>
                <w:vertAlign w:val="subscript"/>
                <w:lang w:bidi="ar"/>
                <w14:textFill>
                  <w14:solidFill>
                    <w14:schemeClr w14:val="tx1"/>
                  </w14:solidFill>
                </w14:textFill>
              </w:rPr>
              <w:t>（</w:t>
            </w:r>
            <w:r>
              <w:rPr>
                <w:i/>
                <w:color w:val="000000" w:themeColor="text1"/>
                <w:kern w:val="28"/>
                <w:sz w:val="24"/>
                <w:vertAlign w:val="subscript"/>
                <w:lang w:bidi="ar"/>
                <w14:textFill>
                  <w14:solidFill>
                    <w14:schemeClr w14:val="tx1"/>
                  </w14:solidFill>
                </w14:textFill>
              </w:rPr>
              <w:t>r0</w:t>
            </w:r>
            <w:r>
              <w:rPr>
                <w:rFonts w:hint="eastAsia" w:cs="宋体"/>
                <w:i/>
                <w:color w:val="000000" w:themeColor="text1"/>
                <w:kern w:val="28"/>
                <w:sz w:val="24"/>
                <w:vertAlign w:val="subscript"/>
                <w:lang w:bidi="ar"/>
                <w14:textFill>
                  <w14:solidFill>
                    <w14:schemeClr w14:val="tx1"/>
                  </w14:solidFill>
                </w14:textFill>
              </w:rPr>
              <w:t>）</w:t>
            </w:r>
            <w:r>
              <w:rPr>
                <w:color w:val="000000" w:themeColor="text1"/>
                <w:kern w:val="28"/>
                <w:sz w:val="24"/>
                <w:lang w:bidi="ar"/>
                <w14:textFill>
                  <w14:solidFill>
                    <w14:schemeClr w14:val="tx1"/>
                  </w14:solidFill>
                </w14:textFill>
              </w:rPr>
              <w:t>-20 lg</w:t>
            </w:r>
            <w:r>
              <w:rPr>
                <w:i/>
                <w:color w:val="000000" w:themeColor="text1"/>
                <w:kern w:val="28"/>
                <w:sz w:val="24"/>
                <w:lang w:bidi="ar"/>
                <w14:textFill>
                  <w14:solidFill>
                    <w14:schemeClr w14:val="tx1"/>
                  </w14:solidFill>
                </w14:textFill>
              </w:rPr>
              <w:t>(r/r</w:t>
            </w:r>
            <w:r>
              <w:rPr>
                <w:i/>
                <w:color w:val="000000" w:themeColor="text1"/>
                <w:kern w:val="28"/>
                <w:sz w:val="24"/>
                <w:vertAlign w:val="subscript"/>
                <w:lang w:bidi="ar"/>
                <w14:textFill>
                  <w14:solidFill>
                    <w14:schemeClr w14:val="tx1"/>
                  </w14:solidFill>
                </w14:textFill>
              </w:rPr>
              <w:t>0</w:t>
            </w:r>
            <w:r>
              <w:rPr>
                <w:i/>
                <w:color w:val="000000" w:themeColor="text1"/>
                <w:kern w:val="28"/>
                <w:sz w:val="24"/>
                <w:lang w:bidi="ar"/>
                <w14:textFill>
                  <w14:solidFill>
                    <w14:schemeClr w14:val="tx1"/>
                  </w14:solidFill>
                </w14:textFill>
              </w:rPr>
              <w:t>)</w:t>
            </w:r>
            <w:r>
              <w:rPr>
                <w:color w:val="000000" w:themeColor="text1"/>
                <w:kern w:val="28"/>
                <w:sz w:val="24"/>
                <w:lang w:bidi="ar"/>
                <w14:textFill>
                  <w14:solidFill>
                    <w14:schemeClr w14:val="tx1"/>
                  </w14:solidFill>
                </w14:textFill>
              </w:rPr>
              <w:t>-</w:t>
            </w:r>
            <w:r>
              <w:rPr>
                <w:i/>
                <w:color w:val="000000" w:themeColor="text1"/>
                <w:kern w:val="28"/>
                <w:szCs w:val="21"/>
                <w:lang w:bidi="ar"/>
                <w14:textFill>
                  <w14:solidFill>
                    <w14:schemeClr w14:val="tx1"/>
                  </w14:solidFill>
                </w14:textFill>
              </w:rPr>
              <w:t>△</w:t>
            </w:r>
            <w:r>
              <w:rPr>
                <w:i/>
                <w:color w:val="000000" w:themeColor="text1"/>
                <w:kern w:val="28"/>
                <w:sz w:val="24"/>
                <w:lang w:bidi="ar"/>
                <w14:textFill>
                  <w14:solidFill>
                    <w14:schemeClr w14:val="tx1"/>
                  </w14:solidFill>
                </w14:textFill>
              </w:rPr>
              <w:t>L</w:t>
            </w:r>
          </w:p>
          <w:p w14:paraId="24599724">
            <w:pPr>
              <w:spacing w:line="440" w:lineRule="exact"/>
              <w:ind w:firstLine="480" w:firstLineChars="200"/>
              <w:rPr>
                <w:bCs/>
                <w:color w:val="000000" w:themeColor="text1"/>
                <w:sz w:val="24"/>
                <w14:textFill>
                  <w14:solidFill>
                    <w14:schemeClr w14:val="tx1"/>
                  </w14:solidFill>
                </w14:textFill>
              </w:rPr>
            </w:pPr>
            <w:r>
              <w:rPr>
                <w:rFonts w:hint="eastAsia" w:cs="宋体"/>
                <w:bCs/>
                <w:color w:val="000000" w:themeColor="text1"/>
                <w:sz w:val="24"/>
                <w:lang w:bidi="ar"/>
                <w14:textFill>
                  <w14:solidFill>
                    <w14:schemeClr w14:val="tx1"/>
                  </w14:solidFill>
                </w14:textFill>
              </w:rPr>
              <w:t>式中：</w:t>
            </w:r>
            <w:r>
              <w:rPr>
                <w:i/>
                <w:color w:val="000000" w:themeColor="text1"/>
                <w:kern w:val="28"/>
                <w:sz w:val="24"/>
                <w:lang w:bidi="ar"/>
                <w14:textFill>
                  <w14:solidFill>
                    <w14:schemeClr w14:val="tx1"/>
                  </w14:solidFill>
                </w14:textFill>
              </w:rPr>
              <w:t>L</w:t>
            </w:r>
            <w:r>
              <w:rPr>
                <w:i/>
                <w:color w:val="000000" w:themeColor="text1"/>
                <w:kern w:val="28"/>
                <w:sz w:val="24"/>
                <w:vertAlign w:val="subscript"/>
                <w:lang w:bidi="ar"/>
                <w14:textFill>
                  <w14:solidFill>
                    <w14:schemeClr w14:val="tx1"/>
                  </w14:solidFill>
                </w14:textFill>
              </w:rPr>
              <w:t>A</w:t>
            </w:r>
            <w:r>
              <w:rPr>
                <w:rFonts w:hint="eastAsia" w:cs="宋体"/>
                <w:i/>
                <w:color w:val="000000" w:themeColor="text1"/>
                <w:kern w:val="28"/>
                <w:sz w:val="24"/>
                <w:vertAlign w:val="subscript"/>
                <w:lang w:bidi="ar"/>
                <w14:textFill>
                  <w14:solidFill>
                    <w14:schemeClr w14:val="tx1"/>
                  </w14:solidFill>
                </w14:textFill>
              </w:rPr>
              <w:t>（</w:t>
            </w:r>
            <w:r>
              <w:rPr>
                <w:i/>
                <w:color w:val="000000" w:themeColor="text1"/>
                <w:kern w:val="28"/>
                <w:sz w:val="24"/>
                <w:vertAlign w:val="subscript"/>
                <w:lang w:bidi="ar"/>
                <w14:textFill>
                  <w14:solidFill>
                    <w14:schemeClr w14:val="tx1"/>
                  </w14:solidFill>
                </w14:textFill>
              </w:rPr>
              <w:t>r</w:t>
            </w:r>
            <w:r>
              <w:rPr>
                <w:rFonts w:hint="eastAsia" w:cs="宋体"/>
                <w:i/>
                <w:color w:val="000000" w:themeColor="text1"/>
                <w:kern w:val="28"/>
                <w:sz w:val="24"/>
                <w:vertAlign w:val="subscript"/>
                <w:lang w:bidi="ar"/>
                <w14:textFill>
                  <w14:solidFill>
                    <w14:schemeClr w14:val="tx1"/>
                  </w14:solidFill>
                </w14:textFill>
              </w:rPr>
              <w:t>）</w:t>
            </w:r>
            <w:r>
              <w:rPr>
                <w:bCs/>
                <w:color w:val="000000" w:themeColor="text1"/>
                <w:sz w:val="24"/>
                <w:lang w:bidi="ar"/>
                <w14:textFill>
                  <w14:solidFill>
                    <w14:schemeClr w14:val="tx1"/>
                  </w14:solidFill>
                </w14:textFill>
              </w:rPr>
              <w:t>—</w:t>
            </w:r>
            <w:r>
              <w:rPr>
                <w:rFonts w:hint="eastAsia" w:cs="宋体"/>
                <w:bCs/>
                <w:color w:val="000000" w:themeColor="text1"/>
                <w:sz w:val="24"/>
                <w:lang w:bidi="ar"/>
                <w14:textFill>
                  <w14:solidFill>
                    <w14:schemeClr w14:val="tx1"/>
                  </w14:solidFill>
                </w14:textFill>
              </w:rPr>
              <w:t>距声源</w:t>
            </w:r>
            <w:r>
              <w:rPr>
                <w:bCs/>
                <w:color w:val="000000" w:themeColor="text1"/>
                <w:sz w:val="24"/>
                <w:lang w:bidi="ar"/>
                <w14:textFill>
                  <w14:solidFill>
                    <w14:schemeClr w14:val="tx1"/>
                  </w14:solidFill>
                </w14:textFill>
              </w:rPr>
              <w:t>r</w:t>
            </w:r>
            <w:r>
              <w:rPr>
                <w:rFonts w:hint="eastAsia" w:cs="宋体"/>
                <w:bCs/>
                <w:color w:val="000000" w:themeColor="text1"/>
                <w:sz w:val="24"/>
                <w:lang w:bidi="ar"/>
                <w14:textFill>
                  <w14:solidFill>
                    <w14:schemeClr w14:val="tx1"/>
                  </w14:solidFill>
                </w14:textFill>
              </w:rPr>
              <w:t>处的</w:t>
            </w:r>
            <w:r>
              <w:rPr>
                <w:bCs/>
                <w:color w:val="000000" w:themeColor="text1"/>
                <w:sz w:val="24"/>
                <w:lang w:bidi="ar"/>
                <w14:textFill>
                  <w14:solidFill>
                    <w14:schemeClr w14:val="tx1"/>
                  </w14:solidFill>
                </w14:textFill>
              </w:rPr>
              <w:t xml:space="preserve"> A </w:t>
            </w:r>
            <w:r>
              <w:rPr>
                <w:rFonts w:hint="eastAsia" w:cs="宋体"/>
                <w:bCs/>
                <w:color w:val="000000" w:themeColor="text1"/>
                <w:sz w:val="24"/>
                <w:lang w:bidi="ar"/>
                <w14:textFill>
                  <w14:solidFill>
                    <w14:schemeClr w14:val="tx1"/>
                  </w14:solidFill>
                </w14:textFill>
              </w:rPr>
              <w:t>声级，</w:t>
            </w:r>
            <w:r>
              <w:rPr>
                <w:bCs/>
                <w:color w:val="000000" w:themeColor="text1"/>
                <w:sz w:val="24"/>
                <w:lang w:bidi="ar"/>
                <w14:textFill>
                  <w14:solidFill>
                    <w14:schemeClr w14:val="tx1"/>
                  </w14:solidFill>
                </w14:textFill>
              </w:rPr>
              <w:t>dB(A)</w:t>
            </w:r>
            <w:r>
              <w:rPr>
                <w:rFonts w:hint="eastAsia" w:cs="宋体"/>
                <w:bCs/>
                <w:color w:val="000000" w:themeColor="text1"/>
                <w:sz w:val="24"/>
                <w:lang w:bidi="ar"/>
                <w14:textFill>
                  <w14:solidFill>
                    <w14:schemeClr w14:val="tx1"/>
                  </w14:solidFill>
                </w14:textFill>
              </w:rPr>
              <w:t>；</w:t>
            </w:r>
          </w:p>
          <w:p w14:paraId="65258F1B">
            <w:pPr>
              <w:spacing w:line="440" w:lineRule="exact"/>
              <w:ind w:firstLine="1200" w:firstLineChars="500"/>
              <w:rPr>
                <w:bCs/>
                <w:color w:val="000000" w:themeColor="text1"/>
                <w:sz w:val="24"/>
                <w14:textFill>
                  <w14:solidFill>
                    <w14:schemeClr w14:val="tx1"/>
                  </w14:solidFill>
                </w14:textFill>
              </w:rPr>
            </w:pPr>
            <w:r>
              <w:rPr>
                <w:i/>
                <w:color w:val="000000" w:themeColor="text1"/>
                <w:kern w:val="28"/>
                <w:sz w:val="24"/>
                <w:lang w:bidi="ar"/>
                <w14:textFill>
                  <w14:solidFill>
                    <w14:schemeClr w14:val="tx1"/>
                  </w14:solidFill>
                </w14:textFill>
              </w:rPr>
              <w:t>L</w:t>
            </w:r>
            <w:r>
              <w:rPr>
                <w:i/>
                <w:color w:val="000000" w:themeColor="text1"/>
                <w:kern w:val="28"/>
                <w:sz w:val="24"/>
                <w:vertAlign w:val="subscript"/>
                <w:lang w:bidi="ar"/>
                <w14:textFill>
                  <w14:solidFill>
                    <w14:schemeClr w14:val="tx1"/>
                  </w14:solidFill>
                </w14:textFill>
              </w:rPr>
              <w:t>A</w:t>
            </w:r>
            <w:r>
              <w:rPr>
                <w:rFonts w:hint="eastAsia" w:cs="宋体"/>
                <w:i/>
                <w:color w:val="000000" w:themeColor="text1"/>
                <w:kern w:val="28"/>
                <w:sz w:val="24"/>
                <w:vertAlign w:val="subscript"/>
                <w:lang w:bidi="ar"/>
                <w14:textFill>
                  <w14:solidFill>
                    <w14:schemeClr w14:val="tx1"/>
                  </w14:solidFill>
                </w14:textFill>
              </w:rPr>
              <w:t>（</w:t>
            </w:r>
            <w:r>
              <w:rPr>
                <w:i/>
                <w:color w:val="000000" w:themeColor="text1"/>
                <w:kern w:val="28"/>
                <w:sz w:val="24"/>
                <w:vertAlign w:val="subscript"/>
                <w:lang w:bidi="ar"/>
                <w14:textFill>
                  <w14:solidFill>
                    <w14:schemeClr w14:val="tx1"/>
                  </w14:solidFill>
                </w14:textFill>
              </w:rPr>
              <w:t>r0</w:t>
            </w:r>
            <w:r>
              <w:rPr>
                <w:rFonts w:hint="eastAsia" w:cs="宋体"/>
                <w:i/>
                <w:color w:val="000000" w:themeColor="text1"/>
                <w:kern w:val="28"/>
                <w:sz w:val="24"/>
                <w:vertAlign w:val="subscript"/>
                <w:lang w:bidi="ar"/>
                <w14:textFill>
                  <w14:solidFill>
                    <w14:schemeClr w14:val="tx1"/>
                  </w14:solidFill>
                </w14:textFill>
              </w:rPr>
              <w:t>）</w:t>
            </w:r>
            <w:r>
              <w:rPr>
                <w:bCs/>
                <w:color w:val="000000" w:themeColor="text1"/>
                <w:sz w:val="24"/>
                <w:lang w:bidi="ar"/>
                <w14:textFill>
                  <w14:solidFill>
                    <w14:schemeClr w14:val="tx1"/>
                  </w14:solidFill>
                </w14:textFill>
              </w:rPr>
              <w:t>—</w:t>
            </w:r>
            <w:r>
              <w:rPr>
                <w:rFonts w:hint="eastAsia" w:cs="宋体"/>
                <w:bCs/>
                <w:color w:val="000000" w:themeColor="text1"/>
                <w:sz w:val="24"/>
                <w:lang w:bidi="ar"/>
                <w14:textFill>
                  <w14:solidFill>
                    <w14:schemeClr w14:val="tx1"/>
                  </w14:solidFill>
                </w14:textFill>
              </w:rPr>
              <w:t>参考位置</w:t>
            </w:r>
            <w:r>
              <w:rPr>
                <w:bCs/>
                <w:color w:val="000000" w:themeColor="text1"/>
                <w:sz w:val="24"/>
                <w:lang w:bidi="ar"/>
                <w14:textFill>
                  <w14:solidFill>
                    <w14:schemeClr w14:val="tx1"/>
                  </w14:solidFill>
                </w14:textFill>
              </w:rPr>
              <w:t>r</w:t>
            </w:r>
            <w:r>
              <w:rPr>
                <w:bCs/>
                <w:color w:val="000000" w:themeColor="text1"/>
                <w:sz w:val="24"/>
                <w:vertAlign w:val="subscript"/>
                <w:lang w:bidi="ar"/>
                <w14:textFill>
                  <w14:solidFill>
                    <w14:schemeClr w14:val="tx1"/>
                  </w14:solidFill>
                </w14:textFill>
              </w:rPr>
              <w:t xml:space="preserve"> 0</w:t>
            </w:r>
            <w:r>
              <w:rPr>
                <w:rFonts w:hint="eastAsia" w:cs="宋体"/>
                <w:bCs/>
                <w:color w:val="000000" w:themeColor="text1"/>
                <w:sz w:val="24"/>
                <w:lang w:bidi="ar"/>
                <w14:textFill>
                  <w14:solidFill>
                    <w14:schemeClr w14:val="tx1"/>
                  </w14:solidFill>
                </w14:textFill>
              </w:rPr>
              <w:t>处的</w:t>
            </w:r>
            <w:r>
              <w:rPr>
                <w:bCs/>
                <w:color w:val="000000" w:themeColor="text1"/>
                <w:sz w:val="24"/>
                <w:lang w:bidi="ar"/>
                <w14:textFill>
                  <w14:solidFill>
                    <w14:schemeClr w14:val="tx1"/>
                  </w14:solidFill>
                </w14:textFill>
              </w:rPr>
              <w:t xml:space="preserve"> A </w:t>
            </w:r>
            <w:r>
              <w:rPr>
                <w:rFonts w:hint="eastAsia" w:cs="宋体"/>
                <w:bCs/>
                <w:color w:val="000000" w:themeColor="text1"/>
                <w:sz w:val="24"/>
                <w:lang w:bidi="ar"/>
                <w14:textFill>
                  <w14:solidFill>
                    <w14:schemeClr w14:val="tx1"/>
                  </w14:solidFill>
                </w14:textFill>
              </w:rPr>
              <w:t>声级，</w:t>
            </w:r>
            <w:r>
              <w:rPr>
                <w:bCs/>
                <w:color w:val="000000" w:themeColor="text1"/>
                <w:sz w:val="24"/>
                <w:lang w:bidi="ar"/>
                <w14:textFill>
                  <w14:solidFill>
                    <w14:schemeClr w14:val="tx1"/>
                  </w14:solidFill>
                </w14:textFill>
              </w:rPr>
              <w:t>dB(A)</w:t>
            </w:r>
            <w:r>
              <w:rPr>
                <w:rFonts w:hint="eastAsia" w:cs="宋体"/>
                <w:bCs/>
                <w:color w:val="000000" w:themeColor="text1"/>
                <w:sz w:val="24"/>
                <w:lang w:bidi="ar"/>
                <w14:textFill>
                  <w14:solidFill>
                    <w14:schemeClr w14:val="tx1"/>
                  </w14:solidFill>
                </w14:textFill>
              </w:rPr>
              <w:t>；</w:t>
            </w:r>
          </w:p>
          <w:p w14:paraId="6D6BF2C2">
            <w:pPr>
              <w:spacing w:line="440" w:lineRule="exact"/>
              <w:ind w:firstLine="1200" w:firstLineChars="500"/>
              <w:rPr>
                <w:bCs/>
                <w:color w:val="000000" w:themeColor="text1"/>
                <w:sz w:val="24"/>
                <w14:textFill>
                  <w14:solidFill>
                    <w14:schemeClr w14:val="tx1"/>
                  </w14:solidFill>
                </w14:textFill>
              </w:rPr>
            </w:pPr>
            <w:r>
              <w:rPr>
                <w:bCs/>
                <w:color w:val="000000" w:themeColor="text1"/>
                <w:sz w:val="24"/>
                <w:lang w:bidi="ar"/>
                <w14:textFill>
                  <w14:solidFill>
                    <w14:schemeClr w14:val="tx1"/>
                  </w14:solidFill>
                </w14:textFill>
              </w:rPr>
              <w:t>r —</w:t>
            </w:r>
            <w:r>
              <w:rPr>
                <w:rFonts w:hint="eastAsia" w:cs="宋体"/>
                <w:bCs/>
                <w:color w:val="000000" w:themeColor="text1"/>
                <w:sz w:val="24"/>
                <w:lang w:bidi="ar"/>
                <w14:textFill>
                  <w14:solidFill>
                    <w14:schemeClr w14:val="tx1"/>
                  </w14:solidFill>
                </w14:textFill>
              </w:rPr>
              <w:t>预测点距离声源的距离；</w:t>
            </w:r>
          </w:p>
          <w:p w14:paraId="4BEA6552">
            <w:pPr>
              <w:spacing w:line="440" w:lineRule="exact"/>
              <w:ind w:firstLine="1200" w:firstLineChars="500"/>
              <w:rPr>
                <w:bCs/>
                <w:color w:val="000000" w:themeColor="text1"/>
                <w:sz w:val="24"/>
                <w14:textFill>
                  <w14:solidFill>
                    <w14:schemeClr w14:val="tx1"/>
                  </w14:solidFill>
                </w14:textFill>
              </w:rPr>
            </w:pPr>
            <w:r>
              <w:rPr>
                <w:bCs/>
                <w:color w:val="000000" w:themeColor="text1"/>
                <w:sz w:val="24"/>
                <w:lang w:bidi="ar"/>
                <w14:textFill>
                  <w14:solidFill>
                    <w14:schemeClr w14:val="tx1"/>
                  </w14:solidFill>
                </w14:textFill>
              </w:rPr>
              <w:t>r</w:t>
            </w:r>
            <w:r>
              <w:rPr>
                <w:bCs/>
                <w:color w:val="000000" w:themeColor="text1"/>
                <w:sz w:val="24"/>
                <w:vertAlign w:val="subscript"/>
                <w:lang w:bidi="ar"/>
                <w14:textFill>
                  <w14:solidFill>
                    <w14:schemeClr w14:val="tx1"/>
                  </w14:solidFill>
                </w14:textFill>
              </w:rPr>
              <w:t xml:space="preserve"> 0</w:t>
            </w:r>
            <w:r>
              <w:rPr>
                <w:bCs/>
                <w:color w:val="000000" w:themeColor="text1"/>
                <w:sz w:val="24"/>
                <w:lang w:bidi="ar"/>
                <w14:textFill>
                  <w14:solidFill>
                    <w14:schemeClr w14:val="tx1"/>
                  </w14:solidFill>
                </w14:textFill>
              </w:rPr>
              <w:t>—</w:t>
            </w:r>
            <w:r>
              <w:rPr>
                <w:rFonts w:hint="eastAsia" w:cs="宋体"/>
                <w:bCs/>
                <w:color w:val="000000" w:themeColor="text1"/>
                <w:sz w:val="24"/>
                <w:lang w:bidi="ar"/>
                <w14:textFill>
                  <w14:solidFill>
                    <w14:schemeClr w14:val="tx1"/>
                  </w14:solidFill>
                </w14:textFill>
              </w:rPr>
              <w:t>参考位置距离声源的距离；</w:t>
            </w:r>
          </w:p>
          <w:p w14:paraId="53B2CF0A">
            <w:pPr>
              <w:spacing w:line="440" w:lineRule="exact"/>
              <w:ind w:firstLine="1155" w:firstLineChars="550"/>
              <w:rPr>
                <w:bCs/>
                <w:color w:val="000000" w:themeColor="text1"/>
                <w:sz w:val="24"/>
                <w14:textFill>
                  <w14:solidFill>
                    <w14:schemeClr w14:val="tx1"/>
                  </w14:solidFill>
                </w14:textFill>
              </w:rPr>
            </w:pPr>
            <w:r>
              <w:rPr>
                <w:i/>
                <w:color w:val="000000" w:themeColor="text1"/>
                <w:kern w:val="28"/>
                <w:szCs w:val="21"/>
                <w:lang w:bidi="ar"/>
                <w14:textFill>
                  <w14:solidFill>
                    <w14:schemeClr w14:val="tx1"/>
                  </w14:solidFill>
                </w14:textFill>
              </w:rPr>
              <w:t>△</w:t>
            </w:r>
            <w:r>
              <w:rPr>
                <w:i/>
                <w:color w:val="000000" w:themeColor="text1"/>
                <w:kern w:val="28"/>
                <w:sz w:val="24"/>
                <w:lang w:bidi="ar"/>
                <w14:textFill>
                  <w14:solidFill>
                    <w14:schemeClr w14:val="tx1"/>
                  </w14:solidFill>
                </w14:textFill>
              </w:rPr>
              <w:t>L</w:t>
            </w:r>
            <w:r>
              <w:rPr>
                <w:bCs/>
                <w:color w:val="000000" w:themeColor="text1"/>
                <w:sz w:val="24"/>
                <w:lang w:bidi="ar"/>
                <w14:textFill>
                  <w14:solidFill>
                    <w14:schemeClr w14:val="tx1"/>
                  </w14:solidFill>
                </w14:textFill>
              </w:rPr>
              <w:t>—</w:t>
            </w:r>
            <w:r>
              <w:rPr>
                <w:rFonts w:hint="eastAsia" w:cs="宋体"/>
                <w:bCs/>
                <w:color w:val="000000" w:themeColor="text1"/>
                <w:sz w:val="24"/>
                <w:lang w:bidi="ar"/>
                <w14:textFill>
                  <w14:solidFill>
                    <w14:schemeClr w14:val="tx1"/>
                  </w14:solidFill>
                </w14:textFill>
              </w:rPr>
              <w:t>声屏障等引起的噪声衰减量，</w:t>
            </w:r>
            <w:r>
              <w:rPr>
                <w:bCs/>
                <w:color w:val="000000" w:themeColor="text1"/>
                <w:sz w:val="24"/>
                <w:lang w:bidi="ar"/>
                <w14:textFill>
                  <w14:solidFill>
                    <w14:schemeClr w14:val="tx1"/>
                  </w14:solidFill>
                </w14:textFill>
              </w:rPr>
              <w:t>dB(A)</w:t>
            </w:r>
            <w:r>
              <w:rPr>
                <w:rFonts w:hint="eastAsia" w:cs="宋体"/>
                <w:bCs/>
                <w:color w:val="000000" w:themeColor="text1"/>
                <w:sz w:val="24"/>
                <w:lang w:bidi="ar"/>
                <w14:textFill>
                  <w14:solidFill>
                    <w14:schemeClr w14:val="tx1"/>
                  </w14:solidFill>
                </w14:textFill>
              </w:rPr>
              <w:t>，本次取</w:t>
            </w:r>
            <w:r>
              <w:rPr>
                <w:bCs/>
                <w:color w:val="000000" w:themeColor="text1"/>
                <w:sz w:val="24"/>
                <w:lang w:bidi="ar"/>
                <w14:textFill>
                  <w14:solidFill>
                    <w14:schemeClr w14:val="tx1"/>
                  </w14:solidFill>
                </w14:textFill>
              </w:rPr>
              <w:t>0</w:t>
            </w:r>
            <w:r>
              <w:rPr>
                <w:rFonts w:hint="eastAsia" w:cs="宋体"/>
                <w:bCs/>
                <w:color w:val="000000" w:themeColor="text1"/>
                <w:sz w:val="24"/>
                <w:lang w:bidi="ar"/>
                <w14:textFill>
                  <w14:solidFill>
                    <w14:schemeClr w14:val="tx1"/>
                  </w14:solidFill>
                </w14:textFill>
              </w:rPr>
              <w:t>。</w:t>
            </w:r>
          </w:p>
          <w:p w14:paraId="6C927EA7">
            <w:pPr>
              <w:adjustRightInd w:val="0"/>
              <w:snapToGrid w:val="0"/>
              <w:spacing w:line="440" w:lineRule="exact"/>
              <w:ind w:firstLine="480" w:firstLineChars="200"/>
              <w:rPr>
                <w:bCs/>
                <w:color w:val="000000" w:themeColor="text1"/>
                <w:sz w:val="24"/>
                <w14:textFill>
                  <w14:solidFill>
                    <w14:schemeClr w14:val="tx1"/>
                  </w14:solidFill>
                </w14:textFill>
              </w:rPr>
            </w:pPr>
            <w:r>
              <w:rPr>
                <w:rFonts w:hint="eastAsia" w:cs="宋体"/>
                <w:bCs/>
                <w:color w:val="000000" w:themeColor="text1"/>
                <w:sz w:val="24"/>
                <w:lang w:bidi="ar"/>
                <w14:textFill>
                  <w14:solidFill>
                    <w14:schemeClr w14:val="tx1"/>
                  </w14:solidFill>
                </w14:textFill>
              </w:rPr>
              <w:t>（</w:t>
            </w:r>
            <w:r>
              <w:rPr>
                <w:bCs/>
                <w:color w:val="000000" w:themeColor="text1"/>
                <w:sz w:val="24"/>
                <w:lang w:bidi="ar"/>
                <w14:textFill>
                  <w14:solidFill>
                    <w14:schemeClr w14:val="tx1"/>
                  </w14:solidFill>
                </w14:textFill>
              </w:rPr>
              <w:t>3</w:t>
            </w:r>
            <w:r>
              <w:rPr>
                <w:rFonts w:hint="eastAsia" w:cs="宋体"/>
                <w:bCs/>
                <w:color w:val="000000" w:themeColor="text1"/>
                <w:sz w:val="24"/>
                <w:lang w:bidi="ar"/>
                <w14:textFill>
                  <w14:solidFill>
                    <w14:schemeClr w14:val="tx1"/>
                  </w14:solidFill>
                </w14:textFill>
              </w:rPr>
              <w:t>）预测结果</w:t>
            </w:r>
          </w:p>
          <w:p w14:paraId="552E1AF4">
            <w:pPr>
              <w:adjustRightInd w:val="0"/>
              <w:snapToGrid w:val="0"/>
              <w:spacing w:line="440" w:lineRule="exact"/>
              <w:ind w:firstLine="480" w:firstLineChars="200"/>
              <w:rPr>
                <w:bCs/>
                <w:color w:val="000000" w:themeColor="text1"/>
                <w:sz w:val="24"/>
                <w14:textFill>
                  <w14:solidFill>
                    <w14:schemeClr w14:val="tx1"/>
                  </w14:solidFill>
                </w14:textFill>
              </w:rPr>
            </w:pPr>
            <w:r>
              <w:rPr>
                <w:rFonts w:hint="eastAsia" w:cs="宋体"/>
                <w:bCs/>
                <w:color w:val="000000" w:themeColor="text1"/>
                <w:sz w:val="24"/>
                <w:lang w:bidi="ar"/>
                <w14:textFill>
                  <w14:solidFill>
                    <w14:schemeClr w14:val="tx1"/>
                  </w14:solidFill>
                </w14:textFill>
              </w:rPr>
              <w:t>各类施工机械不同距离处的噪声预测结果见表</w:t>
            </w:r>
            <w:r>
              <w:rPr>
                <w:bCs/>
                <w:color w:val="000000" w:themeColor="text1"/>
                <w:sz w:val="24"/>
                <w:lang w:bidi="ar"/>
                <w14:textFill>
                  <w14:solidFill>
                    <w14:schemeClr w14:val="tx1"/>
                  </w14:solidFill>
                </w14:textFill>
              </w:rPr>
              <w:t>4-</w:t>
            </w:r>
            <w:r>
              <w:rPr>
                <w:rFonts w:hint="eastAsia"/>
                <w:bCs/>
                <w:color w:val="000000" w:themeColor="text1"/>
                <w:sz w:val="24"/>
                <w:lang w:bidi="ar"/>
                <w14:textFill>
                  <w14:solidFill>
                    <w14:schemeClr w14:val="tx1"/>
                  </w14:solidFill>
                </w14:textFill>
              </w:rPr>
              <w:t>8</w:t>
            </w:r>
            <w:r>
              <w:rPr>
                <w:rFonts w:hint="eastAsia" w:cs="宋体"/>
                <w:bCs/>
                <w:color w:val="000000" w:themeColor="text1"/>
                <w:sz w:val="24"/>
                <w:lang w:bidi="ar"/>
                <w14:textFill>
                  <w14:solidFill>
                    <w14:schemeClr w14:val="tx1"/>
                  </w14:solidFill>
                </w14:textFill>
              </w:rPr>
              <w:t>。</w:t>
            </w:r>
          </w:p>
          <w:p w14:paraId="4B622256">
            <w:pPr>
              <w:spacing w:line="440" w:lineRule="exact"/>
              <w:ind w:firstLine="438" w:firstLineChars="200"/>
              <w:rPr>
                <w:b/>
                <w:color w:val="000000" w:themeColor="text1"/>
                <w:spacing w:val="-11"/>
                <w:sz w:val="24"/>
                <w14:textFill>
                  <w14:solidFill>
                    <w14:schemeClr w14:val="tx1"/>
                  </w14:solidFill>
                </w14:textFill>
              </w:rPr>
            </w:pPr>
            <w:r>
              <w:rPr>
                <w:rFonts w:hint="eastAsia" w:cs="宋体"/>
                <w:b/>
                <w:color w:val="000000" w:themeColor="text1"/>
                <w:spacing w:val="-11"/>
                <w:sz w:val="24"/>
                <w:lang w:bidi="ar"/>
                <w14:textFill>
                  <w14:solidFill>
                    <w14:schemeClr w14:val="tx1"/>
                  </w14:solidFill>
                </w14:textFill>
              </w:rPr>
              <w:t>表</w:t>
            </w:r>
            <w:r>
              <w:rPr>
                <w:b/>
                <w:color w:val="000000" w:themeColor="text1"/>
                <w:spacing w:val="-11"/>
                <w:sz w:val="24"/>
                <w:lang w:bidi="ar"/>
                <w14:textFill>
                  <w14:solidFill>
                    <w14:schemeClr w14:val="tx1"/>
                  </w14:solidFill>
                </w14:textFill>
              </w:rPr>
              <w:t>4-</w:t>
            </w:r>
            <w:r>
              <w:rPr>
                <w:rFonts w:hint="eastAsia"/>
                <w:b/>
                <w:color w:val="000000" w:themeColor="text1"/>
                <w:spacing w:val="-11"/>
                <w:sz w:val="24"/>
                <w:lang w:bidi="ar"/>
                <w14:textFill>
                  <w14:solidFill>
                    <w14:schemeClr w14:val="tx1"/>
                  </w14:solidFill>
                </w14:textFill>
              </w:rPr>
              <w:t xml:space="preserve">8    </w:t>
            </w:r>
            <w:r>
              <w:rPr>
                <w:rFonts w:hint="eastAsia" w:cs="宋体"/>
                <w:b/>
                <w:color w:val="000000" w:themeColor="text1"/>
                <w:spacing w:val="-11"/>
                <w:sz w:val="24"/>
                <w:lang w:bidi="ar"/>
                <w14:textFill>
                  <w14:solidFill>
                    <w14:schemeClr w14:val="tx1"/>
                  </w14:solidFill>
                </w14:textFill>
              </w:rPr>
              <w:t>施工期主要噪声设备在不同距离的噪声衰减及贡献值</w:t>
            </w:r>
            <w:r>
              <w:rPr>
                <w:b/>
                <w:color w:val="000000" w:themeColor="text1"/>
                <w:spacing w:val="-11"/>
                <w:sz w:val="24"/>
                <w:lang w:bidi="ar"/>
                <w14:textFill>
                  <w14:solidFill>
                    <w14:schemeClr w14:val="tx1"/>
                  </w14:solidFill>
                </w14:textFill>
              </w:rPr>
              <w:t xml:space="preserve"> </w:t>
            </w:r>
            <w:r>
              <w:rPr>
                <w:rFonts w:hint="eastAsia" w:cs="宋体"/>
                <w:b/>
                <w:color w:val="000000" w:themeColor="text1"/>
                <w:spacing w:val="-11"/>
                <w:sz w:val="24"/>
                <w:lang w:bidi="ar"/>
                <w14:textFill>
                  <w14:solidFill>
                    <w14:schemeClr w14:val="tx1"/>
                  </w14:solidFill>
                </w14:textFill>
              </w:rPr>
              <w:t>单位：</w:t>
            </w:r>
            <w:r>
              <w:rPr>
                <w:b/>
                <w:color w:val="000000" w:themeColor="text1"/>
                <w:spacing w:val="-11"/>
                <w:sz w:val="24"/>
                <w:lang w:bidi="ar"/>
                <w14:textFill>
                  <w14:solidFill>
                    <w14:schemeClr w14:val="tx1"/>
                  </w14:solidFill>
                </w14:textFill>
              </w:rPr>
              <w:t>dB</w:t>
            </w:r>
            <w:r>
              <w:rPr>
                <w:rFonts w:hint="eastAsia" w:cs="宋体"/>
                <w:b/>
                <w:color w:val="000000" w:themeColor="text1"/>
                <w:spacing w:val="-11"/>
                <w:sz w:val="24"/>
                <w:lang w:bidi="ar"/>
                <w14:textFill>
                  <w14:solidFill>
                    <w14:schemeClr w14:val="tx1"/>
                  </w14:solidFill>
                </w14:textFill>
              </w:rPr>
              <w:t>（</w:t>
            </w:r>
            <w:r>
              <w:rPr>
                <w:b/>
                <w:color w:val="000000" w:themeColor="text1"/>
                <w:spacing w:val="-11"/>
                <w:sz w:val="24"/>
                <w:lang w:bidi="ar"/>
                <w14:textFill>
                  <w14:solidFill>
                    <w14:schemeClr w14:val="tx1"/>
                  </w14:solidFill>
                </w14:textFill>
              </w:rPr>
              <w:t>A</w:t>
            </w:r>
            <w:r>
              <w:rPr>
                <w:rFonts w:hint="eastAsia" w:cs="宋体"/>
                <w:b/>
                <w:color w:val="000000" w:themeColor="text1"/>
                <w:spacing w:val="-11"/>
                <w:sz w:val="24"/>
                <w:lang w:bidi="ar"/>
                <w14:textFill>
                  <w14:solidFill>
                    <w14:schemeClr w14:val="tx1"/>
                  </w14:solidFill>
                </w14:textFill>
              </w:rPr>
              <w:t>）</w:t>
            </w:r>
          </w:p>
          <w:tbl>
            <w:tblPr>
              <w:tblStyle w:val="66"/>
              <w:tblW w:w="4948" w:type="pct"/>
              <w:tblInd w:w="1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683"/>
              <w:gridCol w:w="565"/>
              <w:gridCol w:w="516"/>
              <w:gridCol w:w="522"/>
              <w:gridCol w:w="522"/>
              <w:gridCol w:w="522"/>
              <w:gridCol w:w="522"/>
              <w:gridCol w:w="658"/>
              <w:gridCol w:w="658"/>
              <w:gridCol w:w="658"/>
              <w:gridCol w:w="658"/>
              <w:gridCol w:w="715"/>
            </w:tblGrid>
            <w:tr w14:paraId="0D9C74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7" w:type="pct"/>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65780E9E">
                  <w:pPr>
                    <w:spacing w:line="360" w:lineRule="exact"/>
                    <w:jc w:val="center"/>
                    <w:rPr>
                      <w:bCs/>
                      <w:color w:val="000000" w:themeColor="text1"/>
                      <w:szCs w:val="21"/>
                      <w14:textFill>
                        <w14:solidFill>
                          <w14:schemeClr w14:val="tx1"/>
                        </w14:solidFill>
                      </w14:textFill>
                    </w:rPr>
                  </w:pPr>
                  <w:r>
                    <w:rPr>
                      <w:rFonts w:hint="eastAsia" w:cs="宋体"/>
                      <w:bCs/>
                      <w:color w:val="000000" w:themeColor="text1"/>
                      <w:szCs w:val="21"/>
                      <w:lang w:bidi="ar"/>
                      <w14:textFill>
                        <w14:solidFill>
                          <w14:schemeClr w14:val="tx1"/>
                        </w14:solidFill>
                      </w14:textFill>
                    </w:rPr>
                    <w:t>机械名称</w:t>
                  </w:r>
                </w:p>
              </w:tc>
              <w:tc>
                <w:tcPr>
                  <w:tcW w:w="3972" w:type="pct"/>
                  <w:gridSpan w:val="11"/>
                  <w:tcBorders>
                    <w:top w:val="single" w:color="auto" w:sz="2" w:space="0"/>
                    <w:left w:val="single" w:color="auto" w:sz="2" w:space="0"/>
                    <w:bottom w:val="single" w:color="auto" w:sz="2" w:space="0"/>
                    <w:right w:val="single" w:color="auto" w:sz="2" w:space="0"/>
                  </w:tcBorders>
                  <w:shd w:val="clear" w:color="auto" w:fill="auto"/>
                </w:tcPr>
                <w:p w14:paraId="075CA17A">
                  <w:pPr>
                    <w:spacing w:line="360" w:lineRule="exact"/>
                    <w:jc w:val="center"/>
                    <w:rPr>
                      <w:bCs/>
                      <w:color w:val="000000" w:themeColor="text1"/>
                      <w:szCs w:val="21"/>
                      <w14:textFill>
                        <w14:solidFill>
                          <w14:schemeClr w14:val="tx1"/>
                        </w14:solidFill>
                      </w14:textFill>
                    </w:rPr>
                  </w:pPr>
                  <w:r>
                    <w:rPr>
                      <w:rFonts w:hint="eastAsia" w:cs="宋体"/>
                      <w:bCs/>
                      <w:color w:val="000000" w:themeColor="text1"/>
                      <w:szCs w:val="21"/>
                      <w:lang w:bidi="ar"/>
                      <w14:textFill>
                        <w14:solidFill>
                          <w14:schemeClr w14:val="tx1"/>
                        </w14:solidFill>
                      </w14:textFill>
                    </w:rPr>
                    <w:t>不同距离处的噪声预测（</w:t>
                  </w:r>
                  <w:r>
                    <w:rPr>
                      <w:bCs/>
                      <w:color w:val="000000" w:themeColor="text1"/>
                      <w:szCs w:val="21"/>
                      <w:lang w:bidi="ar"/>
                      <w14:textFill>
                        <w14:solidFill>
                          <w14:schemeClr w14:val="tx1"/>
                        </w14:solidFill>
                      </w14:textFill>
                    </w:rPr>
                    <w:t>dB(A))</w:t>
                  </w:r>
                </w:p>
              </w:tc>
            </w:tr>
            <w:tr w14:paraId="387BFC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7" w:type="pct"/>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E8DB40E">
                  <w:pPr>
                    <w:spacing w:line="360" w:lineRule="exact"/>
                    <w:rPr>
                      <w:bCs/>
                      <w:color w:val="000000" w:themeColor="text1"/>
                      <w:sz w:val="20"/>
                      <w:szCs w:val="20"/>
                      <w14:textFill>
                        <w14:solidFill>
                          <w14:schemeClr w14:val="tx1"/>
                        </w14:solidFill>
                      </w14:textFill>
                    </w:rPr>
                  </w:pPr>
                </w:p>
              </w:tc>
              <w:tc>
                <w:tcPr>
                  <w:tcW w:w="345" w:type="pct"/>
                  <w:tcBorders>
                    <w:top w:val="single" w:color="auto" w:sz="2" w:space="0"/>
                    <w:left w:val="single" w:color="auto" w:sz="2" w:space="0"/>
                    <w:bottom w:val="single" w:color="auto" w:sz="2" w:space="0"/>
                    <w:right w:val="single" w:color="auto" w:sz="2" w:space="0"/>
                  </w:tcBorders>
                  <w:shd w:val="clear" w:color="auto" w:fill="auto"/>
                  <w:vAlign w:val="center"/>
                </w:tcPr>
                <w:p w14:paraId="6DDDCEAA">
                  <w:pPr>
                    <w:spacing w:line="360" w:lineRule="exact"/>
                    <w:jc w:val="center"/>
                    <w:rPr>
                      <w:bCs/>
                      <w:color w:val="000000" w:themeColor="text1"/>
                      <w:szCs w:val="21"/>
                      <w14:textFill>
                        <w14:solidFill>
                          <w14:schemeClr w14:val="tx1"/>
                        </w14:solidFill>
                      </w14:textFill>
                    </w:rPr>
                  </w:pPr>
                  <w:r>
                    <w:rPr>
                      <w:rFonts w:hint="eastAsia" w:cs="宋体"/>
                      <w:bCs/>
                      <w:color w:val="000000" w:themeColor="text1"/>
                      <w:szCs w:val="21"/>
                      <w:lang w:bidi="ar"/>
                      <w14:textFill>
                        <w14:solidFill>
                          <w14:schemeClr w14:val="tx1"/>
                        </w14:solidFill>
                      </w14:textFill>
                    </w:rPr>
                    <w:t>源强</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526DECAD">
                  <w:pPr>
                    <w:spacing w:line="360" w:lineRule="exact"/>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10m</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6BA7F8AD">
                  <w:pPr>
                    <w:spacing w:line="360" w:lineRule="exact"/>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20m</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04F3840C">
                  <w:pPr>
                    <w:spacing w:line="360" w:lineRule="exact"/>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30m</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0096C93C">
                  <w:pPr>
                    <w:spacing w:line="360" w:lineRule="exact"/>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40m</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197414C2">
                  <w:pPr>
                    <w:spacing w:line="360" w:lineRule="exact"/>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50m</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54B8BDF5">
                  <w:pPr>
                    <w:spacing w:line="360" w:lineRule="exact"/>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100m</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2F112DB7">
                  <w:pPr>
                    <w:spacing w:line="360" w:lineRule="exact"/>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150m</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0DAA4526">
                  <w:pPr>
                    <w:spacing w:line="360" w:lineRule="exact"/>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200m</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57D12557">
                  <w:pPr>
                    <w:spacing w:line="360" w:lineRule="exact"/>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250m</w:t>
                  </w:r>
                </w:p>
              </w:tc>
              <w:tc>
                <w:tcPr>
                  <w:tcW w:w="432" w:type="pct"/>
                  <w:tcBorders>
                    <w:top w:val="single" w:color="auto" w:sz="2" w:space="0"/>
                    <w:left w:val="single" w:color="auto" w:sz="2" w:space="0"/>
                    <w:bottom w:val="single" w:color="auto" w:sz="2" w:space="0"/>
                    <w:right w:val="single" w:color="auto" w:sz="2" w:space="0"/>
                  </w:tcBorders>
                  <w:shd w:val="clear" w:color="auto" w:fill="auto"/>
                  <w:vAlign w:val="center"/>
                </w:tcPr>
                <w:p w14:paraId="0A89D9F3">
                  <w:pPr>
                    <w:spacing w:line="360" w:lineRule="exact"/>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300m</w:t>
                  </w:r>
                </w:p>
              </w:tc>
            </w:tr>
            <w:tr w14:paraId="35F36F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7" w:type="pct"/>
                  <w:tcBorders>
                    <w:top w:val="single" w:color="auto" w:sz="2" w:space="0"/>
                    <w:left w:val="single" w:color="auto" w:sz="2" w:space="0"/>
                    <w:bottom w:val="single" w:color="auto" w:sz="2" w:space="0"/>
                    <w:right w:val="single" w:color="auto" w:sz="2" w:space="0"/>
                  </w:tcBorders>
                  <w:shd w:val="clear" w:color="auto" w:fill="auto"/>
                  <w:vAlign w:val="center"/>
                </w:tcPr>
                <w:p w14:paraId="5F48A063">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挖掘机</w:t>
                  </w:r>
                </w:p>
              </w:tc>
              <w:tc>
                <w:tcPr>
                  <w:tcW w:w="345" w:type="pct"/>
                  <w:tcBorders>
                    <w:top w:val="single" w:color="auto" w:sz="2" w:space="0"/>
                    <w:left w:val="single" w:color="auto" w:sz="2" w:space="0"/>
                    <w:bottom w:val="single" w:color="auto" w:sz="2" w:space="0"/>
                    <w:right w:val="single" w:color="auto" w:sz="2" w:space="0"/>
                  </w:tcBorders>
                  <w:shd w:val="clear" w:color="auto" w:fill="auto"/>
                  <w:vAlign w:val="center"/>
                </w:tcPr>
                <w:p w14:paraId="622587C1">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85</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7B81DB51">
                  <w:pPr>
                    <w:spacing w:line="360" w:lineRule="exact"/>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65</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39D689DD">
                  <w:pPr>
                    <w:spacing w:line="360" w:lineRule="exact"/>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59</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29EC7903">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55</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7C6736EF">
                  <w:pPr>
                    <w:spacing w:line="360" w:lineRule="exact"/>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53</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DA4F3EB">
                  <w:pPr>
                    <w:spacing w:line="360" w:lineRule="exact"/>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51</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3A182163">
                  <w:pPr>
                    <w:spacing w:line="360" w:lineRule="exact"/>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45</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6F4D47F4">
                  <w:pPr>
                    <w:spacing w:line="360" w:lineRule="exact"/>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41</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5874CC17">
                  <w:pPr>
                    <w:spacing w:line="360" w:lineRule="exact"/>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39</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09DB7209">
                  <w:pPr>
                    <w:spacing w:line="360" w:lineRule="exact"/>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37</w:t>
                  </w:r>
                </w:p>
              </w:tc>
              <w:tc>
                <w:tcPr>
                  <w:tcW w:w="432" w:type="pct"/>
                  <w:tcBorders>
                    <w:top w:val="single" w:color="auto" w:sz="2" w:space="0"/>
                    <w:left w:val="single" w:color="auto" w:sz="2" w:space="0"/>
                    <w:bottom w:val="single" w:color="auto" w:sz="2" w:space="0"/>
                    <w:right w:val="single" w:color="auto" w:sz="2" w:space="0"/>
                  </w:tcBorders>
                  <w:shd w:val="clear" w:color="auto" w:fill="auto"/>
                  <w:vAlign w:val="center"/>
                </w:tcPr>
                <w:p w14:paraId="19972248">
                  <w:pPr>
                    <w:spacing w:line="360" w:lineRule="exact"/>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35</w:t>
                  </w:r>
                </w:p>
              </w:tc>
            </w:tr>
            <w:tr w14:paraId="74C4D6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7" w:type="pct"/>
                  <w:tcBorders>
                    <w:top w:val="single" w:color="auto" w:sz="2" w:space="0"/>
                    <w:left w:val="single" w:color="auto" w:sz="2" w:space="0"/>
                    <w:bottom w:val="single" w:color="auto" w:sz="2" w:space="0"/>
                    <w:right w:val="single" w:color="auto" w:sz="2" w:space="0"/>
                  </w:tcBorders>
                  <w:shd w:val="clear" w:color="auto" w:fill="auto"/>
                  <w:vAlign w:val="center"/>
                </w:tcPr>
                <w:p w14:paraId="6DFE028C">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压路机、推土机、装载机</w:t>
                  </w:r>
                </w:p>
              </w:tc>
              <w:tc>
                <w:tcPr>
                  <w:tcW w:w="345" w:type="pct"/>
                  <w:tcBorders>
                    <w:top w:val="single" w:color="auto" w:sz="2" w:space="0"/>
                    <w:left w:val="single" w:color="auto" w:sz="2" w:space="0"/>
                    <w:bottom w:val="single" w:color="auto" w:sz="2" w:space="0"/>
                    <w:right w:val="single" w:color="auto" w:sz="2" w:space="0"/>
                  </w:tcBorders>
                  <w:shd w:val="clear" w:color="auto" w:fill="auto"/>
                  <w:vAlign w:val="center"/>
                </w:tcPr>
                <w:p w14:paraId="74370FEB">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82</w:t>
                  </w:r>
                </w:p>
              </w:tc>
              <w:tc>
                <w:tcPr>
                  <w:tcW w:w="518" w:type="dxa"/>
                  <w:tcBorders>
                    <w:top w:val="single" w:color="auto" w:sz="2" w:space="0"/>
                    <w:left w:val="single" w:color="auto" w:sz="2" w:space="0"/>
                    <w:bottom w:val="single" w:color="auto" w:sz="2" w:space="0"/>
                    <w:right w:val="single" w:color="auto" w:sz="2" w:space="0"/>
                  </w:tcBorders>
                  <w:shd w:val="clear" w:color="auto" w:fill="auto"/>
                  <w:vAlign w:val="center"/>
                </w:tcPr>
                <w:p w14:paraId="629BF071">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62</w:t>
                  </w:r>
                </w:p>
              </w:tc>
              <w:tc>
                <w:tcPr>
                  <w:tcW w:w="522" w:type="dxa"/>
                  <w:tcBorders>
                    <w:top w:val="single" w:color="auto" w:sz="2" w:space="0"/>
                    <w:left w:val="single" w:color="auto" w:sz="2" w:space="0"/>
                    <w:bottom w:val="single" w:color="auto" w:sz="2" w:space="0"/>
                    <w:right w:val="single" w:color="auto" w:sz="2" w:space="0"/>
                  </w:tcBorders>
                  <w:shd w:val="clear" w:color="auto" w:fill="auto"/>
                  <w:vAlign w:val="center"/>
                </w:tcPr>
                <w:p w14:paraId="197EB440">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56</w:t>
                  </w:r>
                </w:p>
              </w:tc>
              <w:tc>
                <w:tcPr>
                  <w:tcW w:w="522" w:type="dxa"/>
                  <w:tcBorders>
                    <w:top w:val="single" w:color="auto" w:sz="2" w:space="0"/>
                    <w:left w:val="single" w:color="auto" w:sz="2" w:space="0"/>
                    <w:bottom w:val="single" w:color="auto" w:sz="2" w:space="0"/>
                    <w:right w:val="single" w:color="auto" w:sz="2" w:space="0"/>
                  </w:tcBorders>
                  <w:shd w:val="clear" w:color="auto" w:fill="auto"/>
                  <w:vAlign w:val="center"/>
                </w:tcPr>
                <w:p w14:paraId="04CCF14C">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52</w:t>
                  </w:r>
                </w:p>
              </w:tc>
              <w:tc>
                <w:tcPr>
                  <w:tcW w:w="522" w:type="dxa"/>
                  <w:tcBorders>
                    <w:top w:val="single" w:color="auto" w:sz="2" w:space="0"/>
                    <w:left w:val="single" w:color="auto" w:sz="2" w:space="0"/>
                    <w:bottom w:val="single" w:color="auto" w:sz="2" w:space="0"/>
                    <w:right w:val="single" w:color="auto" w:sz="2" w:space="0"/>
                  </w:tcBorders>
                  <w:shd w:val="clear" w:color="auto" w:fill="auto"/>
                  <w:vAlign w:val="center"/>
                </w:tcPr>
                <w:p w14:paraId="6753C59D">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50</w:t>
                  </w:r>
                </w:p>
              </w:tc>
              <w:tc>
                <w:tcPr>
                  <w:tcW w:w="522" w:type="dxa"/>
                  <w:tcBorders>
                    <w:top w:val="single" w:color="auto" w:sz="2" w:space="0"/>
                    <w:left w:val="single" w:color="auto" w:sz="2" w:space="0"/>
                    <w:bottom w:val="single" w:color="auto" w:sz="2" w:space="0"/>
                    <w:right w:val="single" w:color="auto" w:sz="2" w:space="0"/>
                  </w:tcBorders>
                  <w:shd w:val="clear" w:color="auto" w:fill="auto"/>
                  <w:vAlign w:val="center"/>
                </w:tcPr>
                <w:p w14:paraId="313D884C">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48</w:t>
                  </w:r>
                </w:p>
              </w:tc>
              <w:tc>
                <w:tcPr>
                  <w:tcW w:w="658" w:type="dxa"/>
                  <w:tcBorders>
                    <w:top w:val="single" w:color="auto" w:sz="2" w:space="0"/>
                    <w:left w:val="single" w:color="auto" w:sz="2" w:space="0"/>
                    <w:bottom w:val="single" w:color="auto" w:sz="2" w:space="0"/>
                    <w:right w:val="single" w:color="auto" w:sz="2" w:space="0"/>
                  </w:tcBorders>
                  <w:shd w:val="clear" w:color="auto" w:fill="auto"/>
                  <w:vAlign w:val="center"/>
                </w:tcPr>
                <w:p w14:paraId="5092D53C">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42</w:t>
                  </w:r>
                </w:p>
              </w:tc>
              <w:tc>
                <w:tcPr>
                  <w:tcW w:w="658" w:type="dxa"/>
                  <w:tcBorders>
                    <w:top w:val="single" w:color="auto" w:sz="2" w:space="0"/>
                    <w:left w:val="single" w:color="auto" w:sz="2" w:space="0"/>
                    <w:bottom w:val="single" w:color="auto" w:sz="2" w:space="0"/>
                    <w:right w:val="single" w:color="auto" w:sz="2" w:space="0"/>
                  </w:tcBorders>
                  <w:shd w:val="clear" w:color="auto" w:fill="auto"/>
                  <w:vAlign w:val="center"/>
                </w:tcPr>
                <w:p w14:paraId="65567480">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38</w:t>
                  </w:r>
                </w:p>
              </w:tc>
              <w:tc>
                <w:tcPr>
                  <w:tcW w:w="658" w:type="dxa"/>
                  <w:tcBorders>
                    <w:top w:val="single" w:color="auto" w:sz="2" w:space="0"/>
                    <w:left w:val="single" w:color="auto" w:sz="2" w:space="0"/>
                    <w:bottom w:val="single" w:color="auto" w:sz="2" w:space="0"/>
                    <w:right w:val="single" w:color="auto" w:sz="2" w:space="0"/>
                  </w:tcBorders>
                  <w:shd w:val="clear" w:color="auto" w:fill="auto"/>
                  <w:vAlign w:val="center"/>
                </w:tcPr>
                <w:p w14:paraId="313A3C10">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36</w:t>
                  </w:r>
                </w:p>
              </w:tc>
              <w:tc>
                <w:tcPr>
                  <w:tcW w:w="658" w:type="dxa"/>
                  <w:tcBorders>
                    <w:top w:val="single" w:color="auto" w:sz="2" w:space="0"/>
                    <w:left w:val="single" w:color="auto" w:sz="2" w:space="0"/>
                    <w:bottom w:val="single" w:color="auto" w:sz="2" w:space="0"/>
                    <w:right w:val="single" w:color="auto" w:sz="2" w:space="0"/>
                  </w:tcBorders>
                  <w:shd w:val="clear" w:color="auto" w:fill="auto"/>
                  <w:vAlign w:val="center"/>
                </w:tcPr>
                <w:p w14:paraId="17593991">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34</w:t>
                  </w:r>
                </w:p>
              </w:tc>
              <w:tc>
                <w:tcPr>
                  <w:tcW w:w="710" w:type="dxa"/>
                  <w:tcBorders>
                    <w:top w:val="single" w:color="auto" w:sz="2" w:space="0"/>
                    <w:left w:val="single" w:color="auto" w:sz="2" w:space="0"/>
                    <w:bottom w:val="single" w:color="auto" w:sz="2" w:space="0"/>
                    <w:right w:val="single" w:color="auto" w:sz="2" w:space="0"/>
                  </w:tcBorders>
                  <w:shd w:val="clear" w:color="auto" w:fill="auto"/>
                  <w:vAlign w:val="center"/>
                </w:tcPr>
                <w:p w14:paraId="5DD6FF62">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32</w:t>
                  </w:r>
                </w:p>
              </w:tc>
            </w:tr>
            <w:tr w14:paraId="2A2F7D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7" w:type="pct"/>
                  <w:tcBorders>
                    <w:top w:val="single" w:color="auto" w:sz="2" w:space="0"/>
                    <w:left w:val="single" w:color="auto" w:sz="2" w:space="0"/>
                    <w:bottom w:val="single" w:color="auto" w:sz="2" w:space="0"/>
                    <w:right w:val="single" w:color="auto" w:sz="2" w:space="0"/>
                  </w:tcBorders>
                  <w:shd w:val="clear" w:color="auto" w:fill="auto"/>
                  <w:vAlign w:val="center"/>
                </w:tcPr>
                <w:p w14:paraId="6F0D7287">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钢筋弯曲机、钢筋调直机、牵引机、张力机、</w:t>
                  </w:r>
                  <w:r>
                    <w:rPr>
                      <w:rFonts w:hint="eastAsia"/>
                      <w:iCs/>
                      <w:snapToGrid w:val="0"/>
                      <w:color w:val="000000" w:themeColor="text1"/>
                      <w:kern w:val="0"/>
                      <w:szCs w:val="21"/>
                      <w14:textFill>
                        <w14:solidFill>
                          <w14:schemeClr w14:val="tx1"/>
                        </w14:solidFill>
                      </w14:textFill>
                    </w:rPr>
                    <w:t>运水车</w:t>
                  </w:r>
                </w:p>
              </w:tc>
              <w:tc>
                <w:tcPr>
                  <w:tcW w:w="345" w:type="pct"/>
                  <w:tcBorders>
                    <w:top w:val="single" w:color="auto" w:sz="2" w:space="0"/>
                    <w:left w:val="single" w:color="auto" w:sz="2" w:space="0"/>
                    <w:bottom w:val="single" w:color="auto" w:sz="2" w:space="0"/>
                    <w:right w:val="single" w:color="auto" w:sz="2" w:space="0"/>
                  </w:tcBorders>
                  <w:shd w:val="clear" w:color="auto" w:fill="auto"/>
                  <w:vAlign w:val="center"/>
                </w:tcPr>
                <w:p w14:paraId="468C5563">
                  <w:pPr>
                    <w:spacing w:line="360" w:lineRule="exact"/>
                    <w:jc w:val="center"/>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65</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55B9E80E">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45</w:t>
                  </w:r>
                  <w:r>
                    <w:rPr>
                      <w:color w:val="000000" w:themeColor="text1"/>
                      <w:kern w:val="0"/>
                      <w:szCs w:val="21"/>
                      <w:lang w:bidi="ar"/>
                      <w14:textFill>
                        <w14:solidFill>
                          <w14:schemeClr w14:val="tx1"/>
                        </w14:solidFill>
                      </w14:textFill>
                    </w:rPr>
                    <w:t xml:space="preserve">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78169030">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39</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7CA8CF4C">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35.5</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9BE163C">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33</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33E4BA4">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31</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133EABE9">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25</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73B41249">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21.5</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3E94DD02">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19</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356E245C">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17</w:t>
                  </w:r>
                </w:p>
              </w:tc>
              <w:tc>
                <w:tcPr>
                  <w:tcW w:w="432" w:type="pct"/>
                  <w:tcBorders>
                    <w:top w:val="single" w:color="auto" w:sz="2" w:space="0"/>
                    <w:left w:val="single" w:color="auto" w:sz="2" w:space="0"/>
                    <w:bottom w:val="single" w:color="auto" w:sz="2" w:space="0"/>
                    <w:right w:val="single" w:color="auto" w:sz="2" w:space="0"/>
                  </w:tcBorders>
                  <w:shd w:val="clear" w:color="auto" w:fill="auto"/>
                  <w:vAlign w:val="center"/>
                </w:tcPr>
                <w:p w14:paraId="61E042B4">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15.5</w:t>
                  </w:r>
                </w:p>
              </w:tc>
            </w:tr>
            <w:tr w14:paraId="7D6392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7" w:type="pct"/>
                  <w:tcBorders>
                    <w:top w:val="single" w:color="auto" w:sz="2" w:space="0"/>
                    <w:left w:val="single" w:color="auto" w:sz="2" w:space="0"/>
                    <w:bottom w:val="single" w:color="auto" w:sz="2" w:space="0"/>
                    <w:right w:val="single" w:color="auto" w:sz="2" w:space="0"/>
                  </w:tcBorders>
                  <w:shd w:val="clear" w:color="auto" w:fill="auto"/>
                  <w:vAlign w:val="center"/>
                </w:tcPr>
                <w:p w14:paraId="7755E591">
                  <w:pPr>
                    <w:spacing w:line="360" w:lineRule="exact"/>
                    <w:jc w:val="center"/>
                    <w:rPr>
                      <w:color w:val="000000" w:themeColor="text1"/>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一体式潜孔钻</w:t>
                  </w:r>
                  <w:r>
                    <w:rPr>
                      <w:rFonts w:hint="eastAsia" w:cs="宋体"/>
                      <w:color w:val="000000" w:themeColor="text1"/>
                      <w:szCs w:val="21"/>
                      <w:lang w:bidi="ar"/>
                      <w14:textFill>
                        <w14:solidFill>
                          <w14:schemeClr w14:val="tx1"/>
                        </w14:solidFill>
                      </w14:textFill>
                    </w:rPr>
                    <w:t>、柴油发电机、</w:t>
                  </w:r>
                  <w:r>
                    <w:rPr>
                      <w:rFonts w:hint="eastAsia"/>
                      <w:iCs/>
                      <w:snapToGrid w:val="0"/>
                      <w:color w:val="000000" w:themeColor="text1"/>
                      <w:kern w:val="0"/>
                      <w:szCs w:val="21"/>
                      <w14:textFill>
                        <w14:solidFill>
                          <w14:schemeClr w14:val="tx1"/>
                        </w14:solidFill>
                      </w14:textFill>
                    </w:rPr>
                    <w:t>振动打夯机</w:t>
                  </w:r>
                </w:p>
              </w:tc>
              <w:tc>
                <w:tcPr>
                  <w:tcW w:w="345" w:type="pct"/>
                  <w:tcBorders>
                    <w:top w:val="single" w:color="auto" w:sz="2" w:space="0"/>
                    <w:left w:val="single" w:color="auto" w:sz="2" w:space="0"/>
                    <w:bottom w:val="single" w:color="auto" w:sz="2" w:space="0"/>
                    <w:right w:val="single" w:color="auto" w:sz="2" w:space="0"/>
                  </w:tcBorders>
                  <w:shd w:val="clear" w:color="auto" w:fill="auto"/>
                  <w:vAlign w:val="center"/>
                </w:tcPr>
                <w:p w14:paraId="483F12E0">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95</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1C22F9F4">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75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77D45E8">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69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04E77C64">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65</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55A2D4D1">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63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66EBE3D6">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61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657B85AB">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55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3FF68211">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51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377B707D">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49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38CD5192">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47 </w:t>
                  </w:r>
                </w:p>
              </w:tc>
              <w:tc>
                <w:tcPr>
                  <w:tcW w:w="432" w:type="pct"/>
                  <w:tcBorders>
                    <w:top w:val="single" w:color="auto" w:sz="2" w:space="0"/>
                    <w:left w:val="single" w:color="auto" w:sz="2" w:space="0"/>
                    <w:bottom w:val="single" w:color="auto" w:sz="2" w:space="0"/>
                    <w:right w:val="single" w:color="auto" w:sz="2" w:space="0"/>
                  </w:tcBorders>
                  <w:shd w:val="clear" w:color="auto" w:fill="auto"/>
                  <w:vAlign w:val="center"/>
                </w:tcPr>
                <w:p w14:paraId="5BF53A6F">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45 </w:t>
                  </w:r>
                </w:p>
              </w:tc>
            </w:tr>
            <w:tr w14:paraId="11157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7" w:type="pct"/>
                  <w:tcBorders>
                    <w:top w:val="single" w:color="auto" w:sz="2" w:space="0"/>
                    <w:left w:val="single" w:color="auto" w:sz="2" w:space="0"/>
                    <w:bottom w:val="single" w:color="auto" w:sz="2" w:space="0"/>
                    <w:right w:val="single" w:color="auto" w:sz="2" w:space="0"/>
                  </w:tcBorders>
                  <w:shd w:val="clear" w:color="auto" w:fill="auto"/>
                  <w:vAlign w:val="center"/>
                </w:tcPr>
                <w:p w14:paraId="7BE02E16">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钢筋切割机、</w:t>
                  </w:r>
                  <w:r>
                    <w:rPr>
                      <w:rFonts w:hint="eastAsia"/>
                      <w:iCs/>
                      <w:snapToGrid w:val="0"/>
                      <w:color w:val="000000" w:themeColor="text1"/>
                      <w:kern w:val="0"/>
                      <w:szCs w:val="21"/>
                      <w14:textFill>
                        <w14:solidFill>
                          <w14:schemeClr w14:val="tx1"/>
                        </w14:solidFill>
                      </w14:textFill>
                    </w:rPr>
                    <w:t>混凝土插入式振动器</w:t>
                  </w:r>
                </w:p>
              </w:tc>
              <w:tc>
                <w:tcPr>
                  <w:tcW w:w="345" w:type="pct"/>
                  <w:tcBorders>
                    <w:top w:val="single" w:color="auto" w:sz="2" w:space="0"/>
                    <w:left w:val="single" w:color="auto" w:sz="2" w:space="0"/>
                    <w:bottom w:val="single" w:color="auto" w:sz="2" w:space="0"/>
                    <w:right w:val="single" w:color="auto" w:sz="2" w:space="0"/>
                  </w:tcBorders>
                  <w:shd w:val="clear" w:color="auto" w:fill="auto"/>
                  <w:vAlign w:val="center"/>
                </w:tcPr>
                <w:p w14:paraId="146DB993">
                  <w:pPr>
                    <w:spacing w:line="360" w:lineRule="exact"/>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90</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2867E583">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70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38F38468">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64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7DB9D3E8">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60</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03B17144">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58 </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74388E12">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56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073B34A6">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50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53B35330">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46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6F5C34CF">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44 </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13D01DD0">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42 </w:t>
                  </w:r>
                </w:p>
              </w:tc>
              <w:tc>
                <w:tcPr>
                  <w:tcW w:w="432" w:type="pct"/>
                  <w:tcBorders>
                    <w:top w:val="single" w:color="auto" w:sz="2" w:space="0"/>
                    <w:left w:val="single" w:color="auto" w:sz="2" w:space="0"/>
                    <w:bottom w:val="single" w:color="auto" w:sz="2" w:space="0"/>
                    <w:right w:val="single" w:color="auto" w:sz="2" w:space="0"/>
                  </w:tcBorders>
                  <w:shd w:val="clear" w:color="auto" w:fill="auto"/>
                  <w:vAlign w:val="center"/>
                </w:tcPr>
                <w:p w14:paraId="7AF9CA4B">
                  <w:pPr>
                    <w:spacing w:line="360" w:lineRule="exact"/>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 xml:space="preserve">40 </w:t>
                  </w:r>
                </w:p>
              </w:tc>
            </w:tr>
            <w:tr w14:paraId="0BB24F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7" w:type="pct"/>
                  <w:tcBorders>
                    <w:top w:val="single" w:color="auto" w:sz="2" w:space="0"/>
                    <w:left w:val="single" w:color="auto" w:sz="2" w:space="0"/>
                    <w:bottom w:val="single" w:color="auto" w:sz="2" w:space="0"/>
                    <w:right w:val="single" w:color="auto" w:sz="2" w:space="0"/>
                  </w:tcBorders>
                  <w:shd w:val="clear" w:color="auto" w:fill="auto"/>
                  <w:vAlign w:val="center"/>
                </w:tcPr>
                <w:p w14:paraId="0104116E">
                  <w:pPr>
                    <w:spacing w:line="360" w:lineRule="exact"/>
                    <w:jc w:val="center"/>
                    <w:rPr>
                      <w:color w:val="000000" w:themeColor="text1"/>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交流电弧焊机</w:t>
                  </w:r>
                  <w:r>
                    <w:rPr>
                      <w:rFonts w:hint="eastAsia" w:cs="宋体"/>
                      <w:color w:val="000000" w:themeColor="text1"/>
                      <w:szCs w:val="21"/>
                      <w:lang w:bidi="ar"/>
                      <w14:textFill>
                        <w14:solidFill>
                          <w14:schemeClr w14:val="tx1"/>
                        </w14:solidFill>
                      </w14:textFill>
                    </w:rPr>
                    <w:t>、搅拌车、</w:t>
                  </w:r>
                  <w:r>
                    <w:rPr>
                      <w:rFonts w:hint="eastAsia"/>
                      <w:iCs/>
                      <w:snapToGrid w:val="0"/>
                      <w:color w:val="000000" w:themeColor="text1"/>
                      <w:kern w:val="0"/>
                      <w:szCs w:val="21"/>
                      <w14:textFill>
                        <w14:solidFill>
                          <w14:schemeClr w14:val="tx1"/>
                        </w14:solidFill>
                      </w14:textFill>
                    </w:rPr>
                    <w:t>砂浆搅拌机、混凝土搅拌机</w:t>
                  </w:r>
                </w:p>
              </w:tc>
              <w:tc>
                <w:tcPr>
                  <w:tcW w:w="345" w:type="pct"/>
                  <w:tcBorders>
                    <w:top w:val="single" w:color="auto" w:sz="2" w:space="0"/>
                    <w:left w:val="single" w:color="auto" w:sz="2" w:space="0"/>
                    <w:bottom w:val="single" w:color="auto" w:sz="2" w:space="0"/>
                    <w:right w:val="single" w:color="auto" w:sz="2" w:space="0"/>
                  </w:tcBorders>
                  <w:shd w:val="clear" w:color="auto" w:fill="auto"/>
                  <w:vAlign w:val="center"/>
                </w:tcPr>
                <w:p w14:paraId="5F97C1E6">
                  <w:pPr>
                    <w:spacing w:line="360" w:lineRule="exact"/>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80</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57B612A7">
                  <w:pPr>
                    <w:spacing w:line="360" w:lineRule="exact"/>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60</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81A735D">
                  <w:pPr>
                    <w:spacing w:line="360" w:lineRule="exact"/>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54</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2CA3A21C">
                  <w:pPr>
                    <w:spacing w:line="360" w:lineRule="exact"/>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51</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317234C3">
                  <w:pPr>
                    <w:spacing w:line="360" w:lineRule="exact"/>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48</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7A3E09B4">
                  <w:pPr>
                    <w:spacing w:line="360" w:lineRule="exact"/>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46</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31342913">
                  <w:pPr>
                    <w:spacing w:line="360" w:lineRule="exact"/>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40</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6D22CA87">
                  <w:pPr>
                    <w:spacing w:line="360" w:lineRule="exact"/>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36</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2F72703E">
                  <w:pPr>
                    <w:spacing w:line="360" w:lineRule="exact"/>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34</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7D762497">
                  <w:pPr>
                    <w:spacing w:line="360" w:lineRule="exact"/>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32</w:t>
                  </w:r>
                </w:p>
              </w:tc>
              <w:tc>
                <w:tcPr>
                  <w:tcW w:w="432" w:type="pct"/>
                  <w:tcBorders>
                    <w:top w:val="single" w:color="auto" w:sz="2" w:space="0"/>
                    <w:left w:val="single" w:color="auto" w:sz="2" w:space="0"/>
                    <w:bottom w:val="single" w:color="auto" w:sz="2" w:space="0"/>
                    <w:right w:val="single" w:color="auto" w:sz="2" w:space="0"/>
                  </w:tcBorders>
                  <w:shd w:val="clear" w:color="auto" w:fill="auto"/>
                  <w:vAlign w:val="center"/>
                </w:tcPr>
                <w:p w14:paraId="31A3FDCE">
                  <w:pPr>
                    <w:spacing w:line="360" w:lineRule="exact"/>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30</w:t>
                  </w:r>
                </w:p>
              </w:tc>
            </w:tr>
            <w:tr w14:paraId="53AB87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7" w:type="pct"/>
                  <w:tcBorders>
                    <w:top w:val="single" w:color="auto" w:sz="2" w:space="0"/>
                    <w:left w:val="single" w:color="auto" w:sz="2" w:space="0"/>
                    <w:bottom w:val="single" w:color="auto" w:sz="2" w:space="0"/>
                    <w:right w:val="single" w:color="auto" w:sz="2" w:space="0"/>
                  </w:tcBorders>
                  <w:shd w:val="clear" w:color="auto" w:fill="auto"/>
                  <w:vAlign w:val="center"/>
                </w:tcPr>
                <w:p w14:paraId="2A6DE773">
                  <w:pPr>
                    <w:spacing w:line="360" w:lineRule="exact"/>
                    <w:jc w:val="center"/>
                    <w:rPr>
                      <w:color w:val="000000" w:themeColor="text1"/>
                      <w:szCs w:val="21"/>
                      <w14:textFill>
                        <w14:solidFill>
                          <w14:schemeClr w14:val="tx1"/>
                        </w14:solidFill>
                      </w14:textFill>
                    </w:rPr>
                  </w:pPr>
                  <w:r>
                    <w:rPr>
                      <w:rFonts w:hint="eastAsia"/>
                      <w:iCs/>
                      <w:snapToGrid w:val="0"/>
                      <w:color w:val="000000" w:themeColor="text1"/>
                      <w:kern w:val="0"/>
                      <w:szCs w:val="21"/>
                      <w14:textFill>
                        <w14:solidFill>
                          <w14:schemeClr w14:val="tx1"/>
                        </w14:solidFill>
                      </w14:textFill>
                    </w:rPr>
                    <w:t>混凝土罐车、汽车式起重机、叉车</w:t>
                  </w:r>
                </w:p>
              </w:tc>
              <w:tc>
                <w:tcPr>
                  <w:tcW w:w="345" w:type="pct"/>
                  <w:tcBorders>
                    <w:top w:val="single" w:color="auto" w:sz="2" w:space="0"/>
                    <w:left w:val="single" w:color="auto" w:sz="2" w:space="0"/>
                    <w:bottom w:val="single" w:color="auto" w:sz="2" w:space="0"/>
                    <w:right w:val="single" w:color="auto" w:sz="2" w:space="0"/>
                  </w:tcBorders>
                  <w:shd w:val="clear" w:color="auto" w:fill="auto"/>
                  <w:vAlign w:val="center"/>
                </w:tcPr>
                <w:p w14:paraId="335767FD">
                  <w:pPr>
                    <w:spacing w:line="360" w:lineRule="exact"/>
                    <w:jc w:val="center"/>
                    <w:rPr>
                      <w:color w:val="000000" w:themeColor="text1"/>
                      <w:kern w:val="0"/>
                      <w:szCs w:val="21"/>
                      <w14:textFill>
                        <w14:solidFill>
                          <w14:schemeClr w14:val="tx1"/>
                        </w14:solidFill>
                      </w14:textFill>
                    </w:rPr>
                  </w:pPr>
                  <w:r>
                    <w:rPr>
                      <w:rFonts w:hint="eastAsia"/>
                      <w:color w:val="000000" w:themeColor="text1"/>
                      <w:szCs w:val="21"/>
                      <w:lang w:bidi="ar"/>
                      <w14:textFill>
                        <w14:solidFill>
                          <w14:schemeClr w14:val="tx1"/>
                        </w14:solidFill>
                      </w14:textFill>
                    </w:rPr>
                    <w:t>70</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64E84261">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50</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2DB3713B">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44</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6EBC5252">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40</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0E0869ED">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38</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147BB797">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36</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10CEDD76">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30</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5B34E0D3">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26</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25203940">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24</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6E142D3E">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22</w:t>
                  </w:r>
                </w:p>
              </w:tc>
              <w:tc>
                <w:tcPr>
                  <w:tcW w:w="432" w:type="pct"/>
                  <w:tcBorders>
                    <w:top w:val="single" w:color="auto" w:sz="2" w:space="0"/>
                    <w:left w:val="single" w:color="auto" w:sz="2" w:space="0"/>
                    <w:bottom w:val="single" w:color="auto" w:sz="2" w:space="0"/>
                    <w:right w:val="single" w:color="auto" w:sz="2" w:space="0"/>
                  </w:tcBorders>
                  <w:shd w:val="clear" w:color="auto" w:fill="auto"/>
                  <w:vAlign w:val="center"/>
                </w:tcPr>
                <w:p w14:paraId="61090717">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20</w:t>
                  </w:r>
                </w:p>
              </w:tc>
            </w:tr>
            <w:tr w14:paraId="02E338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1027" w:type="pct"/>
                  <w:tcBorders>
                    <w:top w:val="single" w:color="auto" w:sz="2" w:space="0"/>
                    <w:left w:val="single" w:color="auto" w:sz="2" w:space="0"/>
                    <w:bottom w:val="single" w:color="auto" w:sz="2" w:space="0"/>
                    <w:right w:val="single" w:color="auto" w:sz="2" w:space="0"/>
                  </w:tcBorders>
                  <w:shd w:val="clear" w:color="auto" w:fill="auto"/>
                  <w:vAlign w:val="center"/>
                </w:tcPr>
                <w:p w14:paraId="3F922E78">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叠加值</w:t>
                  </w:r>
                </w:p>
              </w:tc>
              <w:tc>
                <w:tcPr>
                  <w:tcW w:w="345" w:type="pct"/>
                  <w:tcBorders>
                    <w:top w:val="single" w:color="auto" w:sz="2" w:space="0"/>
                    <w:left w:val="single" w:color="auto" w:sz="2" w:space="0"/>
                    <w:bottom w:val="single" w:color="auto" w:sz="2" w:space="0"/>
                    <w:right w:val="single" w:color="auto" w:sz="2" w:space="0"/>
                  </w:tcBorders>
                  <w:shd w:val="clear" w:color="auto" w:fill="auto"/>
                  <w:vAlign w:val="center"/>
                </w:tcPr>
                <w:p w14:paraId="36817655">
                  <w:pPr>
                    <w:spacing w:line="360" w:lineRule="exact"/>
                    <w:jc w:val="center"/>
                    <w:rPr>
                      <w:color w:val="000000" w:themeColor="text1"/>
                      <w:szCs w:val="21"/>
                      <w14:textFill>
                        <w14:solidFill>
                          <w14:schemeClr w14:val="tx1"/>
                        </w14:solidFill>
                      </w14:textFill>
                    </w:rPr>
                  </w:pPr>
                  <w:r>
                    <w:rPr>
                      <w:rFonts w:hint="eastAsia"/>
                      <w:color w:val="000000" w:themeColor="text1"/>
                      <w:szCs w:val="21"/>
                      <w:lang w:bidi="ar"/>
                      <w14:textFill>
                        <w14:solidFill>
                          <w14:schemeClr w14:val="tx1"/>
                        </w14:solidFill>
                      </w14:textFill>
                    </w:rPr>
                    <w:t>107</w:t>
                  </w:r>
                </w:p>
              </w:tc>
              <w:tc>
                <w:tcPr>
                  <w:tcW w:w="315" w:type="pct"/>
                  <w:tcBorders>
                    <w:top w:val="single" w:color="auto" w:sz="2" w:space="0"/>
                    <w:left w:val="single" w:color="auto" w:sz="2" w:space="0"/>
                    <w:bottom w:val="single" w:color="auto" w:sz="2" w:space="0"/>
                    <w:right w:val="single" w:color="auto" w:sz="2" w:space="0"/>
                  </w:tcBorders>
                  <w:shd w:val="clear" w:color="auto" w:fill="auto"/>
                  <w:vAlign w:val="center"/>
                </w:tcPr>
                <w:p w14:paraId="69B3E4FF">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87</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4DAA6710">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81</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2B8B197D">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77</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2856B51E">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75</w:t>
                  </w:r>
                </w:p>
              </w:tc>
              <w:tc>
                <w:tcPr>
                  <w:tcW w:w="318" w:type="pct"/>
                  <w:tcBorders>
                    <w:top w:val="single" w:color="auto" w:sz="2" w:space="0"/>
                    <w:left w:val="single" w:color="auto" w:sz="2" w:space="0"/>
                    <w:bottom w:val="single" w:color="auto" w:sz="2" w:space="0"/>
                    <w:right w:val="single" w:color="auto" w:sz="2" w:space="0"/>
                  </w:tcBorders>
                  <w:shd w:val="clear" w:color="auto" w:fill="auto"/>
                  <w:vAlign w:val="center"/>
                </w:tcPr>
                <w:p w14:paraId="0A4B44D5">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73</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5FEE1F2C">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67</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2E50FB20">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63</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4C8AA69B">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61</w:t>
                  </w:r>
                </w:p>
              </w:tc>
              <w:tc>
                <w:tcPr>
                  <w:tcW w:w="401" w:type="pct"/>
                  <w:tcBorders>
                    <w:top w:val="single" w:color="auto" w:sz="2" w:space="0"/>
                    <w:left w:val="single" w:color="auto" w:sz="2" w:space="0"/>
                    <w:bottom w:val="single" w:color="auto" w:sz="2" w:space="0"/>
                    <w:right w:val="single" w:color="auto" w:sz="2" w:space="0"/>
                  </w:tcBorders>
                  <w:shd w:val="clear" w:color="auto" w:fill="auto"/>
                  <w:vAlign w:val="center"/>
                </w:tcPr>
                <w:p w14:paraId="59C090E0">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59</w:t>
                  </w:r>
                </w:p>
              </w:tc>
              <w:tc>
                <w:tcPr>
                  <w:tcW w:w="432" w:type="pct"/>
                  <w:tcBorders>
                    <w:top w:val="single" w:color="auto" w:sz="2" w:space="0"/>
                    <w:left w:val="single" w:color="auto" w:sz="2" w:space="0"/>
                    <w:bottom w:val="single" w:color="auto" w:sz="2" w:space="0"/>
                    <w:right w:val="single" w:color="auto" w:sz="2" w:space="0"/>
                  </w:tcBorders>
                  <w:shd w:val="clear" w:color="auto" w:fill="auto"/>
                  <w:vAlign w:val="center"/>
                </w:tcPr>
                <w:p w14:paraId="604F28DD">
                  <w:pPr>
                    <w:spacing w:line="36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57</w:t>
                  </w:r>
                </w:p>
              </w:tc>
            </w:tr>
          </w:tbl>
          <w:p w14:paraId="46696C09">
            <w:pPr>
              <w:spacing w:line="440" w:lineRule="exact"/>
              <w:ind w:firstLine="480" w:firstLineChars="200"/>
              <w:rPr>
                <w:rFonts w:ascii="宋体" w:hAnsi="宋体" w:cs="宋体"/>
                <w:color w:val="000000" w:themeColor="text1"/>
                <w:kern w:val="0"/>
                <w:sz w:val="24"/>
                <w:highlight w:val="yellow"/>
                <w:lang w:bidi="ar"/>
                <w14:textFill>
                  <w14:solidFill>
                    <w14:schemeClr w14:val="tx1"/>
                  </w14:solidFill>
                </w14:textFill>
              </w:rPr>
            </w:pPr>
            <w:r>
              <w:rPr>
                <w:rFonts w:hint="eastAsia" w:cs="宋体"/>
                <w:color w:val="000000" w:themeColor="text1"/>
                <w:sz w:val="24"/>
                <w:lang w:bidi="ar"/>
                <w14:textFill>
                  <w14:solidFill>
                    <w14:schemeClr w14:val="tx1"/>
                  </w14:solidFill>
                </w14:textFill>
              </w:rPr>
              <w:t>因此，根据上述计算结果分析，在不同机械联合同时施工的情况下，施工场地外</w:t>
            </w:r>
            <w:r>
              <w:rPr>
                <w:rFonts w:hint="eastAsia"/>
                <w:color w:val="000000" w:themeColor="text1"/>
                <w:sz w:val="24"/>
                <w:lang w:bidi="ar"/>
                <w14:textFill>
                  <w14:solidFill>
                    <w14:schemeClr w14:val="tx1"/>
                  </w14:solidFill>
                </w14:textFill>
              </w:rPr>
              <w:t>100</w:t>
            </w:r>
            <w:r>
              <w:rPr>
                <w:color w:val="000000" w:themeColor="text1"/>
                <w:sz w:val="24"/>
                <w:lang w:bidi="ar"/>
                <w14:textFill>
                  <w14:solidFill>
                    <w14:schemeClr w14:val="tx1"/>
                  </w14:solidFill>
                </w14:textFill>
              </w:rPr>
              <w:t>m</w:t>
            </w:r>
            <w:r>
              <w:rPr>
                <w:rFonts w:hint="eastAsia" w:cs="宋体"/>
                <w:color w:val="000000" w:themeColor="text1"/>
                <w:sz w:val="24"/>
                <w:lang w:bidi="ar"/>
                <w14:textFill>
                  <w14:solidFill>
                    <w14:schemeClr w14:val="tx1"/>
                  </w14:solidFill>
                </w14:textFill>
              </w:rPr>
              <w:t>可满足《建筑施工场界环境噪声排放标准》（</w:t>
            </w:r>
            <w:r>
              <w:rPr>
                <w:color w:val="000000" w:themeColor="text1"/>
                <w:sz w:val="24"/>
                <w:lang w:bidi="ar"/>
                <w14:textFill>
                  <w14:solidFill>
                    <w14:schemeClr w14:val="tx1"/>
                  </w14:solidFill>
                </w14:textFill>
              </w:rPr>
              <w:t>GB12523-2011</w:t>
            </w:r>
            <w:r>
              <w:rPr>
                <w:rFonts w:hint="eastAsia" w:cs="宋体"/>
                <w:color w:val="000000" w:themeColor="text1"/>
                <w:sz w:val="24"/>
                <w:lang w:bidi="ar"/>
                <w14:textFill>
                  <w14:solidFill>
                    <w14:schemeClr w14:val="tx1"/>
                  </w14:solidFill>
                </w14:textFill>
              </w:rPr>
              <w:t>）要求。</w:t>
            </w:r>
            <w:r>
              <w:rPr>
                <w:rFonts w:hint="eastAsia" w:ascii="宋体" w:hAnsi="宋体" w:cs="宋体"/>
                <w:color w:val="000000" w:themeColor="text1"/>
                <w:kern w:val="0"/>
                <w:sz w:val="24"/>
                <w:lang w:bidi="ar"/>
                <w14:textFill>
                  <w14:solidFill>
                    <w14:schemeClr w14:val="tx1"/>
                  </w14:solidFill>
                </w14:textFill>
              </w:rPr>
              <w:t>项目周围敏感点声环境质量按照《声环境质量标准》（</w:t>
            </w:r>
            <w:r>
              <w:rPr>
                <w:color w:val="000000" w:themeColor="text1"/>
                <w:kern w:val="0"/>
                <w:sz w:val="24"/>
                <w:lang w:bidi="ar"/>
                <w14:textFill>
                  <w14:solidFill>
                    <w14:schemeClr w14:val="tx1"/>
                  </w14:solidFill>
                </w14:textFill>
              </w:rPr>
              <w:t>GB3096-2008</w:t>
            </w:r>
            <w:r>
              <w:rPr>
                <w:rFonts w:hint="eastAsia" w:ascii="宋体" w:hAnsi="宋体" w:cs="宋体"/>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1</w:t>
            </w:r>
            <w:r>
              <w:rPr>
                <w:rFonts w:hint="eastAsia" w:ascii="宋体" w:hAnsi="宋体" w:cs="宋体"/>
                <w:color w:val="000000" w:themeColor="text1"/>
                <w:kern w:val="0"/>
                <w:sz w:val="24"/>
                <w:lang w:bidi="ar"/>
                <w14:textFill>
                  <w14:solidFill>
                    <w14:schemeClr w14:val="tx1"/>
                  </w14:solidFill>
                </w14:textFill>
              </w:rPr>
              <w:t>类区标准进行保护，夜间项目不施工。</w:t>
            </w:r>
          </w:p>
          <w:p w14:paraId="27293F5D">
            <w:pPr>
              <w:spacing w:line="440" w:lineRule="exact"/>
              <w:ind w:firstLine="480" w:firstLineChars="200"/>
              <w:rPr>
                <w:color w:val="000000" w:themeColor="text1"/>
                <w:highlight w:val="yellow"/>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从预测结果看，项目施工噪声昼间影响范围较大，</w:t>
            </w:r>
            <w:r>
              <w:rPr>
                <w:rFonts w:hint="eastAsia" w:cs="宋体"/>
                <w:color w:val="000000" w:themeColor="text1"/>
                <w:sz w:val="24"/>
                <w:lang w:bidi="ar"/>
                <w14:textFill>
                  <w14:solidFill>
                    <w14:schemeClr w14:val="tx1"/>
                  </w14:solidFill>
                </w14:textFill>
              </w:rPr>
              <w:t>从声环境保护目标的分布情况来看，施工期间，将对光伏东区东南侧</w:t>
            </w:r>
            <w:r>
              <w:rPr>
                <w:rFonts w:hint="eastAsia"/>
                <w:color w:val="000000" w:themeColor="text1"/>
                <w:sz w:val="24"/>
                <w:lang w:bidi="ar"/>
                <w14:textFill>
                  <w14:solidFill>
                    <w14:schemeClr w14:val="tx1"/>
                  </w14:solidFill>
                </w14:textFill>
              </w:rPr>
              <w:t>35</w:t>
            </w:r>
            <w:r>
              <w:rPr>
                <w:color w:val="000000" w:themeColor="text1"/>
                <w:sz w:val="24"/>
                <w:lang w:bidi="ar"/>
                <w14:textFill>
                  <w14:solidFill>
                    <w14:schemeClr w14:val="tx1"/>
                  </w14:solidFill>
                </w14:textFill>
              </w:rPr>
              <w:t>m</w:t>
            </w:r>
            <w:r>
              <w:rPr>
                <w:rFonts w:hint="eastAsia" w:cs="宋体"/>
                <w:color w:val="000000" w:themeColor="text1"/>
                <w:sz w:val="24"/>
                <w:lang w:bidi="ar"/>
                <w14:textFill>
                  <w14:solidFill>
                    <w14:schemeClr w14:val="tx1"/>
                  </w14:solidFill>
                </w14:textFill>
              </w:rPr>
              <w:t>的佟庄村、光伏在北区南侧35m的夜明峪村、光伏在北区南侧15m的潘庄村产生一定影响，不同机械同时联合施工的情况下，佟庄村、夜明峪村、潘庄村昼间噪声贡献值均超过《</w:t>
            </w:r>
            <w:r>
              <w:rPr>
                <w:rFonts w:hint="eastAsia" w:ascii="宋体" w:hAnsi="宋体" w:cs="宋体"/>
                <w:color w:val="000000" w:themeColor="text1"/>
                <w:kern w:val="0"/>
                <w:sz w:val="24"/>
                <w:lang w:bidi="ar"/>
                <w14:textFill>
                  <w14:solidFill>
                    <w14:schemeClr w14:val="tx1"/>
                  </w14:solidFill>
                </w14:textFill>
              </w:rPr>
              <w:t>声环境质量标准》（</w:t>
            </w:r>
            <w:r>
              <w:rPr>
                <w:color w:val="000000" w:themeColor="text1"/>
                <w:kern w:val="0"/>
                <w:sz w:val="24"/>
                <w:lang w:bidi="ar"/>
                <w14:textFill>
                  <w14:solidFill>
                    <w14:schemeClr w14:val="tx1"/>
                  </w14:solidFill>
                </w14:textFill>
              </w:rPr>
              <w:t>GB3096-2008</w:t>
            </w:r>
            <w:r>
              <w:rPr>
                <w:rFonts w:hint="eastAsia" w:ascii="宋体" w:hAnsi="宋体" w:cs="宋体"/>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1</w:t>
            </w:r>
            <w:r>
              <w:rPr>
                <w:rFonts w:hint="eastAsia" w:ascii="宋体" w:hAnsi="宋体" w:cs="宋体"/>
                <w:color w:val="000000" w:themeColor="text1"/>
                <w:kern w:val="0"/>
                <w:sz w:val="24"/>
                <w:lang w:bidi="ar"/>
                <w14:textFill>
                  <w14:solidFill>
                    <w14:schemeClr w14:val="tx1"/>
                  </w14:solidFill>
                </w14:textFill>
              </w:rPr>
              <w:t>类区标准，但</w:t>
            </w:r>
            <w:r>
              <w:rPr>
                <w:rFonts w:hint="eastAsia" w:cs="宋体"/>
                <w:color w:val="000000" w:themeColor="text1"/>
                <w:sz w:val="24"/>
                <w:lang w:bidi="ar"/>
                <w14:textFill>
                  <w14:solidFill>
                    <w14:schemeClr w14:val="tx1"/>
                  </w14:solidFill>
                </w14:textFill>
              </w:rPr>
              <w:t>由于</w:t>
            </w:r>
            <w:r>
              <w:rPr>
                <w:rFonts w:hint="eastAsia" w:ascii="宋体" w:hAnsi="宋体" w:cs="宋体"/>
                <w:color w:val="000000" w:themeColor="text1"/>
                <w:kern w:val="0"/>
                <w:sz w:val="24"/>
                <w:lang w:bidi="ar"/>
                <w14:textFill>
                  <w14:solidFill>
                    <w14:schemeClr w14:val="tx1"/>
                  </w14:solidFill>
                </w14:textFill>
              </w:rPr>
              <w:t>光伏阵列区施工仅进行钻孔及电缆</w:t>
            </w:r>
            <w:r>
              <w:rPr>
                <w:rFonts w:hint="eastAsia" w:cs="宋体"/>
                <w:color w:val="000000" w:themeColor="text1"/>
                <w:sz w:val="24"/>
                <w:lang w:bidi="ar"/>
                <w14:textFill>
                  <w14:solidFill>
                    <w14:schemeClr w14:val="tx1"/>
                  </w14:solidFill>
                </w14:textFill>
              </w:rPr>
              <w:t>开挖，施工工程量小，且施工时间短，施工用的设备为小型风钻设备，噪声影响范围会进一步缩减至</w:t>
            </w:r>
            <w:r>
              <w:rPr>
                <w:color w:val="000000" w:themeColor="text1"/>
                <w:sz w:val="24"/>
                <w:lang w:bidi="ar"/>
                <w14:textFill>
                  <w14:solidFill>
                    <w14:schemeClr w14:val="tx1"/>
                  </w14:solidFill>
                </w14:textFill>
              </w:rPr>
              <w:t>100m</w:t>
            </w:r>
            <w:r>
              <w:rPr>
                <w:rFonts w:hint="eastAsia" w:cs="宋体"/>
                <w:color w:val="000000" w:themeColor="text1"/>
                <w:sz w:val="24"/>
                <w:lang w:bidi="ar"/>
                <w14:textFill>
                  <w14:solidFill>
                    <w14:schemeClr w14:val="tx1"/>
                  </w14:solidFill>
                </w14:textFill>
              </w:rPr>
              <w:t>，为减少施工噪声对周边关心点的影响、避免发生噪声扰民问题，建设单位拟采取在上述村庄或住户周边</w:t>
            </w:r>
            <w:r>
              <w:rPr>
                <w:color w:val="000000" w:themeColor="text1"/>
                <w:sz w:val="24"/>
                <w:lang w:bidi="ar"/>
                <w14:textFill>
                  <w14:solidFill>
                    <w14:schemeClr w14:val="tx1"/>
                  </w14:solidFill>
                </w14:textFill>
              </w:rPr>
              <w:t>100m</w:t>
            </w:r>
            <w:r>
              <w:rPr>
                <w:rFonts w:hint="eastAsia" w:cs="宋体"/>
                <w:color w:val="000000" w:themeColor="text1"/>
                <w:sz w:val="24"/>
                <w:lang w:bidi="ar"/>
                <w14:textFill>
                  <w14:solidFill>
                    <w14:schemeClr w14:val="tx1"/>
                  </w14:solidFill>
                </w14:textFill>
              </w:rPr>
              <w:t>范围内光伏阵列施工区</w:t>
            </w:r>
            <w:r>
              <w:rPr>
                <w:rFonts w:hint="eastAsia" w:ascii="宋体" w:hAnsi="宋体" w:cs="宋体"/>
                <w:color w:val="000000" w:themeColor="text1"/>
                <w:kern w:val="0"/>
                <w:sz w:val="24"/>
                <w:lang w:bidi="ar"/>
                <w14:textFill>
                  <w14:solidFill>
                    <w14:schemeClr w14:val="tx1"/>
                  </w14:solidFill>
                </w14:textFill>
              </w:rPr>
              <w:t>设置</w:t>
            </w:r>
            <w:r>
              <w:rPr>
                <w:rFonts w:hint="eastAsia" w:cs="宋体"/>
                <w:color w:val="000000" w:themeColor="text1"/>
                <w:sz w:val="24"/>
                <w:lang w:bidi="ar"/>
                <w14:textFill>
                  <w14:solidFill>
                    <w14:schemeClr w14:val="tx1"/>
                  </w14:solidFill>
                </w14:textFill>
              </w:rPr>
              <w:t>移动隔声屏障措施</w:t>
            </w:r>
            <w:r>
              <w:rPr>
                <w:rFonts w:hint="eastAsia" w:ascii="宋体" w:hAnsi="宋体" w:cs="宋体"/>
                <w:color w:val="000000" w:themeColor="text1"/>
                <w:kern w:val="0"/>
                <w:sz w:val="24"/>
                <w:lang w:bidi="ar"/>
                <w14:textFill>
                  <w14:solidFill>
                    <w14:schemeClr w14:val="tx1"/>
                  </w14:solidFill>
                </w14:textFill>
              </w:rPr>
              <w:t>、合理规划施工时间及施工时序，夜间项目不施工，靠近居民点位置的光伏阵区支架或集电线路施工采用人工开挖基础等措施</w:t>
            </w:r>
            <w:r>
              <w:rPr>
                <w:rFonts w:hint="eastAsia" w:cs="宋体"/>
                <w:color w:val="000000" w:themeColor="text1"/>
                <w:sz w:val="24"/>
                <w:lang w:bidi="ar"/>
                <w14:textFill>
                  <w14:solidFill>
                    <w14:schemeClr w14:val="tx1"/>
                  </w14:solidFill>
                </w14:textFill>
              </w:rPr>
              <w:t>。由于上述村庄周边</w:t>
            </w:r>
            <w:r>
              <w:rPr>
                <w:color w:val="000000" w:themeColor="text1"/>
                <w:sz w:val="24"/>
                <w:lang w:bidi="ar"/>
                <w14:textFill>
                  <w14:solidFill>
                    <w14:schemeClr w14:val="tx1"/>
                  </w14:solidFill>
                </w14:textFill>
              </w:rPr>
              <w:t>100m</w:t>
            </w:r>
            <w:r>
              <w:rPr>
                <w:rFonts w:hint="eastAsia" w:cs="宋体"/>
                <w:color w:val="000000" w:themeColor="text1"/>
                <w:sz w:val="24"/>
                <w:lang w:bidi="ar"/>
                <w14:textFill>
                  <w14:solidFill>
                    <w14:schemeClr w14:val="tx1"/>
                  </w14:solidFill>
                </w14:textFill>
              </w:rPr>
              <w:t>范围内光伏阵列施工时间较短，仅在</w:t>
            </w:r>
            <w:r>
              <w:rPr>
                <w:color w:val="000000" w:themeColor="text1"/>
                <w:sz w:val="24"/>
                <w:lang w:bidi="ar"/>
                <w14:textFill>
                  <w14:solidFill>
                    <w14:schemeClr w14:val="tx1"/>
                  </w14:solidFill>
                </w14:textFill>
              </w:rPr>
              <w:t>5</w:t>
            </w:r>
            <w:r>
              <w:rPr>
                <w:rFonts w:hint="eastAsia" w:ascii="宋体" w:hAnsi="宋体"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10</w:t>
            </w:r>
            <w:r>
              <w:rPr>
                <w:rFonts w:hint="eastAsia" w:cs="宋体"/>
                <w:color w:val="000000" w:themeColor="text1"/>
                <w:sz w:val="24"/>
                <w:lang w:bidi="ar"/>
                <w14:textFill>
                  <w14:solidFill>
                    <w14:schemeClr w14:val="tx1"/>
                  </w14:solidFill>
                </w14:textFill>
              </w:rPr>
              <w:t>天左右。</w:t>
            </w:r>
            <w:r>
              <w:rPr>
                <w:rFonts w:hint="eastAsia" w:ascii="宋体" w:hAnsi="宋体" w:cs="宋体"/>
                <w:color w:val="000000" w:themeColor="text1"/>
                <w:kern w:val="0"/>
                <w:sz w:val="24"/>
                <w:lang w:bidi="ar"/>
                <w14:textFill>
                  <w14:solidFill>
                    <w14:schemeClr w14:val="tx1"/>
                  </w14:solidFill>
                </w14:textFill>
              </w:rPr>
              <w:t>施工噪声影响是暂时的，随着施工结束这些影响也将消失，对项目周边声环境敏感目标影响小。升压站会存在不同机械联合作业情况，距离施工作业300m影响范围仍不能满足</w:t>
            </w:r>
            <w:r>
              <w:rPr>
                <w:rFonts w:hint="eastAsia" w:cs="宋体"/>
                <w:color w:val="000000" w:themeColor="text1"/>
                <w:sz w:val="24"/>
                <w:lang w:bidi="ar"/>
                <w14:textFill>
                  <w14:solidFill>
                    <w14:schemeClr w14:val="tx1"/>
                  </w14:solidFill>
                </w14:textFill>
              </w:rPr>
              <w:t>《</w:t>
            </w:r>
            <w:r>
              <w:rPr>
                <w:rFonts w:hint="eastAsia" w:ascii="宋体" w:hAnsi="宋体" w:cs="宋体"/>
                <w:color w:val="000000" w:themeColor="text1"/>
                <w:kern w:val="0"/>
                <w:sz w:val="24"/>
                <w:lang w:bidi="ar"/>
                <w14:textFill>
                  <w14:solidFill>
                    <w14:schemeClr w14:val="tx1"/>
                  </w14:solidFill>
                </w14:textFill>
              </w:rPr>
              <w:t>声环境质量标准》（</w:t>
            </w:r>
            <w:r>
              <w:rPr>
                <w:color w:val="000000" w:themeColor="text1"/>
                <w:kern w:val="0"/>
                <w:sz w:val="24"/>
                <w:lang w:bidi="ar"/>
                <w14:textFill>
                  <w14:solidFill>
                    <w14:schemeClr w14:val="tx1"/>
                  </w14:solidFill>
                </w14:textFill>
              </w:rPr>
              <w:t>GB3096-2008</w:t>
            </w:r>
            <w:r>
              <w:rPr>
                <w:rFonts w:hint="eastAsia" w:ascii="宋体" w:hAnsi="宋体" w:cs="宋体"/>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1</w:t>
            </w:r>
            <w:r>
              <w:rPr>
                <w:rFonts w:hint="eastAsia" w:ascii="宋体" w:hAnsi="宋体" w:cs="宋体"/>
                <w:color w:val="000000" w:themeColor="text1"/>
                <w:kern w:val="0"/>
                <w:sz w:val="24"/>
                <w:lang w:bidi="ar"/>
                <w14:textFill>
                  <w14:solidFill>
                    <w14:schemeClr w14:val="tx1"/>
                  </w14:solidFill>
                </w14:textFill>
              </w:rPr>
              <w:t>类区标准，升压站距离佟庄村最近距离为250m，需要设置声屏障、采用低噪声设备等措施以减少噪声污染。</w:t>
            </w:r>
          </w:p>
          <w:p w14:paraId="64BAFD17">
            <w:pPr>
              <w:spacing w:line="440" w:lineRule="exact"/>
              <w:ind w:firstLine="480" w:firstLineChars="200"/>
              <w:rPr>
                <w:color w:val="000000" w:themeColor="text1"/>
                <w14:textFill>
                  <w14:solidFill>
                    <w14:schemeClr w14:val="tx1"/>
                  </w14:solidFill>
                </w14:textFill>
              </w:rPr>
            </w:pPr>
            <w:r>
              <w:rPr>
                <w:rFonts w:hint="eastAsia" w:cs="宋体"/>
                <w:color w:val="000000" w:themeColor="text1"/>
                <w:sz w:val="24"/>
                <w:lang w:bidi="ar"/>
                <w14:textFill>
                  <w14:solidFill>
                    <w14:schemeClr w14:val="tx1"/>
                  </w14:solidFill>
                </w14:textFill>
              </w:rPr>
              <w:t>在采取合理安排施工场地，将高噪声设备尽量远离居民区，合理规划施工时间、施工时序，禁止夜间施工，确需夜间施工的，须办理相关手续，并公告周边居民等噪声防控措施后施工噪声对外环境的影响将进一步降低，确保施工场界噪声满足《建筑施工场界环境噪声排放标准》（</w:t>
            </w:r>
            <w:r>
              <w:rPr>
                <w:color w:val="000000" w:themeColor="text1"/>
                <w:sz w:val="24"/>
                <w:lang w:bidi="ar"/>
                <w14:textFill>
                  <w14:solidFill>
                    <w14:schemeClr w14:val="tx1"/>
                  </w14:solidFill>
                </w14:textFill>
              </w:rPr>
              <w:t>GB12523-2011</w:t>
            </w:r>
            <w:r>
              <w:rPr>
                <w:rFonts w:hint="eastAsia" w:cs="宋体"/>
                <w:color w:val="000000" w:themeColor="text1"/>
                <w:sz w:val="24"/>
                <w:lang w:bidi="ar"/>
                <w14:textFill>
                  <w14:solidFill>
                    <w14:schemeClr w14:val="tx1"/>
                  </w14:solidFill>
                </w14:textFill>
              </w:rPr>
              <w:t>）的要求，并且项目施工时间短，施工噪声影响将随施工结束而消失，故施工噪声对周边环境影响可接受。</w:t>
            </w:r>
          </w:p>
          <w:p w14:paraId="160CB5C3">
            <w:pPr>
              <w:adjustRightInd w:val="0"/>
              <w:snapToGrid w:val="0"/>
              <w:spacing w:line="440" w:lineRule="exact"/>
              <w:rPr>
                <w:b/>
                <w:bCs/>
                <w:color w:val="000000" w:themeColor="text1"/>
                <w:sz w:val="24"/>
                <w14:textFill>
                  <w14:solidFill>
                    <w14:schemeClr w14:val="tx1"/>
                  </w14:solidFill>
                </w14:textFill>
              </w:rPr>
            </w:pPr>
            <w:r>
              <w:rPr>
                <w:b/>
                <w:bCs/>
                <w:color w:val="000000" w:themeColor="text1"/>
                <w:sz w:val="24"/>
                <w:lang w:bidi="ar"/>
                <w14:textFill>
                  <w14:solidFill>
                    <w14:schemeClr w14:val="tx1"/>
                  </w14:solidFill>
                </w14:textFill>
              </w:rPr>
              <w:t xml:space="preserve">4.2 </w:t>
            </w:r>
            <w:r>
              <w:rPr>
                <w:rFonts w:hint="eastAsia" w:cs="宋体"/>
                <w:b/>
                <w:bCs/>
                <w:color w:val="000000" w:themeColor="text1"/>
                <w:sz w:val="24"/>
                <w:lang w:bidi="ar"/>
                <w14:textFill>
                  <w14:solidFill>
                    <w14:schemeClr w14:val="tx1"/>
                  </w14:solidFill>
                </w14:textFill>
              </w:rPr>
              <w:t>运输噪声影响分析</w:t>
            </w:r>
          </w:p>
          <w:p w14:paraId="66C35A04">
            <w:pPr>
              <w:adjustRightInd w:val="0"/>
              <w:snapToGrid w:val="0"/>
              <w:spacing w:line="440" w:lineRule="exact"/>
              <w:ind w:firstLine="480" w:firstLineChars="200"/>
              <w:rPr>
                <w:bCs/>
                <w:color w:val="000000" w:themeColor="text1"/>
                <w:sz w:val="24"/>
                <w:highlight w:val="yellow"/>
                <w14:textFill>
                  <w14:solidFill>
                    <w14:schemeClr w14:val="tx1"/>
                  </w14:solidFill>
                </w14:textFill>
              </w:rPr>
            </w:pPr>
            <w:r>
              <w:rPr>
                <w:rFonts w:hint="eastAsia" w:cs="宋体"/>
                <w:bCs/>
                <w:color w:val="000000" w:themeColor="text1"/>
                <w:sz w:val="24"/>
                <w:lang w:bidi="ar"/>
                <w14:textFill>
                  <w14:solidFill>
                    <w14:schemeClr w14:val="tx1"/>
                  </w14:solidFill>
                </w14:textFill>
              </w:rPr>
              <w:t>本工程运输的主要为光伏部件以及商品混凝土、钢筋和砂料等施工材料，运输车辆多为大、中型车，设备、材料运输车辆行驶过程中产生交通噪声，对道路沿线敏感点产生一定的影响。</w:t>
            </w:r>
          </w:p>
          <w:p w14:paraId="30A2D298">
            <w:pPr>
              <w:adjustRightInd w:val="0"/>
              <w:snapToGrid w:val="0"/>
              <w:spacing w:line="440" w:lineRule="exact"/>
              <w:ind w:firstLine="480" w:firstLineChars="200"/>
              <w:rPr>
                <w:bCs/>
                <w:color w:val="000000" w:themeColor="text1"/>
                <w:sz w:val="24"/>
                <w14:textFill>
                  <w14:solidFill>
                    <w14:schemeClr w14:val="tx1"/>
                  </w14:solidFill>
                </w14:textFill>
              </w:rPr>
            </w:pPr>
            <w:r>
              <w:rPr>
                <w:rFonts w:hint="eastAsia" w:cs="宋体"/>
                <w:bCs/>
                <w:color w:val="000000" w:themeColor="text1"/>
                <w:sz w:val="24"/>
                <w:lang w:bidi="ar"/>
                <w14:textFill>
                  <w14:solidFill>
                    <w14:schemeClr w14:val="tx1"/>
                  </w14:solidFill>
                </w14:textFill>
              </w:rPr>
              <w:t>由于物料运输利用现有道路及新建场内道路，沿线分布有不少村庄，有的村庄居民点直接分布于道路两侧，机电设备、物料运输过程中产生的噪声造成的影响是不可忽视的。根据本工程施工期的工程量、运输物料总量及施工进度安排，本工程施工高峰期内（按</w:t>
            </w:r>
            <w:r>
              <w:rPr>
                <w:bCs/>
                <w:color w:val="000000" w:themeColor="text1"/>
                <w:sz w:val="24"/>
                <w:lang w:bidi="ar"/>
                <w14:textFill>
                  <w14:solidFill>
                    <w14:schemeClr w14:val="tx1"/>
                  </w14:solidFill>
                </w14:textFill>
              </w:rPr>
              <w:t>1</w:t>
            </w:r>
            <w:r>
              <w:rPr>
                <w:rFonts w:hint="eastAsia" w:cs="宋体"/>
                <w:bCs/>
                <w:color w:val="000000" w:themeColor="text1"/>
                <w:sz w:val="24"/>
                <w:lang w:bidi="ar"/>
                <w14:textFill>
                  <w14:solidFill>
                    <w14:schemeClr w14:val="tx1"/>
                  </w14:solidFill>
                </w14:textFill>
              </w:rPr>
              <w:t>个月考虑）的运输车流量约为</w:t>
            </w:r>
            <w:r>
              <w:rPr>
                <w:bCs/>
                <w:color w:val="000000" w:themeColor="text1"/>
                <w:sz w:val="24"/>
                <w:lang w:bidi="ar"/>
                <w14:textFill>
                  <w14:solidFill>
                    <w14:schemeClr w14:val="tx1"/>
                  </w14:solidFill>
                </w14:textFill>
              </w:rPr>
              <w:t>5</w:t>
            </w:r>
            <w:r>
              <w:rPr>
                <w:rFonts w:hint="eastAsia" w:cs="宋体"/>
                <w:bCs/>
                <w:color w:val="000000" w:themeColor="text1"/>
                <w:sz w:val="24"/>
                <w:lang w:bidi="ar"/>
                <w14:textFill>
                  <w14:solidFill>
                    <w14:schemeClr w14:val="tx1"/>
                  </w14:solidFill>
                </w14:textFill>
              </w:rPr>
              <w:t>辆</w:t>
            </w:r>
            <w:r>
              <w:rPr>
                <w:bCs/>
                <w:color w:val="000000" w:themeColor="text1"/>
                <w:sz w:val="24"/>
                <w:lang w:bidi="ar"/>
                <w14:textFill>
                  <w14:solidFill>
                    <w14:schemeClr w14:val="tx1"/>
                  </w14:solidFill>
                </w14:textFill>
              </w:rPr>
              <w:t>/h</w:t>
            </w:r>
            <w:r>
              <w:rPr>
                <w:rFonts w:hint="eastAsia" w:cs="宋体"/>
                <w:bCs/>
                <w:color w:val="000000" w:themeColor="text1"/>
                <w:sz w:val="24"/>
                <w:lang w:bidi="ar"/>
                <w14:textFill>
                  <w14:solidFill>
                    <w14:schemeClr w14:val="tx1"/>
                  </w14:solidFill>
                </w14:textFill>
              </w:rPr>
              <w:t>，车速约为</w:t>
            </w:r>
            <w:r>
              <w:rPr>
                <w:bCs/>
                <w:color w:val="000000" w:themeColor="text1"/>
                <w:sz w:val="24"/>
                <w:lang w:bidi="ar"/>
                <w14:textFill>
                  <w14:solidFill>
                    <w14:schemeClr w14:val="tx1"/>
                  </w14:solidFill>
                </w14:textFill>
              </w:rPr>
              <w:t>20</w:t>
            </w:r>
            <w:r>
              <w:rPr>
                <w:rFonts w:hint="eastAsia" w:cs="宋体"/>
                <w:bCs/>
                <w:color w:val="000000" w:themeColor="text1"/>
                <w:sz w:val="24"/>
                <w:lang w:bidi="ar"/>
                <w14:textFill>
                  <w14:solidFill>
                    <w14:schemeClr w14:val="tx1"/>
                  </w14:solidFill>
                </w14:textFill>
              </w:rPr>
              <w:t>～</w:t>
            </w:r>
            <w:r>
              <w:rPr>
                <w:rFonts w:hint="eastAsia"/>
                <w:bCs/>
                <w:color w:val="000000" w:themeColor="text1"/>
                <w:sz w:val="24"/>
                <w:lang w:bidi="ar"/>
                <w14:textFill>
                  <w14:solidFill>
                    <w14:schemeClr w14:val="tx1"/>
                  </w14:solidFill>
                </w14:textFill>
              </w:rPr>
              <w:t>30</w:t>
            </w:r>
            <w:r>
              <w:rPr>
                <w:bCs/>
                <w:color w:val="000000" w:themeColor="text1"/>
                <w:sz w:val="24"/>
                <w:lang w:bidi="ar"/>
                <w14:textFill>
                  <w14:solidFill>
                    <w14:schemeClr w14:val="tx1"/>
                  </w14:solidFill>
                </w14:textFill>
              </w:rPr>
              <w:t>km/h</w:t>
            </w:r>
            <w:r>
              <w:rPr>
                <w:rFonts w:hint="eastAsia" w:cs="宋体"/>
                <w:bCs/>
                <w:color w:val="000000" w:themeColor="text1"/>
                <w:sz w:val="24"/>
                <w:lang w:bidi="ar"/>
                <w14:textFill>
                  <w14:solidFill>
                    <w14:schemeClr w14:val="tx1"/>
                  </w14:solidFill>
                </w14:textFill>
              </w:rPr>
              <w:t>。物料运输车流量很小，为间断式噪声，不适合采用《环境影响评价技术导则声环境》（</w:t>
            </w:r>
            <w:r>
              <w:rPr>
                <w:bCs/>
                <w:color w:val="000000" w:themeColor="text1"/>
                <w:sz w:val="24"/>
                <w:lang w:bidi="ar"/>
                <w14:textFill>
                  <w14:solidFill>
                    <w14:schemeClr w14:val="tx1"/>
                  </w14:solidFill>
                </w14:textFill>
              </w:rPr>
              <w:t>HJ2.4-2021</w:t>
            </w:r>
            <w:r>
              <w:rPr>
                <w:rFonts w:hint="eastAsia" w:cs="宋体"/>
                <w:bCs/>
                <w:color w:val="000000" w:themeColor="text1"/>
                <w:sz w:val="24"/>
                <w:lang w:bidi="ar"/>
                <w14:textFill>
                  <w14:solidFill>
                    <w14:schemeClr w14:val="tx1"/>
                  </w14:solidFill>
                </w14:textFill>
              </w:rPr>
              <w:t>）附录</w:t>
            </w:r>
            <w:r>
              <w:rPr>
                <w:bCs/>
                <w:color w:val="000000" w:themeColor="text1"/>
                <w:sz w:val="24"/>
                <w:lang w:bidi="ar"/>
                <w14:textFill>
                  <w14:solidFill>
                    <w14:schemeClr w14:val="tx1"/>
                  </w14:solidFill>
                </w14:textFill>
              </w:rPr>
              <w:t>A</w:t>
            </w:r>
            <w:r>
              <w:rPr>
                <w:rFonts w:hint="eastAsia" w:cs="宋体"/>
                <w:bCs/>
                <w:color w:val="000000" w:themeColor="text1"/>
                <w:sz w:val="24"/>
                <w:lang w:bidi="ar"/>
                <w14:textFill>
                  <w14:solidFill>
                    <w14:schemeClr w14:val="tx1"/>
                  </w14:solidFill>
                </w14:textFill>
              </w:rPr>
              <w:t>中推荐的道路交通运输噪声预测模式进行预测。参考《环境影响评价技术手册水利水电工程》（邹家祥主编，中国环境科学出版社）一书，采用其推荐的运输车辆噪声模式进行计算，预测公式如下：</w:t>
            </w:r>
          </w:p>
          <w:p w14:paraId="5E57595A">
            <w:pPr>
              <w:adjustRightInd w:val="0"/>
              <w:snapToGrid w:val="0"/>
              <w:spacing w:line="440" w:lineRule="exact"/>
              <w:ind w:firstLine="480"/>
              <w:jc w:val="center"/>
              <w:rPr>
                <w:bCs/>
                <w:i/>
                <w:color w:val="000000" w:themeColor="text1"/>
                <w:sz w:val="24"/>
                <w14:textFill>
                  <w14:solidFill>
                    <w14:schemeClr w14:val="tx1"/>
                  </w14:solidFill>
                </w14:textFill>
              </w:rPr>
            </w:pPr>
            <w:r>
              <w:rPr>
                <w:bCs/>
                <w:i/>
                <w:color w:val="000000" w:themeColor="text1"/>
                <w:sz w:val="24"/>
                <w:lang w:bidi="ar"/>
                <w14:textFill>
                  <w14:solidFill>
                    <w14:schemeClr w14:val="tx1"/>
                  </w14:solidFill>
                </w14:textFill>
              </w:rPr>
              <w:t>L</w:t>
            </w:r>
            <w:r>
              <w:rPr>
                <w:bCs/>
                <w:i/>
                <w:color w:val="000000" w:themeColor="text1"/>
                <w:sz w:val="24"/>
                <w:vertAlign w:val="subscript"/>
                <w:lang w:bidi="ar"/>
                <w14:textFill>
                  <w14:solidFill>
                    <w14:schemeClr w14:val="tx1"/>
                  </w14:solidFill>
                </w14:textFill>
              </w:rPr>
              <w:t>eq</w:t>
            </w:r>
            <w:r>
              <w:rPr>
                <w:bCs/>
                <w:i/>
                <w:color w:val="000000" w:themeColor="text1"/>
                <w:sz w:val="24"/>
                <w:lang w:bidi="ar"/>
                <w14:textFill>
                  <w14:solidFill>
                    <w14:schemeClr w14:val="tx1"/>
                  </w14:solidFill>
                </w14:textFill>
              </w:rPr>
              <w:t>=L</w:t>
            </w:r>
            <w:r>
              <w:rPr>
                <w:bCs/>
                <w:i/>
                <w:color w:val="000000" w:themeColor="text1"/>
                <w:sz w:val="24"/>
                <w:vertAlign w:val="subscript"/>
                <w:lang w:bidi="ar"/>
                <w14:textFill>
                  <w14:solidFill>
                    <w14:schemeClr w14:val="tx1"/>
                  </w14:solidFill>
                </w14:textFill>
              </w:rPr>
              <w:t>A</w:t>
            </w:r>
            <w:r>
              <w:rPr>
                <w:bCs/>
                <w:i/>
                <w:color w:val="000000" w:themeColor="text1"/>
                <w:sz w:val="24"/>
                <w:lang w:bidi="ar"/>
                <w14:textFill>
                  <w14:solidFill>
                    <w14:schemeClr w14:val="tx1"/>
                  </w14:solidFill>
                </w14:textFill>
              </w:rPr>
              <w:t>+10lgN-10lg2r</w:t>
            </w:r>
            <w:r>
              <w:rPr>
                <w:i/>
                <w:color w:val="000000" w:themeColor="text1"/>
                <w:sz w:val="24"/>
                <w:lang w:bidi="ar"/>
                <w14:textFill>
                  <w14:solidFill>
                    <w14:schemeClr w14:val="tx1"/>
                  </w14:solidFill>
                </w14:textFill>
              </w:rPr>
              <w:t>●V+25.4</w:t>
            </w:r>
          </w:p>
          <w:p w14:paraId="6672A8B3">
            <w:pPr>
              <w:adjustRightInd w:val="0"/>
              <w:snapToGrid w:val="0"/>
              <w:spacing w:line="440" w:lineRule="exact"/>
              <w:ind w:firstLine="480" w:firstLineChars="200"/>
              <w:rPr>
                <w:bCs/>
                <w:color w:val="000000" w:themeColor="text1"/>
                <w:sz w:val="24"/>
                <w14:textFill>
                  <w14:solidFill>
                    <w14:schemeClr w14:val="tx1"/>
                  </w14:solidFill>
                </w14:textFill>
              </w:rPr>
            </w:pPr>
            <w:r>
              <w:rPr>
                <w:rFonts w:hint="eastAsia" w:cs="宋体"/>
                <w:bCs/>
                <w:color w:val="000000" w:themeColor="text1"/>
                <w:sz w:val="24"/>
                <w:lang w:bidi="ar"/>
                <w14:textFill>
                  <w14:solidFill>
                    <w14:schemeClr w14:val="tx1"/>
                  </w14:solidFill>
                </w14:textFill>
              </w:rPr>
              <w:t>式中：</w:t>
            </w:r>
            <w:r>
              <w:rPr>
                <w:bCs/>
                <w:i/>
                <w:color w:val="000000" w:themeColor="text1"/>
                <w:sz w:val="24"/>
                <w:lang w:bidi="ar"/>
                <w14:textFill>
                  <w14:solidFill>
                    <w14:schemeClr w14:val="tx1"/>
                  </w14:solidFill>
                </w14:textFill>
              </w:rPr>
              <w:t>L</w:t>
            </w:r>
            <w:r>
              <w:rPr>
                <w:bCs/>
                <w:i/>
                <w:color w:val="000000" w:themeColor="text1"/>
                <w:sz w:val="24"/>
                <w:vertAlign w:val="subscript"/>
                <w:lang w:bidi="ar"/>
                <w14:textFill>
                  <w14:solidFill>
                    <w14:schemeClr w14:val="tx1"/>
                  </w14:solidFill>
                </w14:textFill>
              </w:rPr>
              <w:t>eq</w:t>
            </w:r>
            <w:r>
              <w:rPr>
                <w:bCs/>
                <w:color w:val="000000" w:themeColor="text1"/>
                <w:sz w:val="24"/>
                <w:lang w:bidi="ar"/>
                <w14:textFill>
                  <w14:solidFill>
                    <w14:schemeClr w14:val="tx1"/>
                  </w14:solidFill>
                </w14:textFill>
              </w:rPr>
              <w:t>—</w:t>
            </w:r>
            <w:r>
              <w:rPr>
                <w:rFonts w:hint="eastAsia" w:cs="宋体"/>
                <w:bCs/>
                <w:color w:val="000000" w:themeColor="text1"/>
                <w:sz w:val="24"/>
                <w:lang w:bidi="ar"/>
                <w14:textFill>
                  <w14:solidFill>
                    <w14:schemeClr w14:val="tx1"/>
                  </w14:solidFill>
                </w14:textFill>
              </w:rPr>
              <w:t>距声源</w:t>
            </w:r>
            <w:r>
              <w:rPr>
                <w:bCs/>
                <w:color w:val="000000" w:themeColor="text1"/>
                <w:sz w:val="24"/>
                <w:lang w:bidi="ar"/>
                <w14:textFill>
                  <w14:solidFill>
                    <w14:schemeClr w14:val="tx1"/>
                  </w14:solidFill>
                </w14:textFill>
              </w:rPr>
              <w:t>r</w:t>
            </w:r>
            <w:r>
              <w:rPr>
                <w:rFonts w:hint="eastAsia" w:cs="宋体"/>
                <w:bCs/>
                <w:color w:val="000000" w:themeColor="text1"/>
                <w:sz w:val="24"/>
                <w:lang w:bidi="ar"/>
                <w14:textFill>
                  <w14:solidFill>
                    <w14:schemeClr w14:val="tx1"/>
                  </w14:solidFill>
                </w14:textFill>
              </w:rPr>
              <w:t>（</w:t>
            </w:r>
            <w:r>
              <w:rPr>
                <w:bCs/>
                <w:color w:val="000000" w:themeColor="text1"/>
                <w:sz w:val="24"/>
                <w:lang w:bidi="ar"/>
                <w14:textFill>
                  <w14:solidFill>
                    <w14:schemeClr w14:val="tx1"/>
                  </w14:solidFill>
                </w14:textFill>
              </w:rPr>
              <w:t>m</w:t>
            </w:r>
            <w:r>
              <w:rPr>
                <w:rFonts w:hint="eastAsia" w:cs="宋体"/>
                <w:bCs/>
                <w:color w:val="000000" w:themeColor="text1"/>
                <w:sz w:val="24"/>
                <w:lang w:bidi="ar"/>
                <w14:textFill>
                  <w14:solidFill>
                    <w14:schemeClr w14:val="tx1"/>
                  </w14:solidFill>
                </w14:textFill>
              </w:rPr>
              <w:t>）处的</w:t>
            </w:r>
            <w:r>
              <w:rPr>
                <w:bCs/>
                <w:color w:val="000000" w:themeColor="text1"/>
                <w:sz w:val="24"/>
                <w:lang w:bidi="ar"/>
                <w14:textFill>
                  <w14:solidFill>
                    <w14:schemeClr w14:val="tx1"/>
                  </w14:solidFill>
                </w14:textFill>
              </w:rPr>
              <w:t>A</w:t>
            </w:r>
            <w:r>
              <w:rPr>
                <w:rFonts w:hint="eastAsia" w:cs="宋体"/>
                <w:bCs/>
                <w:color w:val="000000" w:themeColor="text1"/>
                <w:sz w:val="24"/>
                <w:lang w:bidi="ar"/>
                <w14:textFill>
                  <w14:solidFill>
                    <w14:schemeClr w14:val="tx1"/>
                  </w14:solidFill>
                </w14:textFill>
              </w:rPr>
              <w:t>声级，</w:t>
            </w:r>
            <w:r>
              <w:rPr>
                <w:bCs/>
                <w:color w:val="000000" w:themeColor="text1"/>
                <w:sz w:val="24"/>
                <w:lang w:bidi="ar"/>
                <w14:textFill>
                  <w14:solidFill>
                    <w14:schemeClr w14:val="tx1"/>
                  </w14:solidFill>
                </w14:textFill>
              </w:rPr>
              <w:t>dB(A)</w:t>
            </w:r>
            <w:r>
              <w:rPr>
                <w:rFonts w:hint="eastAsia" w:cs="宋体"/>
                <w:bCs/>
                <w:color w:val="000000" w:themeColor="text1"/>
                <w:sz w:val="24"/>
                <w:lang w:bidi="ar"/>
                <w14:textFill>
                  <w14:solidFill>
                    <w14:schemeClr w14:val="tx1"/>
                  </w14:solidFill>
                </w14:textFill>
              </w:rPr>
              <w:t>；</w:t>
            </w:r>
          </w:p>
          <w:p w14:paraId="31D4EC34">
            <w:pPr>
              <w:adjustRightInd w:val="0"/>
              <w:snapToGrid w:val="0"/>
              <w:spacing w:line="440" w:lineRule="exact"/>
              <w:ind w:firstLine="1200" w:firstLineChars="500"/>
              <w:rPr>
                <w:bCs/>
                <w:color w:val="000000" w:themeColor="text1"/>
                <w:sz w:val="24"/>
                <w14:textFill>
                  <w14:solidFill>
                    <w14:schemeClr w14:val="tx1"/>
                  </w14:solidFill>
                </w14:textFill>
              </w:rPr>
            </w:pPr>
            <w:r>
              <w:rPr>
                <w:bCs/>
                <w:i/>
                <w:color w:val="000000" w:themeColor="text1"/>
                <w:sz w:val="24"/>
                <w:lang w:bidi="ar"/>
                <w14:textFill>
                  <w14:solidFill>
                    <w14:schemeClr w14:val="tx1"/>
                  </w14:solidFill>
                </w14:textFill>
              </w:rPr>
              <w:t>L</w:t>
            </w:r>
            <w:r>
              <w:rPr>
                <w:bCs/>
                <w:i/>
                <w:color w:val="000000" w:themeColor="text1"/>
                <w:sz w:val="24"/>
                <w:vertAlign w:val="subscript"/>
                <w:lang w:bidi="ar"/>
                <w14:textFill>
                  <w14:solidFill>
                    <w14:schemeClr w14:val="tx1"/>
                  </w14:solidFill>
                </w14:textFill>
              </w:rPr>
              <w:t>A</w:t>
            </w:r>
            <w:r>
              <w:rPr>
                <w:bCs/>
                <w:color w:val="000000" w:themeColor="text1"/>
                <w:sz w:val="24"/>
                <w:lang w:bidi="ar"/>
                <w14:textFill>
                  <w14:solidFill>
                    <w14:schemeClr w14:val="tx1"/>
                  </w14:solidFill>
                </w14:textFill>
              </w:rPr>
              <w:t>—</w:t>
            </w:r>
            <w:r>
              <w:rPr>
                <w:rFonts w:hint="eastAsia" w:cs="宋体"/>
                <w:bCs/>
                <w:color w:val="000000" w:themeColor="text1"/>
                <w:sz w:val="24"/>
                <w:lang w:bidi="ar"/>
                <w14:textFill>
                  <w14:solidFill>
                    <w14:schemeClr w14:val="tx1"/>
                  </w14:solidFill>
                </w14:textFill>
              </w:rPr>
              <w:t>某机动车在距离</w:t>
            </w:r>
            <w:r>
              <w:rPr>
                <w:bCs/>
                <w:color w:val="000000" w:themeColor="text1"/>
                <w:sz w:val="24"/>
                <w:lang w:bidi="ar"/>
                <w14:textFill>
                  <w14:solidFill>
                    <w14:schemeClr w14:val="tx1"/>
                  </w14:solidFill>
                </w14:textFill>
              </w:rPr>
              <w:t>r</w:t>
            </w:r>
            <w:r>
              <w:rPr>
                <w:bCs/>
                <w:color w:val="000000" w:themeColor="text1"/>
                <w:sz w:val="24"/>
                <w:vertAlign w:val="subscript"/>
                <w:lang w:bidi="ar"/>
                <w14:textFill>
                  <w14:solidFill>
                    <w14:schemeClr w14:val="tx1"/>
                  </w14:solidFill>
                </w14:textFill>
              </w:rPr>
              <w:t>0</w:t>
            </w:r>
            <w:r>
              <w:rPr>
                <w:rFonts w:hint="eastAsia" w:cs="宋体"/>
                <w:bCs/>
                <w:color w:val="000000" w:themeColor="text1"/>
                <w:sz w:val="24"/>
                <w:lang w:bidi="ar"/>
                <w14:textFill>
                  <w14:solidFill>
                    <w14:schemeClr w14:val="tx1"/>
                  </w14:solidFill>
                </w14:textFill>
              </w:rPr>
              <w:t>，速度为</w:t>
            </w:r>
            <w:r>
              <w:rPr>
                <w:bCs/>
                <w:color w:val="000000" w:themeColor="text1"/>
                <w:sz w:val="24"/>
                <w:lang w:bidi="ar"/>
                <w14:textFill>
                  <w14:solidFill>
                    <w14:schemeClr w14:val="tx1"/>
                  </w14:solidFill>
                </w14:textFill>
              </w:rPr>
              <w:t>V</w:t>
            </w:r>
            <w:r>
              <w:rPr>
                <w:rFonts w:hint="eastAsia" w:cs="宋体"/>
                <w:bCs/>
                <w:color w:val="000000" w:themeColor="text1"/>
                <w:sz w:val="24"/>
                <w:lang w:bidi="ar"/>
                <w14:textFill>
                  <w14:solidFill>
                    <w14:schemeClr w14:val="tx1"/>
                  </w14:solidFill>
                </w14:textFill>
              </w:rPr>
              <w:t>时的</w:t>
            </w:r>
            <w:r>
              <w:rPr>
                <w:bCs/>
                <w:color w:val="000000" w:themeColor="text1"/>
                <w:sz w:val="24"/>
                <w:lang w:bidi="ar"/>
                <w14:textFill>
                  <w14:solidFill>
                    <w14:schemeClr w14:val="tx1"/>
                  </w14:solidFill>
                </w14:textFill>
              </w:rPr>
              <w:t>A</w:t>
            </w:r>
            <w:r>
              <w:rPr>
                <w:rFonts w:hint="eastAsia" w:cs="宋体"/>
                <w:bCs/>
                <w:color w:val="000000" w:themeColor="text1"/>
                <w:sz w:val="24"/>
                <w:lang w:bidi="ar"/>
                <w14:textFill>
                  <w14:solidFill>
                    <w14:schemeClr w14:val="tx1"/>
                  </w14:solidFill>
                </w14:textFill>
              </w:rPr>
              <w:t>声级，</w:t>
            </w:r>
            <w:r>
              <w:rPr>
                <w:bCs/>
                <w:color w:val="000000" w:themeColor="text1"/>
                <w:sz w:val="24"/>
                <w:lang w:bidi="ar"/>
                <w14:textFill>
                  <w14:solidFill>
                    <w14:schemeClr w14:val="tx1"/>
                  </w14:solidFill>
                </w14:textFill>
              </w:rPr>
              <w:t>dB(A)</w:t>
            </w:r>
            <w:r>
              <w:rPr>
                <w:rFonts w:hint="eastAsia" w:cs="宋体"/>
                <w:bCs/>
                <w:color w:val="000000" w:themeColor="text1"/>
                <w:sz w:val="24"/>
                <w:lang w:bidi="ar"/>
                <w14:textFill>
                  <w14:solidFill>
                    <w14:schemeClr w14:val="tx1"/>
                  </w14:solidFill>
                </w14:textFill>
              </w:rPr>
              <w:t>，参考水利水电工程取值，当测点距行车中心线</w:t>
            </w:r>
            <w:r>
              <w:rPr>
                <w:bCs/>
                <w:color w:val="000000" w:themeColor="text1"/>
                <w:sz w:val="24"/>
                <w:lang w:bidi="ar"/>
                <w14:textFill>
                  <w14:solidFill>
                    <w14:schemeClr w14:val="tx1"/>
                  </w14:solidFill>
                </w14:textFill>
              </w:rPr>
              <w:t>7.5m</w:t>
            </w:r>
            <w:r>
              <w:rPr>
                <w:rFonts w:hint="eastAsia" w:cs="宋体"/>
                <w:bCs/>
                <w:color w:val="000000" w:themeColor="text1"/>
                <w:sz w:val="24"/>
                <w:lang w:bidi="ar"/>
                <w14:textFill>
                  <w14:solidFill>
                    <w14:schemeClr w14:val="tx1"/>
                  </w14:solidFill>
                </w14:textFill>
              </w:rPr>
              <w:t>时，重型车</w:t>
            </w:r>
            <w:r>
              <w:rPr>
                <w:bCs/>
                <w:i/>
                <w:color w:val="000000" w:themeColor="text1"/>
                <w:sz w:val="24"/>
                <w:lang w:bidi="ar"/>
                <w14:textFill>
                  <w14:solidFill>
                    <w14:schemeClr w14:val="tx1"/>
                  </w14:solidFill>
                </w14:textFill>
              </w:rPr>
              <w:t>L</w:t>
            </w:r>
            <w:r>
              <w:rPr>
                <w:bCs/>
                <w:i/>
                <w:color w:val="000000" w:themeColor="text1"/>
                <w:sz w:val="24"/>
                <w:vertAlign w:val="subscript"/>
                <w:lang w:bidi="ar"/>
                <w14:textFill>
                  <w14:solidFill>
                    <w14:schemeClr w14:val="tx1"/>
                  </w14:solidFill>
                </w14:textFill>
              </w:rPr>
              <w:t>A</w:t>
            </w:r>
            <w:r>
              <w:rPr>
                <w:bCs/>
                <w:color w:val="000000" w:themeColor="text1"/>
                <w:sz w:val="24"/>
                <w:lang w:bidi="ar"/>
                <w14:textFill>
                  <w14:solidFill>
                    <w14:schemeClr w14:val="tx1"/>
                  </w14:solidFill>
                </w14:textFill>
              </w:rPr>
              <w:t xml:space="preserve"> =82dB(A)</w:t>
            </w:r>
            <w:r>
              <w:rPr>
                <w:rFonts w:hint="eastAsia" w:cs="宋体"/>
                <w:bCs/>
                <w:color w:val="000000" w:themeColor="text1"/>
                <w:sz w:val="24"/>
                <w:lang w:bidi="ar"/>
                <w14:textFill>
                  <w14:solidFill>
                    <w14:schemeClr w14:val="tx1"/>
                  </w14:solidFill>
                </w14:textFill>
              </w:rPr>
              <w:t>，轻型车</w:t>
            </w:r>
            <w:r>
              <w:rPr>
                <w:bCs/>
                <w:color w:val="000000" w:themeColor="text1"/>
                <w:sz w:val="24"/>
                <w:lang w:bidi="ar"/>
                <w14:textFill>
                  <w14:solidFill>
                    <w14:schemeClr w14:val="tx1"/>
                  </w14:solidFill>
                </w14:textFill>
              </w:rPr>
              <w:t xml:space="preserve"> </w:t>
            </w:r>
            <w:r>
              <w:rPr>
                <w:bCs/>
                <w:i/>
                <w:color w:val="000000" w:themeColor="text1"/>
                <w:sz w:val="24"/>
                <w:lang w:bidi="ar"/>
                <w14:textFill>
                  <w14:solidFill>
                    <w14:schemeClr w14:val="tx1"/>
                  </w14:solidFill>
                </w14:textFill>
              </w:rPr>
              <w:t>L</w:t>
            </w:r>
            <w:r>
              <w:rPr>
                <w:bCs/>
                <w:i/>
                <w:color w:val="000000" w:themeColor="text1"/>
                <w:sz w:val="24"/>
                <w:vertAlign w:val="subscript"/>
                <w:lang w:bidi="ar"/>
                <w14:textFill>
                  <w14:solidFill>
                    <w14:schemeClr w14:val="tx1"/>
                  </w14:solidFill>
                </w14:textFill>
              </w:rPr>
              <w:t>A</w:t>
            </w:r>
            <w:r>
              <w:rPr>
                <w:bCs/>
                <w:color w:val="000000" w:themeColor="text1"/>
                <w:sz w:val="24"/>
                <w:lang w:bidi="ar"/>
                <w14:textFill>
                  <w14:solidFill>
                    <w14:schemeClr w14:val="tx1"/>
                  </w14:solidFill>
                </w14:textFill>
              </w:rPr>
              <w:t xml:space="preserve"> =73dB(A)</w:t>
            </w:r>
            <w:r>
              <w:rPr>
                <w:rFonts w:hint="eastAsia" w:cs="宋体"/>
                <w:bCs/>
                <w:color w:val="000000" w:themeColor="text1"/>
                <w:sz w:val="24"/>
                <w:lang w:bidi="ar"/>
                <w14:textFill>
                  <w14:solidFill>
                    <w14:schemeClr w14:val="tx1"/>
                  </w14:solidFill>
                </w14:textFill>
              </w:rPr>
              <w:t>；</w:t>
            </w:r>
          </w:p>
          <w:p w14:paraId="2504DFC8">
            <w:pPr>
              <w:adjustRightInd w:val="0"/>
              <w:snapToGrid w:val="0"/>
              <w:spacing w:line="440" w:lineRule="exact"/>
              <w:ind w:firstLine="1200" w:firstLineChars="500"/>
              <w:rPr>
                <w:bCs/>
                <w:color w:val="000000" w:themeColor="text1"/>
                <w:sz w:val="24"/>
                <w14:textFill>
                  <w14:solidFill>
                    <w14:schemeClr w14:val="tx1"/>
                  </w14:solidFill>
                </w14:textFill>
              </w:rPr>
            </w:pPr>
            <w:r>
              <w:rPr>
                <w:bCs/>
                <w:color w:val="000000" w:themeColor="text1"/>
                <w:sz w:val="24"/>
                <w:lang w:bidi="ar"/>
                <w14:textFill>
                  <w14:solidFill>
                    <w14:schemeClr w14:val="tx1"/>
                  </w14:solidFill>
                </w14:textFill>
              </w:rPr>
              <w:t>N—</w:t>
            </w:r>
            <w:r>
              <w:rPr>
                <w:rFonts w:hint="eastAsia" w:cs="宋体"/>
                <w:bCs/>
                <w:color w:val="000000" w:themeColor="text1"/>
                <w:sz w:val="24"/>
                <w:lang w:bidi="ar"/>
                <w14:textFill>
                  <w14:solidFill>
                    <w14:schemeClr w14:val="tx1"/>
                  </w14:solidFill>
                </w14:textFill>
              </w:rPr>
              <w:t>车流量，辆</w:t>
            </w:r>
            <w:r>
              <w:rPr>
                <w:bCs/>
                <w:color w:val="000000" w:themeColor="text1"/>
                <w:sz w:val="24"/>
                <w:lang w:bidi="ar"/>
                <w14:textFill>
                  <w14:solidFill>
                    <w14:schemeClr w14:val="tx1"/>
                  </w14:solidFill>
                </w14:textFill>
              </w:rPr>
              <w:t>/h</w:t>
            </w:r>
            <w:r>
              <w:rPr>
                <w:rFonts w:hint="eastAsia" w:cs="宋体"/>
                <w:bCs/>
                <w:color w:val="000000" w:themeColor="text1"/>
                <w:sz w:val="24"/>
                <w:lang w:bidi="ar"/>
                <w14:textFill>
                  <w14:solidFill>
                    <w14:schemeClr w14:val="tx1"/>
                  </w14:solidFill>
                </w14:textFill>
              </w:rPr>
              <w:t>，根据施工强度取</w:t>
            </w:r>
            <w:r>
              <w:rPr>
                <w:bCs/>
                <w:color w:val="000000" w:themeColor="text1"/>
                <w:sz w:val="24"/>
                <w:lang w:bidi="ar"/>
                <w14:textFill>
                  <w14:solidFill>
                    <w14:schemeClr w14:val="tx1"/>
                  </w14:solidFill>
                </w14:textFill>
              </w:rPr>
              <w:t>4</w:t>
            </w:r>
            <w:r>
              <w:rPr>
                <w:rFonts w:hint="eastAsia" w:cs="宋体"/>
                <w:bCs/>
                <w:color w:val="000000" w:themeColor="text1"/>
                <w:sz w:val="24"/>
                <w:lang w:bidi="ar"/>
                <w14:textFill>
                  <w14:solidFill>
                    <w14:schemeClr w14:val="tx1"/>
                  </w14:solidFill>
                </w14:textFill>
              </w:rPr>
              <w:t>辆</w:t>
            </w:r>
            <w:r>
              <w:rPr>
                <w:bCs/>
                <w:color w:val="000000" w:themeColor="text1"/>
                <w:sz w:val="24"/>
                <w:lang w:bidi="ar"/>
                <w14:textFill>
                  <w14:solidFill>
                    <w14:schemeClr w14:val="tx1"/>
                  </w14:solidFill>
                </w14:textFill>
              </w:rPr>
              <w:t>/h</w:t>
            </w:r>
            <w:r>
              <w:rPr>
                <w:rFonts w:hint="eastAsia" w:cs="宋体"/>
                <w:bCs/>
                <w:color w:val="000000" w:themeColor="text1"/>
                <w:sz w:val="24"/>
                <w:lang w:bidi="ar"/>
                <w14:textFill>
                  <w14:solidFill>
                    <w14:schemeClr w14:val="tx1"/>
                  </w14:solidFill>
                </w14:textFill>
              </w:rPr>
              <w:t>；</w:t>
            </w:r>
          </w:p>
          <w:p w14:paraId="478F3C4A">
            <w:pPr>
              <w:adjustRightInd w:val="0"/>
              <w:snapToGrid w:val="0"/>
              <w:spacing w:line="440" w:lineRule="exact"/>
              <w:ind w:firstLine="1200" w:firstLineChars="500"/>
              <w:rPr>
                <w:bCs/>
                <w:color w:val="000000" w:themeColor="text1"/>
                <w:sz w:val="24"/>
                <w14:textFill>
                  <w14:solidFill>
                    <w14:schemeClr w14:val="tx1"/>
                  </w14:solidFill>
                </w14:textFill>
              </w:rPr>
            </w:pPr>
            <w:r>
              <w:rPr>
                <w:bCs/>
                <w:color w:val="000000" w:themeColor="text1"/>
                <w:sz w:val="24"/>
                <w:lang w:bidi="ar"/>
                <w14:textFill>
                  <w14:solidFill>
                    <w14:schemeClr w14:val="tx1"/>
                  </w14:solidFill>
                </w14:textFill>
              </w:rPr>
              <w:t>V—</w:t>
            </w:r>
            <w:r>
              <w:rPr>
                <w:rFonts w:hint="eastAsia" w:cs="宋体"/>
                <w:bCs/>
                <w:color w:val="000000" w:themeColor="text1"/>
                <w:sz w:val="24"/>
                <w:lang w:bidi="ar"/>
                <w14:textFill>
                  <w14:solidFill>
                    <w14:schemeClr w14:val="tx1"/>
                  </w14:solidFill>
                </w14:textFill>
              </w:rPr>
              <w:t>车速，</w:t>
            </w:r>
            <w:r>
              <w:rPr>
                <w:bCs/>
                <w:color w:val="000000" w:themeColor="text1"/>
                <w:sz w:val="24"/>
                <w:lang w:bidi="ar"/>
                <w14:textFill>
                  <w14:solidFill>
                    <w14:schemeClr w14:val="tx1"/>
                  </w14:solidFill>
                </w14:textFill>
              </w:rPr>
              <w:t>m/h</w:t>
            </w:r>
            <w:r>
              <w:rPr>
                <w:rFonts w:hint="eastAsia" w:cs="宋体"/>
                <w:bCs/>
                <w:color w:val="000000" w:themeColor="text1"/>
                <w:sz w:val="24"/>
                <w:lang w:bidi="ar"/>
                <w14:textFill>
                  <w14:solidFill>
                    <w14:schemeClr w14:val="tx1"/>
                  </w14:solidFill>
                </w14:textFill>
              </w:rPr>
              <w:t>，根据当地路况取</w:t>
            </w:r>
            <w:r>
              <w:rPr>
                <w:bCs/>
                <w:color w:val="000000" w:themeColor="text1"/>
                <w:sz w:val="24"/>
                <w:lang w:bidi="ar"/>
                <w14:textFill>
                  <w14:solidFill>
                    <w14:schemeClr w14:val="tx1"/>
                  </w14:solidFill>
                </w14:textFill>
              </w:rPr>
              <w:t>20km/h</w:t>
            </w:r>
            <w:r>
              <w:rPr>
                <w:rFonts w:hint="eastAsia" w:cs="宋体"/>
                <w:bCs/>
                <w:color w:val="000000" w:themeColor="text1"/>
                <w:sz w:val="24"/>
                <w:lang w:bidi="ar"/>
                <w14:textFill>
                  <w14:solidFill>
                    <w14:schemeClr w14:val="tx1"/>
                  </w14:solidFill>
                </w14:textFill>
              </w:rPr>
              <w:t>；</w:t>
            </w:r>
          </w:p>
          <w:p w14:paraId="5DBDB692">
            <w:pPr>
              <w:adjustRightInd w:val="0"/>
              <w:snapToGrid w:val="0"/>
              <w:spacing w:line="440" w:lineRule="exact"/>
              <w:ind w:firstLine="1200" w:firstLineChars="500"/>
              <w:rPr>
                <w:bCs/>
                <w:color w:val="000000" w:themeColor="text1"/>
                <w:sz w:val="24"/>
                <w14:textFill>
                  <w14:solidFill>
                    <w14:schemeClr w14:val="tx1"/>
                  </w14:solidFill>
                </w14:textFill>
              </w:rPr>
            </w:pPr>
            <w:r>
              <w:rPr>
                <w:bCs/>
                <w:color w:val="000000" w:themeColor="text1"/>
                <w:sz w:val="24"/>
                <w:lang w:bidi="ar"/>
                <w14:textFill>
                  <w14:solidFill>
                    <w14:schemeClr w14:val="tx1"/>
                  </w14:solidFill>
                </w14:textFill>
              </w:rPr>
              <w:t>r—</w:t>
            </w:r>
            <w:r>
              <w:rPr>
                <w:rFonts w:hint="eastAsia" w:cs="宋体"/>
                <w:bCs/>
                <w:color w:val="000000" w:themeColor="text1"/>
                <w:sz w:val="24"/>
                <w:lang w:bidi="ar"/>
                <w14:textFill>
                  <w14:solidFill>
                    <w14:schemeClr w14:val="tx1"/>
                  </w14:solidFill>
                </w14:textFill>
              </w:rPr>
              <w:t>测点与机动车行驶中心的距离，</w:t>
            </w:r>
            <w:r>
              <w:rPr>
                <w:bCs/>
                <w:color w:val="000000" w:themeColor="text1"/>
                <w:sz w:val="24"/>
                <w:lang w:bidi="ar"/>
                <w14:textFill>
                  <w14:solidFill>
                    <w14:schemeClr w14:val="tx1"/>
                  </w14:solidFill>
                </w14:textFill>
              </w:rPr>
              <w:t>m</w:t>
            </w:r>
            <w:r>
              <w:rPr>
                <w:rFonts w:hint="eastAsia" w:cs="宋体"/>
                <w:bCs/>
                <w:color w:val="000000" w:themeColor="text1"/>
                <w:sz w:val="24"/>
                <w:lang w:bidi="ar"/>
                <w14:textFill>
                  <w14:solidFill>
                    <w14:schemeClr w14:val="tx1"/>
                  </w14:solidFill>
                </w14:textFill>
              </w:rPr>
              <w:t>。</w:t>
            </w:r>
          </w:p>
          <w:p w14:paraId="2FCD29A3">
            <w:pPr>
              <w:adjustRightInd w:val="0"/>
              <w:snapToGrid w:val="0"/>
              <w:spacing w:line="440" w:lineRule="exact"/>
              <w:ind w:firstLine="480" w:firstLineChars="200"/>
              <w:rPr>
                <w:bCs/>
                <w:color w:val="000000" w:themeColor="text1"/>
                <w:sz w:val="24"/>
                <w14:textFill>
                  <w14:solidFill>
                    <w14:schemeClr w14:val="tx1"/>
                  </w14:solidFill>
                </w14:textFill>
              </w:rPr>
            </w:pPr>
            <w:r>
              <w:rPr>
                <w:rFonts w:hint="eastAsia" w:cs="宋体"/>
                <w:bCs/>
                <w:color w:val="000000" w:themeColor="text1"/>
                <w:sz w:val="24"/>
                <w:lang w:bidi="ar"/>
                <w14:textFill>
                  <w14:solidFill>
                    <w14:schemeClr w14:val="tx1"/>
                  </w14:solidFill>
                </w14:textFill>
              </w:rPr>
              <w:t>假设车流集中道路中心线，则</w:t>
            </w:r>
            <w:r>
              <w:rPr>
                <w:bCs/>
                <w:color w:val="000000" w:themeColor="text1"/>
                <w:sz w:val="24"/>
                <w:lang w:bidi="ar"/>
                <w14:textFill>
                  <w14:solidFill>
                    <w14:schemeClr w14:val="tx1"/>
                  </w14:solidFill>
                </w14:textFill>
              </w:rPr>
              <w:t>r</w:t>
            </w:r>
            <w:r>
              <w:rPr>
                <w:rFonts w:hint="eastAsia" w:cs="宋体"/>
                <w:bCs/>
                <w:color w:val="000000" w:themeColor="text1"/>
                <w:sz w:val="24"/>
                <w:lang w:bidi="ar"/>
                <w14:textFill>
                  <w14:solidFill>
                    <w14:schemeClr w14:val="tx1"/>
                  </w14:solidFill>
                </w14:textFill>
              </w:rPr>
              <w:t>应为道路中心线与居民点的最近距离，上述公式可简化为：</w:t>
            </w:r>
          </w:p>
          <w:p w14:paraId="4510386A">
            <w:pPr>
              <w:adjustRightInd w:val="0"/>
              <w:snapToGrid w:val="0"/>
              <w:spacing w:line="440" w:lineRule="exact"/>
              <w:ind w:firstLine="480"/>
              <w:jc w:val="center"/>
              <w:rPr>
                <w:bCs/>
                <w:i/>
                <w:color w:val="000000" w:themeColor="text1"/>
                <w:sz w:val="24"/>
                <w14:textFill>
                  <w14:solidFill>
                    <w14:schemeClr w14:val="tx1"/>
                  </w14:solidFill>
                </w14:textFill>
              </w:rPr>
            </w:pPr>
            <w:r>
              <w:rPr>
                <w:bCs/>
                <w:i/>
                <w:color w:val="000000" w:themeColor="text1"/>
                <w:sz w:val="24"/>
                <w:lang w:bidi="ar"/>
                <w14:textFill>
                  <w14:solidFill>
                    <w14:schemeClr w14:val="tx1"/>
                  </w14:solidFill>
                </w14:textFill>
              </w:rPr>
              <w:t>L</w:t>
            </w:r>
            <w:r>
              <w:rPr>
                <w:bCs/>
                <w:i/>
                <w:color w:val="000000" w:themeColor="text1"/>
                <w:sz w:val="24"/>
                <w:vertAlign w:val="subscript"/>
                <w:lang w:bidi="ar"/>
                <w14:textFill>
                  <w14:solidFill>
                    <w14:schemeClr w14:val="tx1"/>
                  </w14:solidFill>
                </w14:textFill>
              </w:rPr>
              <w:t>eq</w:t>
            </w:r>
            <w:r>
              <w:rPr>
                <w:rFonts w:hint="eastAsia" w:cs="宋体"/>
                <w:bCs/>
                <w:i/>
                <w:color w:val="000000" w:themeColor="text1"/>
                <w:sz w:val="24"/>
                <w:vertAlign w:val="subscript"/>
                <w:lang w:bidi="ar"/>
                <w14:textFill>
                  <w14:solidFill>
                    <w14:schemeClr w14:val="tx1"/>
                  </w14:solidFill>
                </w14:textFill>
              </w:rPr>
              <w:t>（重）</w:t>
            </w:r>
            <w:r>
              <w:rPr>
                <w:bCs/>
                <w:i/>
                <w:color w:val="000000" w:themeColor="text1"/>
                <w:sz w:val="24"/>
                <w:lang w:bidi="ar"/>
                <w14:textFill>
                  <w14:solidFill>
                    <w14:schemeClr w14:val="tx1"/>
                  </w14:solidFill>
                </w14:textFill>
              </w:rPr>
              <w:t>=61+10lgN-10lgr</w:t>
            </w:r>
          </w:p>
          <w:p w14:paraId="6CE4E8C4">
            <w:pPr>
              <w:adjustRightInd w:val="0"/>
              <w:snapToGrid w:val="0"/>
              <w:spacing w:line="440" w:lineRule="exact"/>
              <w:ind w:firstLine="480"/>
              <w:jc w:val="center"/>
              <w:rPr>
                <w:bCs/>
                <w:i/>
                <w:color w:val="000000" w:themeColor="text1"/>
                <w:sz w:val="24"/>
                <w14:textFill>
                  <w14:solidFill>
                    <w14:schemeClr w14:val="tx1"/>
                  </w14:solidFill>
                </w14:textFill>
              </w:rPr>
            </w:pPr>
            <w:r>
              <w:rPr>
                <w:bCs/>
                <w:i/>
                <w:color w:val="000000" w:themeColor="text1"/>
                <w:sz w:val="24"/>
                <w:lang w:bidi="ar"/>
                <w14:textFill>
                  <w14:solidFill>
                    <w14:schemeClr w14:val="tx1"/>
                  </w14:solidFill>
                </w14:textFill>
              </w:rPr>
              <w:t>L</w:t>
            </w:r>
            <w:r>
              <w:rPr>
                <w:bCs/>
                <w:i/>
                <w:color w:val="000000" w:themeColor="text1"/>
                <w:sz w:val="24"/>
                <w:vertAlign w:val="subscript"/>
                <w:lang w:bidi="ar"/>
                <w14:textFill>
                  <w14:solidFill>
                    <w14:schemeClr w14:val="tx1"/>
                  </w14:solidFill>
                </w14:textFill>
              </w:rPr>
              <w:t>eq</w:t>
            </w:r>
            <w:r>
              <w:rPr>
                <w:rFonts w:hint="eastAsia" w:cs="宋体"/>
                <w:bCs/>
                <w:i/>
                <w:color w:val="000000" w:themeColor="text1"/>
                <w:sz w:val="24"/>
                <w:vertAlign w:val="subscript"/>
                <w:lang w:bidi="ar"/>
                <w14:textFill>
                  <w14:solidFill>
                    <w14:schemeClr w14:val="tx1"/>
                  </w14:solidFill>
                </w14:textFill>
              </w:rPr>
              <w:t>（轻）</w:t>
            </w:r>
            <w:r>
              <w:rPr>
                <w:bCs/>
                <w:i/>
                <w:color w:val="000000" w:themeColor="text1"/>
                <w:sz w:val="24"/>
                <w:lang w:bidi="ar"/>
                <w14:textFill>
                  <w14:solidFill>
                    <w14:schemeClr w14:val="tx1"/>
                  </w14:solidFill>
                </w14:textFill>
              </w:rPr>
              <w:t>=51+10lgN-10lgr</w:t>
            </w:r>
          </w:p>
          <w:p w14:paraId="13C5A109">
            <w:pPr>
              <w:adjustRightInd w:val="0"/>
              <w:snapToGrid w:val="0"/>
              <w:spacing w:line="440" w:lineRule="exact"/>
              <w:ind w:firstLine="480" w:firstLineChars="200"/>
              <w:rPr>
                <w:bCs/>
                <w:color w:val="000000" w:themeColor="text1"/>
                <w:sz w:val="24"/>
                <w14:textFill>
                  <w14:solidFill>
                    <w14:schemeClr w14:val="tx1"/>
                  </w14:solidFill>
                </w14:textFill>
              </w:rPr>
            </w:pPr>
            <w:r>
              <w:rPr>
                <w:rFonts w:hint="eastAsia" w:cs="宋体"/>
                <w:bCs/>
                <w:color w:val="000000" w:themeColor="text1"/>
                <w:sz w:val="24"/>
                <w:lang w:bidi="ar"/>
                <w14:textFill>
                  <w14:solidFill>
                    <w14:schemeClr w14:val="tx1"/>
                  </w14:solidFill>
                </w14:textFill>
              </w:rPr>
              <w:t>根据上述预测公式，预测运输噪声对沿线敏感点的影响程度和影响范围，预测结果见表</w:t>
            </w:r>
            <w:r>
              <w:rPr>
                <w:bCs/>
                <w:color w:val="000000" w:themeColor="text1"/>
                <w:sz w:val="24"/>
                <w:lang w:bidi="ar"/>
                <w14:textFill>
                  <w14:solidFill>
                    <w14:schemeClr w14:val="tx1"/>
                  </w14:solidFill>
                </w14:textFill>
              </w:rPr>
              <w:t>4-</w:t>
            </w:r>
            <w:r>
              <w:rPr>
                <w:rFonts w:hint="eastAsia"/>
                <w:bCs/>
                <w:color w:val="000000" w:themeColor="text1"/>
                <w:sz w:val="24"/>
                <w:lang w:bidi="ar"/>
                <w14:textFill>
                  <w14:solidFill>
                    <w14:schemeClr w14:val="tx1"/>
                  </w14:solidFill>
                </w14:textFill>
              </w:rPr>
              <w:t>9</w:t>
            </w:r>
            <w:r>
              <w:rPr>
                <w:rFonts w:hint="eastAsia" w:cs="宋体"/>
                <w:bCs/>
                <w:color w:val="000000" w:themeColor="text1"/>
                <w:sz w:val="24"/>
                <w:lang w:bidi="ar"/>
                <w14:textFill>
                  <w14:solidFill>
                    <w14:schemeClr w14:val="tx1"/>
                  </w14:solidFill>
                </w14:textFill>
              </w:rPr>
              <w:t>。</w:t>
            </w:r>
          </w:p>
          <w:p w14:paraId="043DC03F">
            <w:pPr>
              <w:adjustRightInd w:val="0"/>
              <w:snapToGrid w:val="0"/>
              <w:spacing w:line="440" w:lineRule="exact"/>
              <w:jc w:val="center"/>
              <w:rPr>
                <w:b/>
                <w:bCs/>
                <w:color w:val="000000" w:themeColor="text1"/>
                <w:sz w:val="24"/>
                <w14:textFill>
                  <w14:solidFill>
                    <w14:schemeClr w14:val="tx1"/>
                  </w14:solidFill>
                </w14:textFill>
              </w:rPr>
            </w:pPr>
            <w:r>
              <w:rPr>
                <w:rFonts w:hint="eastAsia" w:cs="宋体"/>
                <w:b/>
                <w:bCs/>
                <w:color w:val="000000" w:themeColor="text1"/>
                <w:sz w:val="24"/>
                <w:lang w:bidi="ar"/>
                <w14:textFill>
                  <w14:solidFill>
                    <w14:schemeClr w14:val="tx1"/>
                  </w14:solidFill>
                </w14:textFill>
              </w:rPr>
              <w:t>表</w:t>
            </w:r>
            <w:r>
              <w:rPr>
                <w:b/>
                <w:bCs/>
                <w:color w:val="000000" w:themeColor="text1"/>
                <w:sz w:val="24"/>
                <w:lang w:bidi="ar"/>
                <w14:textFill>
                  <w14:solidFill>
                    <w14:schemeClr w14:val="tx1"/>
                  </w14:solidFill>
                </w14:textFill>
              </w:rPr>
              <w:t>4-</w:t>
            </w:r>
            <w:r>
              <w:rPr>
                <w:rFonts w:hint="eastAsia"/>
                <w:b/>
                <w:bCs/>
                <w:color w:val="000000" w:themeColor="text1"/>
                <w:sz w:val="24"/>
                <w:lang w:bidi="ar"/>
                <w14:textFill>
                  <w14:solidFill>
                    <w14:schemeClr w14:val="tx1"/>
                  </w14:solidFill>
                </w14:textFill>
              </w:rPr>
              <w:t xml:space="preserve">9    </w:t>
            </w:r>
            <w:r>
              <w:rPr>
                <w:rFonts w:hint="eastAsia" w:cs="宋体"/>
                <w:b/>
                <w:bCs/>
                <w:color w:val="000000" w:themeColor="text1"/>
                <w:sz w:val="24"/>
                <w:lang w:bidi="ar"/>
                <w14:textFill>
                  <w14:solidFill>
                    <w14:schemeClr w14:val="tx1"/>
                  </w14:solidFill>
                </w14:textFill>
              </w:rPr>
              <w:t>运输噪声影响程度和范围预测结果一览表</w:t>
            </w:r>
            <w:r>
              <w:rPr>
                <w:b/>
                <w:bCs/>
                <w:color w:val="000000" w:themeColor="text1"/>
                <w:sz w:val="24"/>
                <w:lang w:bidi="ar"/>
                <w14:textFill>
                  <w14:solidFill>
                    <w14:schemeClr w14:val="tx1"/>
                  </w14:solidFill>
                </w14:textFill>
              </w:rPr>
              <w:t xml:space="preserve">   </w:t>
            </w:r>
            <w:r>
              <w:rPr>
                <w:rFonts w:hint="eastAsia" w:cs="宋体"/>
                <w:b/>
                <w:bCs/>
                <w:color w:val="000000" w:themeColor="text1"/>
                <w:sz w:val="24"/>
                <w:lang w:bidi="ar"/>
                <w14:textFill>
                  <w14:solidFill>
                    <w14:schemeClr w14:val="tx1"/>
                  </w14:solidFill>
                </w14:textFill>
              </w:rPr>
              <w:t>单位</w:t>
            </w:r>
            <w:r>
              <w:rPr>
                <w:b/>
                <w:bCs/>
                <w:color w:val="000000" w:themeColor="text1"/>
                <w:sz w:val="24"/>
                <w:lang w:bidi="ar"/>
                <w14:textFill>
                  <w14:solidFill>
                    <w14:schemeClr w14:val="tx1"/>
                  </w14:solidFill>
                </w14:textFill>
              </w:rPr>
              <w:t>dB(A)</w:t>
            </w:r>
          </w:p>
          <w:tbl>
            <w:tblPr>
              <w:tblStyle w:val="6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9"/>
              <w:gridCol w:w="624"/>
              <w:gridCol w:w="626"/>
              <w:gridCol w:w="626"/>
              <w:gridCol w:w="628"/>
              <w:gridCol w:w="648"/>
              <w:gridCol w:w="517"/>
              <w:gridCol w:w="671"/>
              <w:gridCol w:w="608"/>
              <w:gridCol w:w="593"/>
              <w:gridCol w:w="568"/>
              <w:gridCol w:w="621"/>
              <w:gridCol w:w="661"/>
            </w:tblGrid>
            <w:tr w14:paraId="19B4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7" w:type="pct"/>
                  <w:vMerge w:val="restart"/>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14:paraId="2E12024E">
                  <w:pPr>
                    <w:spacing w:line="360" w:lineRule="atLeas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声级值</w:t>
                  </w:r>
                </w:p>
                <w:p w14:paraId="028A1CD1">
                  <w:pPr>
                    <w:spacing w:line="360" w:lineRule="atLeas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车辆</w:t>
                  </w:r>
                </w:p>
              </w:tc>
              <w:tc>
                <w:tcPr>
                  <w:tcW w:w="4462" w:type="pct"/>
                  <w:gridSpan w:val="12"/>
                  <w:tcBorders>
                    <w:top w:val="single" w:color="auto" w:sz="4" w:space="0"/>
                    <w:left w:val="single" w:color="auto" w:sz="4" w:space="0"/>
                    <w:bottom w:val="single" w:color="auto" w:sz="4" w:space="0"/>
                    <w:right w:val="single" w:color="auto" w:sz="4" w:space="0"/>
                  </w:tcBorders>
                  <w:shd w:val="clear" w:color="auto" w:fill="auto"/>
                  <w:vAlign w:val="center"/>
                </w:tcPr>
                <w:p w14:paraId="5DD9C460">
                  <w:pPr>
                    <w:spacing w:line="360" w:lineRule="atLeas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距噪声源距离（</w:t>
                  </w:r>
                  <w:r>
                    <w:rPr>
                      <w:rFonts w:cs="宋体"/>
                      <w:color w:val="000000" w:themeColor="text1"/>
                      <w:szCs w:val="21"/>
                      <w:lang w:bidi="ar"/>
                      <w14:textFill>
                        <w14:solidFill>
                          <w14:schemeClr w14:val="tx1"/>
                        </w14:solidFill>
                      </w14:textFill>
                    </w:rPr>
                    <w:t>m</w:t>
                  </w:r>
                  <w:r>
                    <w:rPr>
                      <w:rFonts w:hint="eastAsia" w:cs="宋体"/>
                      <w:color w:val="000000" w:themeColor="text1"/>
                      <w:szCs w:val="21"/>
                      <w:lang w:bidi="ar"/>
                      <w14:textFill>
                        <w14:solidFill>
                          <w14:schemeClr w14:val="tx1"/>
                        </w14:solidFill>
                      </w14:textFill>
                    </w:rPr>
                    <w:t>）</w:t>
                  </w:r>
                </w:p>
              </w:tc>
            </w:tr>
            <w:tr w14:paraId="748F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7" w:type="pct"/>
                  <w:vMerge w:val="continue"/>
                  <w:tcBorders>
                    <w:top w:val="single" w:color="auto" w:sz="4" w:space="0"/>
                    <w:left w:val="single" w:color="auto" w:sz="4" w:space="0"/>
                    <w:bottom w:val="single" w:color="auto" w:sz="4" w:space="0"/>
                    <w:right w:val="single" w:color="auto" w:sz="4" w:space="0"/>
                    <w:tl2br w:val="single" w:color="auto" w:sz="4" w:space="0"/>
                  </w:tcBorders>
                  <w:shd w:val="clear" w:color="auto" w:fill="auto"/>
                  <w:vAlign w:val="center"/>
                </w:tcPr>
                <w:p w14:paraId="5AE4A42B">
                  <w:pPr>
                    <w:spacing w:line="360" w:lineRule="atLeast"/>
                    <w:jc w:val="center"/>
                    <w:rPr>
                      <w:rFonts w:cs="宋体"/>
                      <w:color w:val="000000" w:themeColor="text1"/>
                      <w:szCs w:val="21"/>
                      <w:lang w:bidi="ar"/>
                      <w14:textFill>
                        <w14:solidFill>
                          <w14:schemeClr w14:val="tx1"/>
                        </w14:solidFill>
                      </w14:textFill>
                    </w:rPr>
                  </w:pP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220DCF10">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5</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5F9F105D">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10</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3CF51415">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15</w:t>
                  </w: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2F08B38E">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20</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3AAF7644">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30</w:t>
                  </w:r>
                </w:p>
              </w:tc>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14:paraId="75B2A372">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40</w:t>
                  </w:r>
                </w:p>
              </w:tc>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2633AB0D">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50</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2DED0B22">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80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73A99761">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100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090395AC">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150</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779EA6E2">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200</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1AFC0491">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300</w:t>
                  </w:r>
                </w:p>
              </w:tc>
            </w:tr>
            <w:tr w14:paraId="5910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14:paraId="1BB519C8">
                  <w:pPr>
                    <w:spacing w:line="360" w:lineRule="atLeas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重型车</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7DEBCB71">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61.0</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52593533">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58.0</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1533D5ED">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56.2</w:t>
                  </w: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162163F">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55.0</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9F9D724">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53.2</w:t>
                  </w:r>
                </w:p>
              </w:tc>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14:paraId="67369A91">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52.0</w:t>
                  </w:r>
                </w:p>
              </w:tc>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40652AF4">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51.0</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3AD760F1">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49.0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591D0D50">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48.0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69089320">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46.2</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632A46F">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45.0</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3517F7DB">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43.2</w:t>
                  </w:r>
                </w:p>
              </w:tc>
            </w:tr>
            <w:tr w14:paraId="00BB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7" w:type="pct"/>
                  <w:tcBorders>
                    <w:top w:val="single" w:color="auto" w:sz="4" w:space="0"/>
                    <w:left w:val="single" w:color="auto" w:sz="4" w:space="0"/>
                    <w:bottom w:val="single" w:color="auto" w:sz="4" w:space="0"/>
                    <w:right w:val="single" w:color="auto" w:sz="4" w:space="0"/>
                  </w:tcBorders>
                  <w:shd w:val="clear" w:color="auto" w:fill="auto"/>
                  <w:vAlign w:val="center"/>
                </w:tcPr>
                <w:p w14:paraId="43FC3CE6">
                  <w:pPr>
                    <w:spacing w:line="360" w:lineRule="atLeast"/>
                    <w:jc w:val="center"/>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轻型车</w:t>
                  </w:r>
                </w:p>
              </w:tc>
              <w:tc>
                <w:tcPr>
                  <w:tcW w:w="377" w:type="pct"/>
                  <w:tcBorders>
                    <w:top w:val="single" w:color="auto" w:sz="4" w:space="0"/>
                    <w:left w:val="single" w:color="auto" w:sz="4" w:space="0"/>
                    <w:bottom w:val="single" w:color="auto" w:sz="4" w:space="0"/>
                    <w:right w:val="single" w:color="auto" w:sz="4" w:space="0"/>
                  </w:tcBorders>
                  <w:shd w:val="clear" w:color="auto" w:fill="auto"/>
                  <w:vAlign w:val="center"/>
                </w:tcPr>
                <w:p w14:paraId="5957C69F">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51.0</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26A5B0E9">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48.0</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6F3DC64C">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46.2</w:t>
                  </w:r>
                </w:p>
              </w:tc>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38803C20">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45.0</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1A9DD9CC">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43.2</w:t>
                  </w:r>
                </w:p>
              </w:tc>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14:paraId="68B3F02E">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42.0</w:t>
                  </w:r>
                </w:p>
              </w:tc>
              <w:tc>
                <w:tcPr>
                  <w:tcW w:w="405" w:type="pct"/>
                  <w:tcBorders>
                    <w:top w:val="single" w:color="auto" w:sz="4" w:space="0"/>
                    <w:left w:val="single" w:color="auto" w:sz="4" w:space="0"/>
                    <w:bottom w:val="single" w:color="auto" w:sz="4" w:space="0"/>
                    <w:right w:val="single" w:color="auto" w:sz="4" w:space="0"/>
                  </w:tcBorders>
                  <w:shd w:val="clear" w:color="auto" w:fill="auto"/>
                  <w:vAlign w:val="center"/>
                </w:tcPr>
                <w:p w14:paraId="73BD4E45">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41.0</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14:paraId="15360877">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39.0</w:t>
                  </w: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14:paraId="640C4816">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38.0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1F04682D">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36.2</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FF5D088">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35.0</w:t>
                  </w:r>
                </w:p>
              </w:tc>
              <w:tc>
                <w:tcPr>
                  <w:tcW w:w="393" w:type="pct"/>
                  <w:tcBorders>
                    <w:top w:val="single" w:color="auto" w:sz="4" w:space="0"/>
                    <w:left w:val="single" w:color="auto" w:sz="4" w:space="0"/>
                    <w:bottom w:val="single" w:color="auto" w:sz="4" w:space="0"/>
                    <w:right w:val="single" w:color="auto" w:sz="4" w:space="0"/>
                  </w:tcBorders>
                  <w:shd w:val="clear" w:color="auto" w:fill="auto"/>
                  <w:vAlign w:val="center"/>
                </w:tcPr>
                <w:p w14:paraId="74524B22">
                  <w:pPr>
                    <w:spacing w:line="360" w:lineRule="atLeast"/>
                    <w:jc w:val="center"/>
                    <w:rPr>
                      <w:rFonts w:cs="宋体"/>
                      <w:color w:val="000000" w:themeColor="text1"/>
                      <w:szCs w:val="21"/>
                      <w:lang w:bidi="ar"/>
                      <w14:textFill>
                        <w14:solidFill>
                          <w14:schemeClr w14:val="tx1"/>
                        </w14:solidFill>
                      </w14:textFill>
                    </w:rPr>
                  </w:pPr>
                  <w:r>
                    <w:rPr>
                      <w:rFonts w:cs="宋体"/>
                      <w:color w:val="000000" w:themeColor="text1"/>
                      <w:szCs w:val="21"/>
                      <w:lang w:bidi="ar"/>
                      <w14:textFill>
                        <w14:solidFill>
                          <w14:schemeClr w14:val="tx1"/>
                        </w14:solidFill>
                      </w14:textFill>
                    </w:rPr>
                    <w:t>33.2</w:t>
                  </w:r>
                </w:p>
              </w:tc>
            </w:tr>
          </w:tbl>
          <w:p w14:paraId="2BA32CB3">
            <w:pPr>
              <w:adjustRightInd w:val="0"/>
              <w:snapToGrid w:val="0"/>
              <w:spacing w:line="440" w:lineRule="exact"/>
              <w:ind w:firstLine="480" w:firstLineChars="200"/>
              <w:rPr>
                <w:bCs/>
                <w:color w:val="000000" w:themeColor="text1"/>
                <w:sz w:val="24"/>
                <w:highlight w:val="yellow"/>
                <w14:textFill>
                  <w14:solidFill>
                    <w14:schemeClr w14:val="tx1"/>
                  </w14:solidFill>
                </w14:textFill>
              </w:rPr>
            </w:pPr>
            <w:r>
              <w:rPr>
                <w:rFonts w:hint="eastAsia" w:cs="宋体"/>
                <w:bCs/>
                <w:color w:val="000000" w:themeColor="text1"/>
                <w:sz w:val="24"/>
                <w:lang w:bidi="ar"/>
                <w14:textFill>
                  <w14:solidFill>
                    <w14:schemeClr w14:val="tx1"/>
                  </w14:solidFill>
                </w14:textFill>
              </w:rPr>
              <w:t>由预测结果可知，昼间运输车辆在约</w:t>
            </w:r>
            <w:r>
              <w:rPr>
                <w:bCs/>
                <w:color w:val="000000" w:themeColor="text1"/>
                <w:sz w:val="24"/>
                <w:lang w:bidi="ar"/>
                <w14:textFill>
                  <w14:solidFill>
                    <w14:schemeClr w14:val="tx1"/>
                  </w14:solidFill>
                </w14:textFill>
              </w:rPr>
              <w:t>20m</w:t>
            </w:r>
            <w:r>
              <w:rPr>
                <w:rFonts w:hint="eastAsia" w:cs="宋体"/>
                <w:bCs/>
                <w:color w:val="000000" w:themeColor="text1"/>
                <w:sz w:val="24"/>
                <w:lang w:bidi="ar"/>
                <w14:textFill>
                  <w14:solidFill>
                    <w14:schemeClr w14:val="tx1"/>
                  </w14:solidFill>
                </w14:textFill>
              </w:rPr>
              <w:t>外的噪声值可低于《声环境质量标准》（</w:t>
            </w:r>
            <w:r>
              <w:rPr>
                <w:bCs/>
                <w:color w:val="000000" w:themeColor="text1"/>
                <w:sz w:val="24"/>
                <w:lang w:bidi="ar"/>
                <w14:textFill>
                  <w14:solidFill>
                    <w14:schemeClr w14:val="tx1"/>
                  </w14:solidFill>
                </w14:textFill>
              </w:rPr>
              <w:t>GB3096-2008</w:t>
            </w:r>
            <w:r>
              <w:rPr>
                <w:rFonts w:hint="eastAsia" w:cs="宋体"/>
                <w:bCs/>
                <w:color w:val="000000" w:themeColor="text1"/>
                <w:sz w:val="24"/>
                <w:lang w:bidi="ar"/>
                <w14:textFill>
                  <w14:solidFill>
                    <w14:schemeClr w14:val="tx1"/>
                  </w14:solidFill>
                </w14:textFill>
              </w:rPr>
              <w:t>）</w:t>
            </w:r>
            <w:r>
              <w:rPr>
                <w:bCs/>
                <w:color w:val="000000" w:themeColor="text1"/>
                <w:sz w:val="24"/>
                <w:lang w:bidi="ar"/>
                <w14:textFill>
                  <w14:solidFill>
                    <w14:schemeClr w14:val="tx1"/>
                  </w14:solidFill>
                </w14:textFill>
              </w:rPr>
              <w:t>1</w:t>
            </w:r>
            <w:r>
              <w:rPr>
                <w:rFonts w:hint="eastAsia" w:cs="宋体"/>
                <w:bCs/>
                <w:color w:val="000000" w:themeColor="text1"/>
                <w:sz w:val="24"/>
                <w:lang w:bidi="ar"/>
                <w14:textFill>
                  <w14:solidFill>
                    <w14:schemeClr w14:val="tx1"/>
                  </w14:solidFill>
                </w14:textFill>
              </w:rPr>
              <w:t>类标准限值</w:t>
            </w:r>
            <w:r>
              <w:rPr>
                <w:bCs/>
                <w:color w:val="000000" w:themeColor="text1"/>
                <w:sz w:val="24"/>
                <w:lang w:bidi="ar"/>
                <w14:textFill>
                  <w14:solidFill>
                    <w14:schemeClr w14:val="tx1"/>
                  </w14:solidFill>
                </w14:textFill>
              </w:rPr>
              <w:t>55dB(A)</w:t>
            </w:r>
            <w:r>
              <w:rPr>
                <w:rFonts w:hint="eastAsia" w:cs="宋体"/>
                <w:bCs/>
                <w:color w:val="000000" w:themeColor="text1"/>
                <w:sz w:val="24"/>
                <w:lang w:bidi="ar"/>
                <w14:textFill>
                  <w14:solidFill>
                    <w14:schemeClr w14:val="tx1"/>
                  </w14:solidFill>
                </w14:textFill>
              </w:rPr>
              <w:t>；夜间运输车辆在约</w:t>
            </w:r>
            <w:r>
              <w:rPr>
                <w:bCs/>
                <w:color w:val="000000" w:themeColor="text1"/>
                <w:sz w:val="24"/>
                <w:lang w:bidi="ar"/>
                <w14:textFill>
                  <w14:solidFill>
                    <w14:schemeClr w14:val="tx1"/>
                  </w14:solidFill>
                </w14:textFill>
              </w:rPr>
              <w:t>200m</w:t>
            </w:r>
            <w:r>
              <w:rPr>
                <w:rFonts w:hint="eastAsia" w:cs="宋体"/>
                <w:bCs/>
                <w:color w:val="000000" w:themeColor="text1"/>
                <w:sz w:val="24"/>
                <w:lang w:bidi="ar"/>
                <w14:textFill>
                  <w14:solidFill>
                    <w14:schemeClr w14:val="tx1"/>
                  </w14:solidFill>
                </w14:textFill>
              </w:rPr>
              <w:t>外的噪声值可低于《声环境质量标准》（</w:t>
            </w:r>
            <w:r>
              <w:rPr>
                <w:bCs/>
                <w:color w:val="000000" w:themeColor="text1"/>
                <w:sz w:val="24"/>
                <w:lang w:bidi="ar"/>
                <w14:textFill>
                  <w14:solidFill>
                    <w14:schemeClr w14:val="tx1"/>
                  </w14:solidFill>
                </w14:textFill>
              </w:rPr>
              <w:t>GB3096-2008</w:t>
            </w:r>
            <w:r>
              <w:rPr>
                <w:rFonts w:hint="eastAsia" w:cs="宋体"/>
                <w:bCs/>
                <w:color w:val="000000" w:themeColor="text1"/>
                <w:sz w:val="24"/>
                <w:lang w:bidi="ar"/>
                <w14:textFill>
                  <w14:solidFill>
                    <w14:schemeClr w14:val="tx1"/>
                  </w14:solidFill>
                </w14:textFill>
              </w:rPr>
              <w:t>）</w:t>
            </w:r>
            <w:r>
              <w:rPr>
                <w:bCs/>
                <w:color w:val="000000" w:themeColor="text1"/>
                <w:sz w:val="24"/>
                <w:lang w:bidi="ar"/>
                <w14:textFill>
                  <w14:solidFill>
                    <w14:schemeClr w14:val="tx1"/>
                  </w14:solidFill>
                </w14:textFill>
              </w:rPr>
              <w:t>1</w:t>
            </w:r>
            <w:r>
              <w:rPr>
                <w:rFonts w:hint="eastAsia" w:cs="宋体"/>
                <w:bCs/>
                <w:color w:val="000000" w:themeColor="text1"/>
                <w:sz w:val="24"/>
                <w:lang w:bidi="ar"/>
                <w14:textFill>
                  <w14:solidFill>
                    <w14:schemeClr w14:val="tx1"/>
                  </w14:solidFill>
                </w14:textFill>
              </w:rPr>
              <w:t>类标准限值</w:t>
            </w:r>
            <w:r>
              <w:rPr>
                <w:bCs/>
                <w:color w:val="000000" w:themeColor="text1"/>
                <w:sz w:val="24"/>
                <w:lang w:bidi="ar"/>
                <w14:textFill>
                  <w14:solidFill>
                    <w14:schemeClr w14:val="tx1"/>
                  </w14:solidFill>
                </w14:textFill>
              </w:rPr>
              <w:t>45dB(A)</w:t>
            </w:r>
            <w:r>
              <w:rPr>
                <w:rFonts w:hint="eastAsia" w:cs="宋体"/>
                <w:bCs/>
                <w:color w:val="000000" w:themeColor="text1"/>
                <w:sz w:val="24"/>
                <w:lang w:bidi="ar"/>
                <w14:textFill>
                  <w14:solidFill>
                    <w14:schemeClr w14:val="tx1"/>
                  </w14:solidFill>
                </w14:textFill>
              </w:rPr>
              <w:t>。</w:t>
            </w:r>
          </w:p>
          <w:p w14:paraId="3A7FB955">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从声环境保护目标的分布情况来看，佟庄村、刘家窝村、东平台村、夜明峪村、潘庄村等（上述村庄均位于入场道路及其余现有乡村道路两侧）位于运输道路两侧，容易受到交通噪声的影响。由于本工程施工运输交通量不大，交通噪声影响是短暂、非连续的。施工单位施工时需优化运输时间，物料和设备运输安排在昼间运输，避免夜间运输；途经沿线居民点时注意控制车速、减速慢行，并禁止鸣笛。由于工程运输车流量不大，且运输噪声为短暂影响，施工结束后影响随即消除，在采取以上防治措施后，运输噪声对沿线敏感点声环境的影响在可接受的范围内。</w:t>
            </w:r>
          </w:p>
          <w:p w14:paraId="4B82A4EC">
            <w:pPr>
              <w:adjustRightInd w:val="0"/>
              <w:snapToGrid w:val="0"/>
              <w:spacing w:line="440" w:lineRule="exact"/>
              <w:rPr>
                <w:b/>
                <w:bCs/>
                <w:color w:val="000000" w:themeColor="text1"/>
                <w:sz w:val="24"/>
                <w14:textFill>
                  <w14:solidFill>
                    <w14:schemeClr w14:val="tx1"/>
                  </w14:solidFill>
                </w14:textFill>
              </w:rPr>
            </w:pPr>
            <w:r>
              <w:rPr>
                <w:b/>
                <w:bCs/>
                <w:color w:val="000000" w:themeColor="text1"/>
                <w:sz w:val="24"/>
                <w:lang w:bidi="ar"/>
                <w14:textFill>
                  <w14:solidFill>
                    <w14:schemeClr w14:val="tx1"/>
                  </w14:solidFill>
                </w14:textFill>
              </w:rPr>
              <w:t xml:space="preserve">5 </w:t>
            </w:r>
            <w:r>
              <w:rPr>
                <w:rFonts w:hint="eastAsia" w:cs="宋体"/>
                <w:b/>
                <w:bCs/>
                <w:color w:val="000000" w:themeColor="text1"/>
                <w:sz w:val="24"/>
                <w:lang w:bidi="ar"/>
                <w14:textFill>
                  <w14:solidFill>
                    <w14:schemeClr w14:val="tx1"/>
                  </w14:solidFill>
                </w14:textFill>
              </w:rPr>
              <w:t>固体废弃物环境影响分析</w:t>
            </w:r>
          </w:p>
          <w:p w14:paraId="484765D0">
            <w:pPr>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s="宋体"/>
                <w:color w:val="000000" w:themeColor="text1"/>
                <w:kern w:val="0"/>
                <w:sz w:val="24"/>
                <w:lang w:bidi="ar"/>
                <w14:textFill>
                  <w14:solidFill>
                    <w14:schemeClr w14:val="tx1"/>
                  </w14:solidFill>
                </w14:textFill>
              </w:rPr>
              <w:t>施工现场产生的固体废物主要为土石方和施工人员生活垃圾。</w:t>
            </w:r>
          </w:p>
          <w:p w14:paraId="0375345C">
            <w:pPr>
              <w:adjustRightInd w:val="0"/>
              <w:snapToGrid w:val="0"/>
              <w:spacing w:line="440" w:lineRule="exact"/>
              <w:rPr>
                <w:b/>
                <w:color w:val="000000" w:themeColor="text1"/>
                <w:kern w:val="0"/>
                <w:sz w:val="24"/>
                <w14:textFill>
                  <w14:solidFill>
                    <w14:schemeClr w14:val="tx1"/>
                  </w14:solidFill>
                </w14:textFill>
              </w:rPr>
            </w:pPr>
            <w:r>
              <w:rPr>
                <w:b/>
                <w:color w:val="000000" w:themeColor="text1"/>
                <w:kern w:val="0"/>
                <w:sz w:val="24"/>
                <w:lang w:bidi="ar"/>
                <w14:textFill>
                  <w14:solidFill>
                    <w14:schemeClr w14:val="tx1"/>
                  </w14:solidFill>
                </w14:textFill>
              </w:rPr>
              <w:t xml:space="preserve">5.1 </w:t>
            </w:r>
            <w:r>
              <w:rPr>
                <w:rFonts w:hint="eastAsia" w:cs="宋体"/>
                <w:b/>
                <w:color w:val="000000" w:themeColor="text1"/>
                <w:kern w:val="0"/>
                <w:sz w:val="24"/>
                <w:lang w:bidi="ar"/>
                <w14:textFill>
                  <w14:solidFill>
                    <w14:schemeClr w14:val="tx1"/>
                  </w14:solidFill>
                </w14:textFill>
              </w:rPr>
              <w:t>土石方</w:t>
            </w:r>
          </w:p>
          <w:p w14:paraId="30D93AC0">
            <w:pPr>
              <w:adjustRightInd w:val="0"/>
              <w:snapToGrid w:val="0"/>
              <w:spacing w:line="440" w:lineRule="exact"/>
              <w:rPr>
                <w:b/>
                <w:bCs/>
                <w:color w:val="000000" w:themeColor="text1"/>
                <w:kern w:val="0"/>
                <w:sz w:val="24"/>
                <w14:textFill>
                  <w14:solidFill>
                    <w14:schemeClr w14:val="tx1"/>
                  </w14:solidFill>
                </w14:textFill>
              </w:rPr>
            </w:pPr>
            <w:bookmarkStart w:id="23" w:name="_Toc115060236"/>
            <w:r>
              <w:rPr>
                <w:b/>
                <w:bCs/>
                <w:color w:val="000000" w:themeColor="text1"/>
                <w:kern w:val="0"/>
                <w:sz w:val="24"/>
                <w:lang w:bidi="ar"/>
                <w14:textFill>
                  <w14:solidFill>
                    <w14:schemeClr w14:val="tx1"/>
                  </w14:solidFill>
                </w14:textFill>
              </w:rPr>
              <w:t xml:space="preserve">5.1.1 </w:t>
            </w:r>
            <w:r>
              <w:rPr>
                <w:rFonts w:hint="eastAsia" w:cs="宋体"/>
                <w:b/>
                <w:bCs/>
                <w:color w:val="000000" w:themeColor="text1"/>
                <w:kern w:val="0"/>
                <w:sz w:val="24"/>
                <w:lang w:bidi="ar"/>
                <w14:textFill>
                  <w14:solidFill>
                    <w14:schemeClr w14:val="tx1"/>
                  </w14:solidFill>
                </w14:textFill>
              </w:rPr>
              <w:t>剥离、收集表土</w:t>
            </w:r>
            <w:bookmarkEnd w:id="23"/>
          </w:p>
          <w:p w14:paraId="5B6B28BB">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1</w:t>
            </w:r>
            <w:r>
              <w:rPr>
                <w:rFonts w:hint="eastAsia" w:cs="宋体"/>
                <w:color w:val="000000" w:themeColor="text1"/>
                <w:sz w:val="24"/>
                <w:lang w:bidi="ar"/>
                <w14:textFill>
                  <w14:solidFill>
                    <w14:schemeClr w14:val="tx1"/>
                  </w14:solidFill>
                </w14:textFill>
              </w:rPr>
              <w:t>、表土剥离</w:t>
            </w:r>
          </w:p>
          <w:p w14:paraId="0B00DFC6">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1</w:t>
            </w:r>
            <w:r>
              <w:rPr>
                <w:rFonts w:hint="eastAsia" w:cs="宋体"/>
                <w:color w:val="000000" w:themeColor="text1"/>
                <w:sz w:val="24"/>
                <w:lang w:bidi="ar"/>
                <w14:textFill>
                  <w14:solidFill>
                    <w14:schemeClr w14:val="tx1"/>
                  </w14:solidFill>
                </w14:textFill>
              </w:rPr>
              <w:t>）不宜表土剥离区</w:t>
            </w:r>
          </w:p>
          <w:p w14:paraId="6D848A9B">
            <w:pPr>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s="宋体"/>
                <w:color w:val="000000" w:themeColor="text1"/>
                <w:kern w:val="0"/>
                <w:sz w:val="24"/>
                <w:lang w:bidi="ar"/>
                <w14:textFill>
                  <w14:solidFill>
                    <w14:schemeClr w14:val="tx1"/>
                  </w14:solidFill>
                </w14:textFill>
              </w:rPr>
              <w:t>经过实地调查和结合地质资料，项目区属于石漠区地区，项目区占用草地区域表土层较薄，土中含有大量块石及碎块石，表土含量低，部分草地为石隙间生存，根据现场调查，草地可剥离表土区域仅约总占地面积的</w:t>
            </w:r>
            <w:r>
              <w:rPr>
                <w:color w:val="000000" w:themeColor="text1"/>
                <w:kern w:val="0"/>
                <w:sz w:val="24"/>
                <w:lang w:bidi="ar"/>
                <w14:textFill>
                  <w14:solidFill>
                    <w14:schemeClr w14:val="tx1"/>
                  </w14:solidFill>
                </w14:textFill>
              </w:rPr>
              <w:t>20-30%</w:t>
            </w:r>
            <w:r>
              <w:rPr>
                <w:rFonts w:hint="eastAsia" w:cs="宋体"/>
                <w:color w:val="000000" w:themeColor="text1"/>
                <w:kern w:val="0"/>
                <w:sz w:val="24"/>
                <w:lang w:bidi="ar"/>
                <w14:textFill>
                  <w14:solidFill>
                    <w14:schemeClr w14:val="tx1"/>
                  </w14:solidFill>
                </w14:textFill>
              </w:rPr>
              <w:t>，由于项目区表土资源珍贵，对草地区域表土厚度超过</w:t>
            </w:r>
            <w:r>
              <w:rPr>
                <w:color w:val="000000" w:themeColor="text1"/>
                <w:kern w:val="0"/>
                <w:sz w:val="24"/>
                <w:lang w:bidi="ar"/>
                <w14:textFill>
                  <w14:solidFill>
                    <w14:schemeClr w14:val="tx1"/>
                  </w14:solidFill>
                </w14:textFill>
              </w:rPr>
              <w:t>5cm</w:t>
            </w:r>
            <w:r>
              <w:rPr>
                <w:rFonts w:hint="eastAsia" w:cs="宋体"/>
                <w:color w:val="000000" w:themeColor="text1"/>
                <w:kern w:val="0"/>
                <w:sz w:val="24"/>
                <w:lang w:bidi="ar"/>
                <w14:textFill>
                  <w14:solidFill>
                    <w14:schemeClr w14:val="tx1"/>
                  </w14:solidFill>
                </w14:textFill>
              </w:rPr>
              <w:t>的区域均考虑进行表土剥离保护，最大程度对项目区表土资源进行保护。改扩建道路区利用原乡村道路进行两侧扩宽或对局部路段进行改造，原有村村通及机耕道均属于不具备表土剥离的交通运输用地，改扩建道路两侧为草地的，表土层较薄，表土剥离难度大，改扩建道路区的草地不考虑表土剥离。</w:t>
            </w:r>
          </w:p>
          <w:p w14:paraId="4EF56B3F">
            <w:pPr>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s="宋体"/>
                <w:color w:val="000000" w:themeColor="text1"/>
                <w:kern w:val="0"/>
                <w:sz w:val="24"/>
                <w:lang w:bidi="ar"/>
                <w14:textFill>
                  <w14:solidFill>
                    <w14:schemeClr w14:val="tx1"/>
                  </w14:solidFill>
                </w14:textFill>
              </w:rPr>
              <w:t>光伏板阵列区施工区域主要为光伏板基础，光伏板基础采用微孔灌注桩基础，地表扰动较轻，不进行表土剥离收集。</w:t>
            </w:r>
          </w:p>
          <w:p w14:paraId="05DA55AB">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w:t>
            </w:r>
            <w:r>
              <w:rPr>
                <w:color w:val="000000" w:themeColor="text1"/>
                <w:sz w:val="24"/>
                <w:lang w:bidi="ar"/>
                <w14:textFill>
                  <w14:solidFill>
                    <w14:schemeClr w14:val="tx1"/>
                  </w14:solidFill>
                </w14:textFill>
              </w:rPr>
              <w:t>2</w:t>
            </w:r>
            <w:r>
              <w:rPr>
                <w:rFonts w:hint="eastAsia" w:cs="宋体"/>
                <w:color w:val="000000" w:themeColor="text1"/>
                <w:sz w:val="24"/>
                <w:lang w:bidi="ar"/>
                <w14:textFill>
                  <w14:solidFill>
                    <w14:schemeClr w14:val="tx1"/>
                  </w14:solidFill>
                </w14:textFill>
              </w:rPr>
              <w:t>）表土剥离区</w:t>
            </w:r>
          </w:p>
          <w:p w14:paraId="549581A3">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根据项目区现状表土调查及主体设计标高，本方案主要针对管理站区进行全区域表土剥离、交通道路区的耕地及草地进行表土剥离。集电线路区为地埋电缆沟，施工过程中考虑分层堆放进行表土保护，不单独进行表土剥离及保护。</w:t>
            </w:r>
          </w:p>
          <w:p w14:paraId="3A273074">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表土剥离地类主要包括</w:t>
            </w:r>
            <w:r>
              <w:rPr>
                <w:rFonts w:hint="eastAsia" w:cs="宋体"/>
                <w:color w:val="000000" w:themeColor="text1"/>
                <w:sz w:val="24"/>
                <w:lang w:val="en-US" w:eastAsia="zh-CN" w:bidi="ar"/>
                <w14:textFill>
                  <w14:solidFill>
                    <w14:schemeClr w14:val="tx1"/>
                  </w14:solidFill>
                </w14:textFill>
              </w:rPr>
              <w:t>荒山荒坡</w:t>
            </w:r>
            <w:r>
              <w:rPr>
                <w:rFonts w:hint="eastAsia" w:cs="宋体"/>
                <w:color w:val="000000" w:themeColor="text1"/>
                <w:sz w:val="24"/>
                <w:lang w:bidi="ar"/>
                <w14:textFill>
                  <w14:solidFill>
                    <w14:schemeClr w14:val="tx1"/>
                  </w14:solidFill>
                </w14:textFill>
              </w:rPr>
              <w:t>等可建设光伏用地，基本上不破坏原来的土地现状，对原有的土地利用功能影响也较小，由于光伏板阵列区地表扰动较小，不考虑其表土剥离。</w:t>
            </w:r>
          </w:p>
          <w:p w14:paraId="1C9E0EAA">
            <w:pPr>
              <w:adjustRightInd w:val="0"/>
              <w:snapToGrid w:val="0"/>
              <w:spacing w:line="440" w:lineRule="exact"/>
              <w:ind w:firstLine="480" w:firstLineChars="200"/>
              <w:rPr>
                <w:color w:val="000000" w:themeColor="text1"/>
                <w:sz w:val="24"/>
                <w:highlight w:val="yellow"/>
                <w14:textFill>
                  <w14:solidFill>
                    <w14:schemeClr w14:val="tx1"/>
                  </w14:solidFill>
                </w14:textFill>
              </w:rPr>
            </w:pPr>
            <w:r>
              <w:rPr>
                <w:rFonts w:hint="eastAsia" w:cs="宋体"/>
                <w:color w:val="000000" w:themeColor="text1"/>
                <w:sz w:val="24"/>
                <w:lang w:bidi="ar"/>
                <w14:textFill>
                  <w14:solidFill>
                    <w14:schemeClr w14:val="tx1"/>
                  </w14:solidFill>
                </w14:textFill>
              </w:rPr>
              <w:t>电缆沟区表土及生土进行分层堆放，回填时先回填深层土后回填表层土，考虑分层剥离分层堆土的施工工艺进行表土保护，不单独进行表土集中堆存。</w:t>
            </w:r>
          </w:p>
          <w:p w14:paraId="00F617B6">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2</w:t>
            </w:r>
            <w:r>
              <w:rPr>
                <w:rFonts w:hint="eastAsia" w:cs="宋体"/>
                <w:color w:val="000000" w:themeColor="text1"/>
                <w:sz w:val="24"/>
                <w:lang w:bidi="ar"/>
                <w14:textFill>
                  <w14:solidFill>
                    <w14:schemeClr w14:val="tx1"/>
                  </w14:solidFill>
                </w14:textFill>
              </w:rPr>
              <w:t>、土石方平衡</w:t>
            </w:r>
          </w:p>
          <w:p w14:paraId="4704ADDC">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本项目土石挖方全部用于本项目填方，土石方平衡见下表。</w:t>
            </w:r>
          </w:p>
          <w:p w14:paraId="3E892F3E">
            <w:pPr>
              <w:adjustRightInd w:val="0"/>
              <w:snapToGrid w:val="0"/>
              <w:spacing w:line="440" w:lineRule="exact"/>
              <w:ind w:firstLine="482" w:firstLineChars="200"/>
              <w:jc w:val="left"/>
              <w:rPr>
                <w:b/>
                <w:bCs/>
                <w:color w:val="000000" w:themeColor="text1"/>
                <w:sz w:val="24"/>
                <w14:textFill>
                  <w14:solidFill>
                    <w14:schemeClr w14:val="tx1"/>
                  </w14:solidFill>
                </w14:textFill>
              </w:rPr>
            </w:pPr>
            <w:r>
              <w:rPr>
                <w:rFonts w:hint="eastAsia" w:cs="宋体"/>
                <w:b/>
                <w:bCs/>
                <w:color w:val="000000" w:themeColor="text1"/>
                <w:sz w:val="24"/>
                <w:lang w:bidi="ar"/>
                <w14:textFill>
                  <w14:solidFill>
                    <w14:schemeClr w14:val="tx1"/>
                  </w14:solidFill>
                </w14:textFill>
              </w:rPr>
              <w:t>表</w:t>
            </w:r>
            <w:r>
              <w:rPr>
                <w:b/>
                <w:bCs/>
                <w:color w:val="000000" w:themeColor="text1"/>
                <w:sz w:val="24"/>
                <w:lang w:bidi="ar"/>
                <w14:textFill>
                  <w14:solidFill>
                    <w14:schemeClr w14:val="tx1"/>
                  </w14:solidFill>
                </w14:textFill>
              </w:rPr>
              <w:t>4-</w:t>
            </w:r>
            <w:r>
              <w:rPr>
                <w:rFonts w:hint="eastAsia"/>
                <w:b/>
                <w:bCs/>
                <w:color w:val="000000" w:themeColor="text1"/>
                <w:sz w:val="24"/>
                <w:lang w:bidi="ar"/>
                <w14:textFill>
                  <w14:solidFill>
                    <w14:schemeClr w14:val="tx1"/>
                  </w14:solidFill>
                </w14:textFill>
              </w:rPr>
              <w:t xml:space="preserve">10    </w:t>
            </w:r>
            <w:r>
              <w:rPr>
                <w:rFonts w:hint="eastAsia" w:cs="宋体"/>
                <w:b/>
                <w:bCs/>
                <w:color w:val="000000" w:themeColor="text1"/>
                <w:sz w:val="24"/>
                <w:lang w:bidi="ar"/>
                <w14:textFill>
                  <w14:solidFill>
                    <w14:schemeClr w14:val="tx1"/>
                  </w14:solidFill>
                </w14:textFill>
              </w:rPr>
              <w:t>土石方平衡分析表</w:t>
            </w:r>
          </w:p>
          <w:tbl>
            <w:tblPr>
              <w:tblStyle w:val="66"/>
              <w:tblW w:w="8290" w:type="dxa"/>
              <w:jc w:val="center"/>
              <w:tblLayout w:type="autofit"/>
              <w:tblCellMar>
                <w:top w:w="0" w:type="dxa"/>
                <w:left w:w="51" w:type="dxa"/>
                <w:bottom w:w="0" w:type="dxa"/>
                <w:right w:w="51" w:type="dxa"/>
              </w:tblCellMar>
            </w:tblPr>
            <w:tblGrid>
              <w:gridCol w:w="819"/>
              <w:gridCol w:w="952"/>
              <w:gridCol w:w="960"/>
              <w:gridCol w:w="1081"/>
              <w:gridCol w:w="894"/>
              <w:gridCol w:w="896"/>
              <w:gridCol w:w="639"/>
              <w:gridCol w:w="585"/>
              <w:gridCol w:w="785"/>
              <w:gridCol w:w="679"/>
            </w:tblGrid>
            <w:tr w14:paraId="5B4922EB">
              <w:tblPrEx>
                <w:tblCellMar>
                  <w:top w:w="0" w:type="dxa"/>
                  <w:left w:w="51" w:type="dxa"/>
                  <w:bottom w:w="0" w:type="dxa"/>
                  <w:right w:w="51" w:type="dxa"/>
                </w:tblCellMar>
              </w:tblPrEx>
              <w:trPr>
                <w:trHeight w:val="90" w:hRule="atLeast"/>
                <w:jc w:val="center"/>
              </w:trPr>
              <w:tc>
                <w:tcPr>
                  <w:tcW w:w="1068" w:type="pct"/>
                  <w:gridSpan w:val="2"/>
                  <w:vMerge w:val="restart"/>
                  <w:tcBorders>
                    <w:top w:val="single" w:color="auto" w:sz="4" w:space="0"/>
                    <w:left w:val="single" w:color="auto" w:sz="4" w:space="0"/>
                    <w:right w:val="single" w:color="auto" w:sz="4" w:space="0"/>
                  </w:tcBorders>
                  <w:vAlign w:val="center"/>
                </w:tcPr>
                <w:p w14:paraId="444D2D47">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剥离区域</w:t>
                  </w:r>
                </w:p>
              </w:tc>
              <w:tc>
                <w:tcPr>
                  <w:tcW w:w="1231" w:type="pct"/>
                  <w:gridSpan w:val="2"/>
                  <w:tcBorders>
                    <w:top w:val="single" w:color="auto" w:sz="4" w:space="0"/>
                    <w:left w:val="nil"/>
                    <w:bottom w:val="single" w:color="auto" w:sz="4" w:space="0"/>
                    <w:right w:val="single" w:color="auto" w:sz="4" w:space="0"/>
                  </w:tcBorders>
                  <w:shd w:val="clear" w:color="auto" w:fill="auto"/>
                  <w:vAlign w:val="center"/>
                </w:tcPr>
                <w:p w14:paraId="25E2A468">
                  <w:pPr>
                    <w:spacing w:line="360" w:lineRule="exact"/>
                    <w:jc w:val="center"/>
                    <w:rPr>
                      <w:rFonts w:cs="宋体"/>
                      <w:color w:val="000000" w:themeColor="text1"/>
                      <w:spacing w:val="-20"/>
                      <w:szCs w:val="21"/>
                      <w:lang w:bidi="ar"/>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剥离面积及数量</w:t>
                  </w:r>
                </w:p>
              </w:tc>
              <w:tc>
                <w:tcPr>
                  <w:tcW w:w="1079" w:type="pct"/>
                  <w:gridSpan w:val="2"/>
                  <w:tcBorders>
                    <w:top w:val="single" w:color="auto" w:sz="4" w:space="0"/>
                    <w:left w:val="nil"/>
                    <w:bottom w:val="single" w:color="auto" w:sz="4" w:space="0"/>
                    <w:right w:val="single" w:color="auto" w:sz="4" w:space="0"/>
                  </w:tcBorders>
                  <w:shd w:val="clear" w:color="auto" w:fill="auto"/>
                  <w:vAlign w:val="center"/>
                </w:tcPr>
                <w:p w14:paraId="347699FD">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覆土总量（</w:t>
                  </w:r>
                  <w:r>
                    <w:rPr>
                      <w:color w:val="000000" w:themeColor="text1"/>
                      <w:spacing w:val="-20"/>
                      <w:szCs w:val="21"/>
                      <w:lang w:bidi="ar"/>
                      <w14:textFill>
                        <w14:solidFill>
                          <w14:schemeClr w14:val="tx1"/>
                        </w14:solidFill>
                      </w14:textFill>
                    </w:rPr>
                    <w:t>m</w:t>
                  </w:r>
                  <w:r>
                    <w:rPr>
                      <w:color w:val="000000" w:themeColor="text1"/>
                      <w:spacing w:val="-20"/>
                      <w:szCs w:val="21"/>
                      <w:vertAlign w:val="superscript"/>
                      <w:lang w:bidi="ar"/>
                      <w14:textFill>
                        <w14:solidFill>
                          <w14:schemeClr w14:val="tx1"/>
                        </w14:solidFill>
                      </w14:textFill>
                    </w:rPr>
                    <w:t>3</w:t>
                  </w:r>
                  <w:r>
                    <w:rPr>
                      <w:rFonts w:hint="eastAsia" w:cs="宋体"/>
                      <w:color w:val="000000" w:themeColor="text1"/>
                      <w:spacing w:val="-20"/>
                      <w:szCs w:val="21"/>
                      <w:lang w:bidi="ar"/>
                      <w14:textFill>
                        <w14:solidFill>
                          <w14:schemeClr w14:val="tx1"/>
                        </w14:solidFill>
                      </w14:textFill>
                    </w:rPr>
                    <w:t>）</w:t>
                  </w:r>
                </w:p>
              </w:tc>
              <w:tc>
                <w:tcPr>
                  <w:tcW w:w="738" w:type="pct"/>
                  <w:gridSpan w:val="2"/>
                  <w:tcBorders>
                    <w:top w:val="single" w:color="auto" w:sz="4" w:space="0"/>
                    <w:left w:val="nil"/>
                    <w:bottom w:val="single" w:color="auto" w:sz="4" w:space="0"/>
                    <w:right w:val="single" w:color="auto" w:sz="4" w:space="0"/>
                  </w:tcBorders>
                  <w:shd w:val="clear" w:color="auto" w:fill="auto"/>
                  <w:vAlign w:val="center"/>
                </w:tcPr>
                <w:p w14:paraId="2B6287A4">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调出</w:t>
                  </w:r>
                </w:p>
              </w:tc>
              <w:tc>
                <w:tcPr>
                  <w:tcW w:w="882" w:type="pct"/>
                  <w:gridSpan w:val="2"/>
                  <w:tcBorders>
                    <w:top w:val="single" w:color="auto" w:sz="4" w:space="0"/>
                    <w:left w:val="nil"/>
                    <w:bottom w:val="single" w:color="auto" w:sz="4" w:space="0"/>
                    <w:right w:val="single" w:color="auto" w:sz="4" w:space="0"/>
                  </w:tcBorders>
                  <w:shd w:val="clear" w:color="auto" w:fill="auto"/>
                  <w:vAlign w:val="center"/>
                </w:tcPr>
                <w:p w14:paraId="1AF53971">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调入</w:t>
                  </w:r>
                </w:p>
              </w:tc>
            </w:tr>
            <w:tr w14:paraId="6BB1754B">
              <w:tblPrEx>
                <w:tblCellMar>
                  <w:top w:w="0" w:type="dxa"/>
                  <w:left w:w="51" w:type="dxa"/>
                  <w:bottom w:w="0" w:type="dxa"/>
                  <w:right w:w="51" w:type="dxa"/>
                </w:tblCellMar>
              </w:tblPrEx>
              <w:trPr>
                <w:trHeight w:val="90" w:hRule="atLeast"/>
                <w:jc w:val="center"/>
              </w:trPr>
              <w:tc>
                <w:tcPr>
                  <w:tcW w:w="1068" w:type="pct"/>
                  <w:gridSpan w:val="2"/>
                  <w:vMerge w:val="continue"/>
                  <w:tcBorders>
                    <w:left w:val="single" w:color="auto" w:sz="4" w:space="0"/>
                    <w:bottom w:val="single" w:color="auto" w:sz="4" w:space="0"/>
                    <w:right w:val="single" w:color="auto" w:sz="4" w:space="0"/>
                  </w:tcBorders>
                  <w:vAlign w:val="center"/>
                </w:tcPr>
                <w:p w14:paraId="46E90079">
                  <w:pPr>
                    <w:spacing w:line="360" w:lineRule="exact"/>
                    <w:jc w:val="center"/>
                    <w:rPr>
                      <w:color w:val="000000" w:themeColor="text1"/>
                      <w:spacing w:val="-20"/>
                      <w:szCs w:val="21"/>
                      <w14:textFill>
                        <w14:solidFill>
                          <w14:schemeClr w14:val="tx1"/>
                        </w14:solidFill>
                      </w14:textFill>
                    </w:rPr>
                  </w:pPr>
                </w:p>
              </w:tc>
              <w:tc>
                <w:tcPr>
                  <w:tcW w:w="579" w:type="pct"/>
                  <w:tcBorders>
                    <w:top w:val="nil"/>
                    <w:left w:val="single" w:color="auto" w:sz="4" w:space="0"/>
                    <w:bottom w:val="single" w:color="auto" w:sz="4" w:space="0"/>
                    <w:right w:val="single" w:color="auto" w:sz="4" w:space="0"/>
                  </w:tcBorders>
                  <w:shd w:val="clear" w:color="auto" w:fill="auto"/>
                  <w:vAlign w:val="center"/>
                </w:tcPr>
                <w:p w14:paraId="253A0E8A">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挖方量（</w:t>
                  </w:r>
                  <w:r>
                    <w:rPr>
                      <w:color w:val="000000" w:themeColor="text1"/>
                      <w:spacing w:val="-20"/>
                      <w:szCs w:val="21"/>
                      <w:lang w:bidi="ar"/>
                      <w14:textFill>
                        <w14:solidFill>
                          <w14:schemeClr w14:val="tx1"/>
                        </w14:solidFill>
                      </w14:textFill>
                    </w:rPr>
                    <w:t>m</w:t>
                  </w:r>
                  <w:r>
                    <w:rPr>
                      <w:color w:val="000000" w:themeColor="text1"/>
                      <w:spacing w:val="-20"/>
                      <w:szCs w:val="21"/>
                      <w:vertAlign w:val="superscript"/>
                      <w:lang w:bidi="ar"/>
                      <w14:textFill>
                        <w14:solidFill>
                          <w14:schemeClr w14:val="tx1"/>
                        </w14:solidFill>
                      </w14:textFill>
                    </w:rPr>
                    <w:t>3</w:t>
                  </w:r>
                  <w:r>
                    <w:rPr>
                      <w:rFonts w:hint="eastAsia" w:cs="宋体"/>
                      <w:color w:val="000000" w:themeColor="text1"/>
                      <w:spacing w:val="-20"/>
                      <w:szCs w:val="21"/>
                      <w:lang w:bidi="ar"/>
                      <w14:textFill>
                        <w14:solidFill>
                          <w14:schemeClr w14:val="tx1"/>
                        </w14:solidFill>
                      </w14:textFill>
                    </w:rPr>
                    <w:t>）</w:t>
                  </w:r>
                </w:p>
              </w:tc>
              <w:tc>
                <w:tcPr>
                  <w:tcW w:w="651" w:type="pct"/>
                  <w:tcBorders>
                    <w:top w:val="nil"/>
                    <w:left w:val="single" w:color="auto" w:sz="4" w:space="0"/>
                    <w:bottom w:val="single" w:color="auto" w:sz="4" w:space="0"/>
                    <w:right w:val="single" w:color="auto" w:sz="4" w:space="0"/>
                  </w:tcBorders>
                  <w:shd w:val="clear" w:color="auto" w:fill="auto"/>
                  <w:vAlign w:val="center"/>
                </w:tcPr>
                <w:p w14:paraId="7240E412">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实际剥离量（</w:t>
                  </w:r>
                  <w:r>
                    <w:rPr>
                      <w:color w:val="000000" w:themeColor="text1"/>
                      <w:spacing w:val="-20"/>
                      <w:szCs w:val="21"/>
                      <w:lang w:bidi="ar"/>
                      <w14:textFill>
                        <w14:solidFill>
                          <w14:schemeClr w14:val="tx1"/>
                        </w14:solidFill>
                      </w14:textFill>
                    </w:rPr>
                    <w:t>m</w:t>
                  </w:r>
                  <w:r>
                    <w:rPr>
                      <w:color w:val="000000" w:themeColor="text1"/>
                      <w:spacing w:val="-20"/>
                      <w:szCs w:val="21"/>
                      <w:vertAlign w:val="superscript"/>
                      <w:lang w:bidi="ar"/>
                      <w14:textFill>
                        <w14:solidFill>
                          <w14:schemeClr w14:val="tx1"/>
                        </w14:solidFill>
                      </w14:textFill>
                    </w:rPr>
                    <w:t>3</w:t>
                  </w:r>
                  <w:r>
                    <w:rPr>
                      <w:rFonts w:hint="eastAsia" w:cs="宋体"/>
                      <w:color w:val="000000" w:themeColor="text1"/>
                      <w:spacing w:val="-20"/>
                      <w:szCs w:val="21"/>
                      <w:lang w:bidi="ar"/>
                      <w14:textFill>
                        <w14:solidFill>
                          <w14:schemeClr w14:val="tx1"/>
                        </w14:solidFill>
                      </w14:textFill>
                    </w:rPr>
                    <w:t>）</w:t>
                  </w:r>
                </w:p>
              </w:tc>
              <w:tc>
                <w:tcPr>
                  <w:tcW w:w="539" w:type="pct"/>
                  <w:tcBorders>
                    <w:top w:val="nil"/>
                    <w:left w:val="single" w:color="auto" w:sz="4" w:space="0"/>
                    <w:bottom w:val="single" w:color="auto" w:sz="4" w:space="0"/>
                    <w:right w:val="single" w:color="auto" w:sz="4" w:space="0"/>
                  </w:tcBorders>
                  <w:shd w:val="clear" w:color="auto" w:fill="auto"/>
                  <w:vAlign w:val="center"/>
                </w:tcPr>
                <w:p w14:paraId="5B527FE3">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覆土量小计</w:t>
                  </w:r>
                </w:p>
              </w:tc>
              <w:tc>
                <w:tcPr>
                  <w:tcW w:w="540" w:type="pct"/>
                  <w:tcBorders>
                    <w:top w:val="nil"/>
                    <w:left w:val="single" w:color="auto" w:sz="4" w:space="0"/>
                    <w:bottom w:val="single" w:color="auto" w:sz="4" w:space="0"/>
                    <w:right w:val="single" w:color="auto" w:sz="4" w:space="0"/>
                  </w:tcBorders>
                  <w:shd w:val="clear" w:color="auto" w:fill="auto"/>
                  <w:vAlign w:val="center"/>
                </w:tcPr>
                <w:p w14:paraId="6C95645C">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植被恢复及绿化</w:t>
                  </w:r>
                </w:p>
              </w:tc>
              <w:tc>
                <w:tcPr>
                  <w:tcW w:w="385" w:type="pct"/>
                  <w:tcBorders>
                    <w:top w:val="nil"/>
                    <w:left w:val="single" w:color="auto" w:sz="4" w:space="0"/>
                    <w:bottom w:val="single" w:color="auto" w:sz="4" w:space="0"/>
                    <w:right w:val="single" w:color="auto" w:sz="4" w:space="0"/>
                  </w:tcBorders>
                  <w:shd w:val="clear" w:color="auto" w:fill="auto"/>
                  <w:vAlign w:val="center"/>
                </w:tcPr>
                <w:p w14:paraId="13527DC2">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数量</w:t>
                  </w:r>
                </w:p>
              </w:tc>
              <w:tc>
                <w:tcPr>
                  <w:tcW w:w="352" w:type="pct"/>
                  <w:tcBorders>
                    <w:top w:val="nil"/>
                    <w:left w:val="single" w:color="auto" w:sz="4" w:space="0"/>
                    <w:bottom w:val="single" w:color="auto" w:sz="4" w:space="0"/>
                    <w:right w:val="single" w:color="auto" w:sz="4" w:space="0"/>
                  </w:tcBorders>
                  <w:shd w:val="clear" w:color="auto" w:fill="auto"/>
                  <w:vAlign w:val="center"/>
                </w:tcPr>
                <w:p w14:paraId="0CAE1151">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去向</w:t>
                  </w:r>
                </w:p>
              </w:tc>
              <w:tc>
                <w:tcPr>
                  <w:tcW w:w="473" w:type="pct"/>
                  <w:tcBorders>
                    <w:top w:val="nil"/>
                    <w:left w:val="single" w:color="auto" w:sz="4" w:space="0"/>
                    <w:bottom w:val="single" w:color="auto" w:sz="4" w:space="0"/>
                    <w:right w:val="single" w:color="auto" w:sz="4" w:space="0"/>
                  </w:tcBorders>
                  <w:shd w:val="clear" w:color="auto" w:fill="auto"/>
                  <w:vAlign w:val="center"/>
                </w:tcPr>
                <w:p w14:paraId="254F3FC8">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数量</w:t>
                  </w:r>
                </w:p>
              </w:tc>
              <w:tc>
                <w:tcPr>
                  <w:tcW w:w="409" w:type="pct"/>
                  <w:tcBorders>
                    <w:top w:val="nil"/>
                    <w:left w:val="single" w:color="auto" w:sz="4" w:space="0"/>
                    <w:bottom w:val="single" w:color="auto" w:sz="4" w:space="0"/>
                    <w:right w:val="single" w:color="auto" w:sz="4" w:space="0"/>
                  </w:tcBorders>
                  <w:shd w:val="clear" w:color="auto" w:fill="auto"/>
                  <w:vAlign w:val="center"/>
                </w:tcPr>
                <w:p w14:paraId="782F856C">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来源</w:t>
                  </w:r>
                </w:p>
              </w:tc>
            </w:tr>
            <w:tr w14:paraId="37BB9301">
              <w:tblPrEx>
                <w:tblCellMar>
                  <w:top w:w="0" w:type="dxa"/>
                  <w:left w:w="51" w:type="dxa"/>
                  <w:bottom w:w="0" w:type="dxa"/>
                  <w:right w:w="51" w:type="dxa"/>
                </w:tblCellMar>
              </w:tblPrEx>
              <w:trPr>
                <w:trHeight w:val="90" w:hRule="atLeast"/>
                <w:jc w:val="center"/>
              </w:trPr>
              <w:tc>
                <w:tcPr>
                  <w:tcW w:w="494" w:type="pct"/>
                  <w:vMerge w:val="restart"/>
                  <w:tcBorders>
                    <w:top w:val="single" w:color="auto" w:sz="4" w:space="0"/>
                    <w:left w:val="single" w:color="auto" w:sz="4" w:space="0"/>
                    <w:right w:val="single" w:color="auto" w:sz="4" w:space="0"/>
                  </w:tcBorders>
                  <w:vAlign w:val="center"/>
                </w:tcPr>
                <w:p w14:paraId="6F2C21D5">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发电场工程区（光伏区）</w:t>
                  </w:r>
                </w:p>
              </w:tc>
              <w:tc>
                <w:tcPr>
                  <w:tcW w:w="573" w:type="pct"/>
                  <w:tcBorders>
                    <w:top w:val="single" w:color="auto" w:sz="4" w:space="0"/>
                    <w:left w:val="single" w:color="auto" w:sz="4" w:space="0"/>
                    <w:bottom w:val="single" w:color="auto" w:sz="4" w:space="0"/>
                    <w:right w:val="single" w:color="auto" w:sz="4" w:space="0"/>
                  </w:tcBorders>
                  <w:shd w:val="clear" w:color="auto" w:fill="auto"/>
                  <w:vAlign w:val="center"/>
                </w:tcPr>
                <w:p w14:paraId="09C0BBDB">
                  <w:pPr>
                    <w:spacing w:line="360" w:lineRule="exact"/>
                    <w:jc w:val="center"/>
                    <w:rPr>
                      <w:color w:val="000000" w:themeColor="text1"/>
                      <w:spacing w:val="-20"/>
                      <w:szCs w:val="21"/>
                      <w14:textFill>
                        <w14:solidFill>
                          <w14:schemeClr w14:val="tx1"/>
                        </w14:solidFill>
                      </w14:textFill>
                    </w:rPr>
                  </w:pPr>
                  <w:r>
                    <w:rPr>
                      <w:color w:val="000000" w:themeColor="text1"/>
                      <w:spacing w:val="-20"/>
                      <w:szCs w:val="21"/>
                      <w14:textFill>
                        <w14:solidFill>
                          <w14:schemeClr w14:val="tx1"/>
                        </w14:solidFill>
                      </w14:textFill>
                    </w:rPr>
                    <w:t>局部场地平整</w:t>
                  </w:r>
                </w:p>
              </w:tc>
              <w:tc>
                <w:tcPr>
                  <w:tcW w:w="579" w:type="pct"/>
                  <w:tcBorders>
                    <w:top w:val="nil"/>
                    <w:left w:val="single" w:color="auto" w:sz="4" w:space="0"/>
                    <w:bottom w:val="single" w:color="auto" w:sz="4" w:space="0"/>
                    <w:right w:val="single" w:color="auto" w:sz="4" w:space="0"/>
                  </w:tcBorders>
                  <w:shd w:val="clear" w:color="auto" w:fill="auto"/>
                  <w:vAlign w:val="center"/>
                </w:tcPr>
                <w:p w14:paraId="4439675E">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33548</w:t>
                  </w:r>
                </w:p>
              </w:tc>
              <w:tc>
                <w:tcPr>
                  <w:tcW w:w="651" w:type="pct"/>
                  <w:tcBorders>
                    <w:top w:val="nil"/>
                    <w:left w:val="single" w:color="auto" w:sz="4" w:space="0"/>
                    <w:bottom w:val="single" w:color="auto" w:sz="4" w:space="0"/>
                    <w:right w:val="single" w:color="auto" w:sz="4" w:space="0"/>
                  </w:tcBorders>
                  <w:shd w:val="clear" w:color="auto" w:fill="auto"/>
                  <w:vAlign w:val="center"/>
                </w:tcPr>
                <w:p w14:paraId="7F7426CA">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33548</w:t>
                  </w:r>
                </w:p>
              </w:tc>
              <w:tc>
                <w:tcPr>
                  <w:tcW w:w="539" w:type="pct"/>
                  <w:tcBorders>
                    <w:top w:val="nil"/>
                    <w:left w:val="single" w:color="auto" w:sz="4" w:space="0"/>
                    <w:bottom w:val="single" w:color="auto" w:sz="4" w:space="0"/>
                    <w:right w:val="single" w:color="auto" w:sz="4" w:space="0"/>
                  </w:tcBorders>
                  <w:shd w:val="clear" w:color="auto" w:fill="auto"/>
                  <w:vAlign w:val="center"/>
                </w:tcPr>
                <w:p w14:paraId="7BCA9CD1">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33548</w:t>
                  </w:r>
                </w:p>
              </w:tc>
              <w:tc>
                <w:tcPr>
                  <w:tcW w:w="540" w:type="pct"/>
                  <w:tcBorders>
                    <w:top w:val="nil"/>
                    <w:left w:val="single" w:color="auto" w:sz="4" w:space="0"/>
                    <w:bottom w:val="single" w:color="auto" w:sz="4" w:space="0"/>
                    <w:right w:val="single" w:color="auto" w:sz="4" w:space="0"/>
                  </w:tcBorders>
                  <w:shd w:val="clear" w:color="auto" w:fill="auto"/>
                  <w:vAlign w:val="center"/>
                </w:tcPr>
                <w:p w14:paraId="01973F46">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385" w:type="pct"/>
                  <w:tcBorders>
                    <w:top w:val="nil"/>
                    <w:left w:val="single" w:color="auto" w:sz="4" w:space="0"/>
                    <w:bottom w:val="single" w:color="auto" w:sz="4" w:space="0"/>
                    <w:right w:val="single" w:color="auto" w:sz="4" w:space="0"/>
                  </w:tcBorders>
                  <w:shd w:val="clear" w:color="auto" w:fill="auto"/>
                  <w:vAlign w:val="center"/>
                </w:tcPr>
                <w:p w14:paraId="566EB5D0">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352" w:type="pct"/>
                  <w:tcBorders>
                    <w:top w:val="nil"/>
                    <w:left w:val="single" w:color="auto" w:sz="4" w:space="0"/>
                    <w:bottom w:val="single" w:color="auto" w:sz="4" w:space="0"/>
                    <w:right w:val="single" w:color="auto" w:sz="4" w:space="0"/>
                  </w:tcBorders>
                  <w:shd w:val="clear" w:color="auto" w:fill="auto"/>
                  <w:vAlign w:val="center"/>
                </w:tcPr>
                <w:p w14:paraId="0437DFEB">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473" w:type="pct"/>
                  <w:tcBorders>
                    <w:top w:val="nil"/>
                    <w:left w:val="single" w:color="auto" w:sz="4" w:space="0"/>
                    <w:bottom w:val="single" w:color="auto" w:sz="4" w:space="0"/>
                    <w:right w:val="single" w:color="auto" w:sz="4" w:space="0"/>
                  </w:tcBorders>
                  <w:shd w:val="clear" w:color="auto" w:fill="auto"/>
                  <w:vAlign w:val="center"/>
                </w:tcPr>
                <w:p w14:paraId="31AFFF6C">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409" w:type="pct"/>
                  <w:tcBorders>
                    <w:top w:val="nil"/>
                    <w:left w:val="single" w:color="auto" w:sz="4" w:space="0"/>
                    <w:bottom w:val="single" w:color="auto" w:sz="4" w:space="0"/>
                    <w:right w:val="single" w:color="auto" w:sz="4" w:space="0"/>
                  </w:tcBorders>
                  <w:shd w:val="clear" w:color="auto" w:fill="auto"/>
                  <w:vAlign w:val="center"/>
                </w:tcPr>
                <w:p w14:paraId="5692C6F3">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r>
            <w:tr w14:paraId="7362306D">
              <w:tblPrEx>
                <w:tblCellMar>
                  <w:top w:w="0" w:type="dxa"/>
                  <w:left w:w="51" w:type="dxa"/>
                  <w:bottom w:w="0" w:type="dxa"/>
                  <w:right w:w="51" w:type="dxa"/>
                </w:tblCellMar>
              </w:tblPrEx>
              <w:trPr>
                <w:trHeight w:val="90" w:hRule="atLeast"/>
                <w:jc w:val="center"/>
              </w:trPr>
              <w:tc>
                <w:tcPr>
                  <w:tcW w:w="494" w:type="pct"/>
                  <w:vMerge w:val="continue"/>
                  <w:tcBorders>
                    <w:top w:val="single" w:color="auto" w:sz="4" w:space="0"/>
                    <w:left w:val="single" w:color="auto" w:sz="4" w:space="0"/>
                    <w:right w:val="single" w:color="auto" w:sz="4" w:space="0"/>
                  </w:tcBorders>
                  <w:vAlign w:val="center"/>
                </w:tcPr>
                <w:p w14:paraId="7334B83E">
                  <w:pPr>
                    <w:spacing w:line="360" w:lineRule="exact"/>
                    <w:jc w:val="center"/>
                    <w:rPr>
                      <w:rFonts w:cs="宋体"/>
                      <w:color w:val="000000" w:themeColor="text1"/>
                      <w:spacing w:val="-20"/>
                      <w:szCs w:val="21"/>
                      <w:lang w:bidi="ar"/>
                      <w14:textFill>
                        <w14:solidFill>
                          <w14:schemeClr w14:val="tx1"/>
                        </w14:solidFill>
                      </w14:textFill>
                    </w:rPr>
                  </w:pPr>
                </w:p>
              </w:tc>
              <w:tc>
                <w:tcPr>
                  <w:tcW w:w="573" w:type="pct"/>
                  <w:tcBorders>
                    <w:top w:val="single" w:color="auto" w:sz="4" w:space="0"/>
                    <w:left w:val="single" w:color="auto" w:sz="4" w:space="0"/>
                    <w:bottom w:val="single" w:color="auto" w:sz="4" w:space="0"/>
                    <w:right w:val="single" w:color="auto" w:sz="4" w:space="0"/>
                  </w:tcBorders>
                  <w:shd w:val="clear" w:color="auto" w:fill="auto"/>
                  <w:vAlign w:val="center"/>
                </w:tcPr>
                <w:p w14:paraId="59BCC465">
                  <w:pPr>
                    <w:spacing w:line="360" w:lineRule="exact"/>
                    <w:jc w:val="center"/>
                    <w:rPr>
                      <w:color w:val="000000" w:themeColor="text1"/>
                      <w:spacing w:val="-20"/>
                      <w:szCs w:val="21"/>
                      <w14:textFill>
                        <w14:solidFill>
                          <w14:schemeClr w14:val="tx1"/>
                        </w14:solidFill>
                      </w14:textFill>
                    </w:rPr>
                  </w:pPr>
                  <w:r>
                    <w:rPr>
                      <w:color w:val="000000" w:themeColor="text1"/>
                      <w:spacing w:val="-20"/>
                      <w:szCs w:val="21"/>
                      <w14:textFill>
                        <w14:solidFill>
                          <w14:schemeClr w14:val="tx1"/>
                        </w14:solidFill>
                      </w14:textFill>
                    </w:rPr>
                    <w:t>电缆沟</w:t>
                  </w:r>
                </w:p>
              </w:tc>
              <w:tc>
                <w:tcPr>
                  <w:tcW w:w="579" w:type="pct"/>
                  <w:tcBorders>
                    <w:top w:val="nil"/>
                    <w:left w:val="single" w:color="auto" w:sz="4" w:space="0"/>
                    <w:bottom w:val="single" w:color="auto" w:sz="4" w:space="0"/>
                    <w:right w:val="single" w:color="auto" w:sz="4" w:space="0"/>
                  </w:tcBorders>
                  <w:shd w:val="clear" w:color="auto" w:fill="auto"/>
                  <w:vAlign w:val="center"/>
                </w:tcPr>
                <w:p w14:paraId="317C100A">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9434.4</w:t>
                  </w:r>
                </w:p>
              </w:tc>
              <w:tc>
                <w:tcPr>
                  <w:tcW w:w="651" w:type="pct"/>
                  <w:tcBorders>
                    <w:top w:val="nil"/>
                    <w:left w:val="single" w:color="auto" w:sz="4" w:space="0"/>
                    <w:bottom w:val="single" w:color="auto" w:sz="4" w:space="0"/>
                    <w:right w:val="single" w:color="auto" w:sz="4" w:space="0"/>
                  </w:tcBorders>
                  <w:shd w:val="clear" w:color="auto" w:fill="auto"/>
                  <w:vAlign w:val="center"/>
                </w:tcPr>
                <w:p w14:paraId="7BE0E1DF">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9434.4</w:t>
                  </w:r>
                </w:p>
              </w:tc>
              <w:tc>
                <w:tcPr>
                  <w:tcW w:w="539" w:type="pct"/>
                  <w:tcBorders>
                    <w:top w:val="nil"/>
                    <w:left w:val="single" w:color="auto" w:sz="4" w:space="0"/>
                    <w:bottom w:val="single" w:color="auto" w:sz="4" w:space="0"/>
                    <w:right w:val="single" w:color="auto" w:sz="4" w:space="0"/>
                  </w:tcBorders>
                  <w:shd w:val="clear" w:color="auto" w:fill="auto"/>
                  <w:vAlign w:val="center"/>
                </w:tcPr>
                <w:p w14:paraId="79F4FACA">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7759.64</w:t>
                  </w:r>
                </w:p>
              </w:tc>
              <w:tc>
                <w:tcPr>
                  <w:tcW w:w="540" w:type="pct"/>
                  <w:tcBorders>
                    <w:top w:val="nil"/>
                    <w:left w:val="single" w:color="auto" w:sz="4" w:space="0"/>
                    <w:bottom w:val="single" w:color="auto" w:sz="4" w:space="0"/>
                    <w:right w:val="single" w:color="auto" w:sz="4" w:space="0"/>
                  </w:tcBorders>
                  <w:shd w:val="clear" w:color="auto" w:fill="auto"/>
                  <w:vAlign w:val="center"/>
                </w:tcPr>
                <w:p w14:paraId="51020A0A">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1674.76</w:t>
                  </w:r>
                </w:p>
              </w:tc>
              <w:tc>
                <w:tcPr>
                  <w:tcW w:w="385" w:type="pct"/>
                  <w:tcBorders>
                    <w:top w:val="nil"/>
                    <w:left w:val="single" w:color="auto" w:sz="4" w:space="0"/>
                    <w:bottom w:val="single" w:color="auto" w:sz="4" w:space="0"/>
                    <w:right w:val="single" w:color="auto" w:sz="4" w:space="0"/>
                  </w:tcBorders>
                  <w:shd w:val="clear" w:color="auto" w:fill="auto"/>
                  <w:vAlign w:val="center"/>
                </w:tcPr>
                <w:p w14:paraId="1CD6AAC0">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352" w:type="pct"/>
                  <w:tcBorders>
                    <w:top w:val="nil"/>
                    <w:left w:val="single" w:color="auto" w:sz="4" w:space="0"/>
                    <w:bottom w:val="single" w:color="auto" w:sz="4" w:space="0"/>
                    <w:right w:val="single" w:color="auto" w:sz="4" w:space="0"/>
                  </w:tcBorders>
                  <w:shd w:val="clear" w:color="auto" w:fill="auto"/>
                  <w:vAlign w:val="center"/>
                </w:tcPr>
                <w:p w14:paraId="7944DE07">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473" w:type="pct"/>
                  <w:tcBorders>
                    <w:top w:val="nil"/>
                    <w:left w:val="single" w:color="auto" w:sz="4" w:space="0"/>
                    <w:bottom w:val="single" w:color="auto" w:sz="4" w:space="0"/>
                    <w:right w:val="single" w:color="auto" w:sz="4" w:space="0"/>
                  </w:tcBorders>
                  <w:shd w:val="clear" w:color="auto" w:fill="auto"/>
                  <w:vAlign w:val="center"/>
                </w:tcPr>
                <w:p w14:paraId="3F87F604">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409" w:type="pct"/>
                  <w:tcBorders>
                    <w:top w:val="nil"/>
                    <w:left w:val="single" w:color="auto" w:sz="4" w:space="0"/>
                    <w:bottom w:val="single" w:color="auto" w:sz="4" w:space="0"/>
                    <w:right w:val="single" w:color="auto" w:sz="4" w:space="0"/>
                  </w:tcBorders>
                  <w:shd w:val="clear" w:color="auto" w:fill="auto"/>
                  <w:vAlign w:val="center"/>
                </w:tcPr>
                <w:p w14:paraId="653890E9">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r>
            <w:tr w14:paraId="428BC703">
              <w:tblPrEx>
                <w:tblCellMar>
                  <w:top w:w="0" w:type="dxa"/>
                  <w:left w:w="51" w:type="dxa"/>
                  <w:bottom w:w="0" w:type="dxa"/>
                  <w:right w:w="51" w:type="dxa"/>
                </w:tblCellMar>
              </w:tblPrEx>
              <w:trPr>
                <w:trHeight w:val="90" w:hRule="atLeast"/>
                <w:jc w:val="center"/>
              </w:trPr>
              <w:tc>
                <w:tcPr>
                  <w:tcW w:w="494" w:type="pct"/>
                  <w:vMerge w:val="continue"/>
                  <w:tcBorders>
                    <w:left w:val="single" w:color="auto" w:sz="4" w:space="0"/>
                    <w:bottom w:val="single" w:color="auto" w:sz="4" w:space="0"/>
                    <w:right w:val="single" w:color="auto" w:sz="4" w:space="0"/>
                  </w:tcBorders>
                  <w:vAlign w:val="center"/>
                </w:tcPr>
                <w:p w14:paraId="60DDFC4B">
                  <w:pPr>
                    <w:spacing w:line="360" w:lineRule="exact"/>
                    <w:jc w:val="center"/>
                    <w:rPr>
                      <w:rFonts w:cs="宋体"/>
                      <w:color w:val="000000" w:themeColor="text1"/>
                      <w:spacing w:val="-20"/>
                      <w:szCs w:val="21"/>
                      <w:lang w:bidi="ar"/>
                      <w14:textFill>
                        <w14:solidFill>
                          <w14:schemeClr w14:val="tx1"/>
                        </w14:solidFill>
                      </w14:textFill>
                    </w:rPr>
                  </w:pPr>
                </w:p>
              </w:tc>
              <w:tc>
                <w:tcPr>
                  <w:tcW w:w="573" w:type="pct"/>
                  <w:tcBorders>
                    <w:top w:val="single" w:color="auto" w:sz="4" w:space="0"/>
                    <w:left w:val="single" w:color="auto" w:sz="4" w:space="0"/>
                    <w:bottom w:val="single" w:color="auto" w:sz="4" w:space="0"/>
                    <w:right w:val="single" w:color="auto" w:sz="4" w:space="0"/>
                  </w:tcBorders>
                  <w:shd w:val="clear" w:color="auto" w:fill="auto"/>
                  <w:vAlign w:val="center"/>
                </w:tcPr>
                <w:p w14:paraId="2774B3E1">
                  <w:pPr>
                    <w:spacing w:line="360" w:lineRule="exact"/>
                    <w:jc w:val="center"/>
                    <w:rPr>
                      <w:color w:val="000000" w:themeColor="text1"/>
                      <w:spacing w:val="-20"/>
                      <w:szCs w:val="21"/>
                      <w14:textFill>
                        <w14:solidFill>
                          <w14:schemeClr w14:val="tx1"/>
                        </w14:solidFill>
                      </w14:textFill>
                    </w:rPr>
                  </w:pPr>
                  <w:r>
                    <w:rPr>
                      <w:color w:val="000000" w:themeColor="text1"/>
                      <w:spacing w:val="-20"/>
                      <w:szCs w:val="21"/>
                      <w14:textFill>
                        <w14:solidFill>
                          <w14:schemeClr w14:val="tx1"/>
                        </w14:solidFill>
                      </w14:textFill>
                    </w:rPr>
                    <w:t>箱变施工</w:t>
                  </w:r>
                </w:p>
              </w:tc>
              <w:tc>
                <w:tcPr>
                  <w:tcW w:w="579" w:type="pct"/>
                  <w:tcBorders>
                    <w:top w:val="nil"/>
                    <w:left w:val="single" w:color="auto" w:sz="4" w:space="0"/>
                    <w:bottom w:val="single" w:color="auto" w:sz="4" w:space="0"/>
                    <w:right w:val="single" w:color="auto" w:sz="4" w:space="0"/>
                  </w:tcBorders>
                  <w:shd w:val="clear" w:color="auto" w:fill="auto"/>
                  <w:vAlign w:val="center"/>
                </w:tcPr>
                <w:p w14:paraId="25AF4800">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3070.56</w:t>
                  </w:r>
                </w:p>
              </w:tc>
              <w:tc>
                <w:tcPr>
                  <w:tcW w:w="651" w:type="pct"/>
                  <w:tcBorders>
                    <w:top w:val="nil"/>
                    <w:left w:val="single" w:color="auto" w:sz="4" w:space="0"/>
                    <w:bottom w:val="single" w:color="auto" w:sz="4" w:space="0"/>
                    <w:right w:val="single" w:color="auto" w:sz="4" w:space="0"/>
                  </w:tcBorders>
                  <w:shd w:val="clear" w:color="auto" w:fill="auto"/>
                  <w:vAlign w:val="center"/>
                </w:tcPr>
                <w:p w14:paraId="260543A6">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3070.56</w:t>
                  </w:r>
                </w:p>
              </w:tc>
              <w:tc>
                <w:tcPr>
                  <w:tcW w:w="539" w:type="pct"/>
                  <w:tcBorders>
                    <w:top w:val="nil"/>
                    <w:left w:val="single" w:color="auto" w:sz="4" w:space="0"/>
                    <w:bottom w:val="single" w:color="auto" w:sz="4" w:space="0"/>
                    <w:right w:val="single" w:color="auto" w:sz="4" w:space="0"/>
                  </w:tcBorders>
                  <w:shd w:val="clear" w:color="auto" w:fill="auto"/>
                  <w:vAlign w:val="center"/>
                </w:tcPr>
                <w:p w14:paraId="5EB62017">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2044.8</w:t>
                  </w:r>
                </w:p>
              </w:tc>
              <w:tc>
                <w:tcPr>
                  <w:tcW w:w="540" w:type="pct"/>
                  <w:tcBorders>
                    <w:top w:val="nil"/>
                    <w:left w:val="single" w:color="auto" w:sz="4" w:space="0"/>
                    <w:bottom w:val="single" w:color="auto" w:sz="4" w:space="0"/>
                    <w:right w:val="single" w:color="auto" w:sz="4" w:space="0"/>
                  </w:tcBorders>
                  <w:shd w:val="clear" w:color="auto" w:fill="auto"/>
                  <w:vAlign w:val="center"/>
                </w:tcPr>
                <w:p w14:paraId="154C1786">
                  <w:pPr>
                    <w:spacing w:line="360" w:lineRule="exact"/>
                    <w:jc w:val="center"/>
                    <w:rPr>
                      <w:color w:val="000000" w:themeColor="text1"/>
                      <w:spacing w:val="-20"/>
                      <w:szCs w:val="21"/>
                      <w:lang w:bidi="ar"/>
                      <w14:textFill>
                        <w14:solidFill>
                          <w14:schemeClr w14:val="tx1"/>
                        </w14:solidFill>
                      </w14:textFill>
                    </w:rPr>
                  </w:pPr>
                  <w:r>
                    <w:rPr>
                      <w:rFonts w:hint="eastAsia"/>
                      <w:color w:val="000000" w:themeColor="text1"/>
                      <w:spacing w:val="-20"/>
                      <w:szCs w:val="21"/>
                      <w:lang w:bidi="ar"/>
                      <w14:textFill>
                        <w14:solidFill>
                          <w14:schemeClr w14:val="tx1"/>
                        </w14:solidFill>
                      </w14:textFill>
                    </w:rPr>
                    <w:t>1025.76</w:t>
                  </w:r>
                </w:p>
              </w:tc>
              <w:tc>
                <w:tcPr>
                  <w:tcW w:w="385" w:type="pct"/>
                  <w:tcBorders>
                    <w:top w:val="nil"/>
                    <w:left w:val="single" w:color="auto" w:sz="4" w:space="0"/>
                    <w:bottom w:val="single" w:color="auto" w:sz="4" w:space="0"/>
                    <w:right w:val="single" w:color="auto" w:sz="4" w:space="0"/>
                  </w:tcBorders>
                  <w:shd w:val="clear" w:color="auto" w:fill="auto"/>
                  <w:vAlign w:val="center"/>
                </w:tcPr>
                <w:p w14:paraId="579E7F73">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352" w:type="pct"/>
                  <w:tcBorders>
                    <w:top w:val="nil"/>
                    <w:left w:val="single" w:color="auto" w:sz="4" w:space="0"/>
                    <w:bottom w:val="single" w:color="auto" w:sz="4" w:space="0"/>
                    <w:right w:val="single" w:color="auto" w:sz="4" w:space="0"/>
                  </w:tcBorders>
                  <w:shd w:val="clear" w:color="auto" w:fill="auto"/>
                  <w:vAlign w:val="center"/>
                </w:tcPr>
                <w:p w14:paraId="1F02F5F6">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473" w:type="pct"/>
                  <w:tcBorders>
                    <w:top w:val="nil"/>
                    <w:left w:val="single" w:color="auto" w:sz="4" w:space="0"/>
                    <w:bottom w:val="single" w:color="auto" w:sz="4" w:space="0"/>
                    <w:right w:val="single" w:color="auto" w:sz="4" w:space="0"/>
                  </w:tcBorders>
                  <w:shd w:val="clear" w:color="auto" w:fill="auto"/>
                  <w:vAlign w:val="center"/>
                </w:tcPr>
                <w:p w14:paraId="4D8E33FA">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409" w:type="pct"/>
                  <w:tcBorders>
                    <w:top w:val="nil"/>
                    <w:left w:val="single" w:color="auto" w:sz="4" w:space="0"/>
                    <w:bottom w:val="single" w:color="auto" w:sz="4" w:space="0"/>
                    <w:right w:val="single" w:color="auto" w:sz="4" w:space="0"/>
                  </w:tcBorders>
                  <w:shd w:val="clear" w:color="auto" w:fill="auto"/>
                  <w:vAlign w:val="center"/>
                </w:tcPr>
                <w:p w14:paraId="5BF7AD11">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r>
            <w:tr w14:paraId="354AB985">
              <w:tblPrEx>
                <w:tblCellMar>
                  <w:top w:w="0" w:type="dxa"/>
                  <w:left w:w="51" w:type="dxa"/>
                  <w:bottom w:w="0" w:type="dxa"/>
                  <w:right w:w="51" w:type="dxa"/>
                </w:tblCellMar>
              </w:tblPrEx>
              <w:trPr>
                <w:trHeight w:val="90" w:hRule="atLeast"/>
                <w:jc w:val="center"/>
              </w:trPr>
              <w:tc>
                <w:tcPr>
                  <w:tcW w:w="1068" w:type="pct"/>
                  <w:gridSpan w:val="2"/>
                  <w:tcBorders>
                    <w:top w:val="nil"/>
                    <w:left w:val="single" w:color="auto" w:sz="4" w:space="0"/>
                    <w:bottom w:val="single" w:color="auto" w:sz="4" w:space="0"/>
                    <w:right w:val="single" w:color="auto" w:sz="4" w:space="0"/>
                  </w:tcBorders>
                  <w:vAlign w:val="center"/>
                </w:tcPr>
                <w:p w14:paraId="5C2E59F7">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升压站区</w:t>
                  </w:r>
                </w:p>
              </w:tc>
              <w:tc>
                <w:tcPr>
                  <w:tcW w:w="579" w:type="pct"/>
                  <w:tcBorders>
                    <w:top w:val="nil"/>
                    <w:left w:val="nil"/>
                    <w:bottom w:val="single" w:color="auto" w:sz="4" w:space="0"/>
                    <w:right w:val="single" w:color="auto" w:sz="4" w:space="0"/>
                  </w:tcBorders>
                  <w:shd w:val="clear" w:color="auto" w:fill="auto"/>
                  <w:vAlign w:val="center"/>
                </w:tcPr>
                <w:p w14:paraId="4BC228EF">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lang w:bidi="ar"/>
                      <w14:textFill>
                        <w14:solidFill>
                          <w14:schemeClr w14:val="tx1"/>
                        </w14:solidFill>
                      </w14:textFill>
                    </w:rPr>
                    <w:t>123060</w:t>
                  </w:r>
                </w:p>
              </w:tc>
              <w:tc>
                <w:tcPr>
                  <w:tcW w:w="651" w:type="pct"/>
                  <w:tcBorders>
                    <w:top w:val="nil"/>
                    <w:left w:val="nil"/>
                    <w:bottom w:val="single" w:color="auto" w:sz="4" w:space="0"/>
                    <w:right w:val="single" w:color="auto" w:sz="4" w:space="0"/>
                  </w:tcBorders>
                  <w:shd w:val="clear" w:color="auto" w:fill="auto"/>
                  <w:vAlign w:val="center"/>
                </w:tcPr>
                <w:p w14:paraId="66130946">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lang w:bidi="ar"/>
                      <w14:textFill>
                        <w14:solidFill>
                          <w14:schemeClr w14:val="tx1"/>
                        </w14:solidFill>
                      </w14:textFill>
                    </w:rPr>
                    <w:t>123060</w:t>
                  </w:r>
                </w:p>
              </w:tc>
              <w:tc>
                <w:tcPr>
                  <w:tcW w:w="539" w:type="pct"/>
                  <w:tcBorders>
                    <w:top w:val="nil"/>
                    <w:left w:val="nil"/>
                    <w:bottom w:val="single" w:color="auto" w:sz="4" w:space="0"/>
                    <w:right w:val="single" w:color="auto" w:sz="4" w:space="0"/>
                  </w:tcBorders>
                  <w:shd w:val="clear" w:color="auto" w:fill="auto"/>
                  <w:vAlign w:val="center"/>
                </w:tcPr>
                <w:p w14:paraId="72A725DF">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lang w:bidi="ar"/>
                      <w14:textFill>
                        <w14:solidFill>
                          <w14:schemeClr w14:val="tx1"/>
                        </w14:solidFill>
                      </w14:textFill>
                    </w:rPr>
                    <w:t>94200</w:t>
                  </w:r>
                </w:p>
              </w:tc>
              <w:tc>
                <w:tcPr>
                  <w:tcW w:w="540" w:type="pct"/>
                  <w:tcBorders>
                    <w:top w:val="nil"/>
                    <w:left w:val="nil"/>
                    <w:bottom w:val="single" w:color="auto" w:sz="4" w:space="0"/>
                    <w:right w:val="single" w:color="auto" w:sz="4" w:space="0"/>
                  </w:tcBorders>
                  <w:shd w:val="clear" w:color="auto" w:fill="auto"/>
                  <w:vAlign w:val="center"/>
                </w:tcPr>
                <w:p w14:paraId="58B54324">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200</w:t>
                  </w:r>
                </w:p>
              </w:tc>
              <w:tc>
                <w:tcPr>
                  <w:tcW w:w="385" w:type="pct"/>
                  <w:tcBorders>
                    <w:top w:val="nil"/>
                    <w:left w:val="nil"/>
                    <w:bottom w:val="single" w:color="auto" w:sz="4" w:space="0"/>
                    <w:right w:val="single" w:color="auto" w:sz="4" w:space="0"/>
                  </w:tcBorders>
                  <w:shd w:val="clear" w:color="auto" w:fill="auto"/>
                  <w:vAlign w:val="center"/>
                </w:tcPr>
                <w:p w14:paraId="45242024">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28860</w:t>
                  </w:r>
                </w:p>
              </w:tc>
              <w:tc>
                <w:tcPr>
                  <w:tcW w:w="352" w:type="pct"/>
                  <w:tcBorders>
                    <w:top w:val="nil"/>
                    <w:left w:val="nil"/>
                    <w:bottom w:val="single" w:color="auto" w:sz="4" w:space="0"/>
                    <w:right w:val="single" w:color="auto" w:sz="4" w:space="0"/>
                  </w:tcBorders>
                  <w:shd w:val="clear" w:color="auto" w:fill="auto"/>
                  <w:vAlign w:val="center"/>
                </w:tcPr>
                <w:p w14:paraId="7B2130BE">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473" w:type="pct"/>
                  <w:tcBorders>
                    <w:top w:val="nil"/>
                    <w:left w:val="nil"/>
                    <w:bottom w:val="single" w:color="auto" w:sz="4" w:space="0"/>
                    <w:right w:val="single" w:color="auto" w:sz="4" w:space="0"/>
                  </w:tcBorders>
                  <w:shd w:val="clear" w:color="auto" w:fill="auto"/>
                  <w:vAlign w:val="center"/>
                </w:tcPr>
                <w:p w14:paraId="296BE147">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lang w:bidi="ar"/>
                      <w14:textFill>
                        <w14:solidFill>
                          <w14:schemeClr w14:val="tx1"/>
                        </w14:solidFill>
                      </w14:textFill>
                    </w:rPr>
                    <w:t>200</w:t>
                  </w:r>
                </w:p>
              </w:tc>
              <w:tc>
                <w:tcPr>
                  <w:tcW w:w="409" w:type="pct"/>
                  <w:tcBorders>
                    <w:top w:val="nil"/>
                    <w:left w:val="nil"/>
                    <w:bottom w:val="single" w:color="auto" w:sz="4" w:space="0"/>
                    <w:right w:val="single" w:color="auto" w:sz="4" w:space="0"/>
                  </w:tcBorders>
                  <w:shd w:val="clear" w:color="auto" w:fill="auto"/>
                  <w:vAlign w:val="center"/>
                </w:tcPr>
                <w:p w14:paraId="4C075095">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外购</w:t>
                  </w:r>
                </w:p>
              </w:tc>
            </w:tr>
            <w:tr w14:paraId="5F81FA45">
              <w:tblPrEx>
                <w:tblCellMar>
                  <w:top w:w="0" w:type="dxa"/>
                  <w:left w:w="51" w:type="dxa"/>
                  <w:bottom w:w="0" w:type="dxa"/>
                  <w:right w:w="51" w:type="dxa"/>
                </w:tblCellMar>
              </w:tblPrEx>
              <w:trPr>
                <w:trHeight w:val="90" w:hRule="atLeast"/>
                <w:jc w:val="center"/>
              </w:trPr>
              <w:tc>
                <w:tcPr>
                  <w:tcW w:w="494" w:type="pct"/>
                  <w:tcBorders>
                    <w:top w:val="nil"/>
                    <w:left w:val="single" w:color="auto" w:sz="4" w:space="0"/>
                    <w:bottom w:val="single" w:color="auto" w:sz="4" w:space="0"/>
                    <w:right w:val="single" w:color="auto" w:sz="4" w:space="0"/>
                  </w:tcBorders>
                  <w:vAlign w:val="center"/>
                </w:tcPr>
                <w:p w14:paraId="6DA5B131">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交通工程</w:t>
                  </w:r>
                </w:p>
              </w:tc>
              <w:tc>
                <w:tcPr>
                  <w:tcW w:w="573" w:type="pct"/>
                  <w:tcBorders>
                    <w:top w:val="nil"/>
                    <w:left w:val="single" w:color="auto" w:sz="4" w:space="0"/>
                    <w:bottom w:val="single" w:color="auto" w:sz="4" w:space="0"/>
                    <w:right w:val="single" w:color="auto" w:sz="4" w:space="0"/>
                  </w:tcBorders>
                  <w:shd w:val="clear" w:color="auto" w:fill="auto"/>
                  <w:vAlign w:val="center"/>
                </w:tcPr>
                <w:p w14:paraId="68048AEF">
                  <w:pPr>
                    <w:spacing w:line="360" w:lineRule="exact"/>
                    <w:jc w:val="center"/>
                    <w:rPr>
                      <w:color w:val="000000" w:themeColor="text1"/>
                      <w:spacing w:val="-20"/>
                      <w:szCs w:val="21"/>
                      <w14:textFill>
                        <w14:solidFill>
                          <w14:schemeClr w14:val="tx1"/>
                        </w14:solidFill>
                      </w14:textFill>
                    </w:rPr>
                  </w:pPr>
                  <w:r>
                    <w:rPr>
                      <w:color w:val="000000" w:themeColor="text1"/>
                      <w:spacing w:val="-20"/>
                      <w:szCs w:val="21"/>
                      <w14:textFill>
                        <w14:solidFill>
                          <w14:schemeClr w14:val="tx1"/>
                        </w14:solidFill>
                      </w14:textFill>
                    </w:rPr>
                    <w:t>进站道路</w:t>
                  </w:r>
                </w:p>
              </w:tc>
              <w:tc>
                <w:tcPr>
                  <w:tcW w:w="579" w:type="pct"/>
                  <w:tcBorders>
                    <w:top w:val="nil"/>
                    <w:left w:val="nil"/>
                    <w:bottom w:val="single" w:color="auto" w:sz="4" w:space="0"/>
                    <w:right w:val="single" w:color="auto" w:sz="4" w:space="0"/>
                  </w:tcBorders>
                  <w:shd w:val="clear" w:color="auto" w:fill="auto"/>
                  <w:vAlign w:val="center"/>
                </w:tcPr>
                <w:p w14:paraId="1DB1F4C8">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651" w:type="pct"/>
                  <w:tcBorders>
                    <w:top w:val="nil"/>
                    <w:left w:val="nil"/>
                    <w:bottom w:val="single" w:color="auto" w:sz="4" w:space="0"/>
                    <w:right w:val="single" w:color="auto" w:sz="4" w:space="0"/>
                  </w:tcBorders>
                  <w:shd w:val="clear" w:color="auto" w:fill="auto"/>
                  <w:vAlign w:val="center"/>
                </w:tcPr>
                <w:p w14:paraId="054F8BA2">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539" w:type="pct"/>
                  <w:tcBorders>
                    <w:top w:val="nil"/>
                    <w:left w:val="nil"/>
                    <w:bottom w:val="single" w:color="auto" w:sz="4" w:space="0"/>
                    <w:right w:val="single" w:color="auto" w:sz="4" w:space="0"/>
                  </w:tcBorders>
                  <w:shd w:val="clear" w:color="auto" w:fill="auto"/>
                  <w:vAlign w:val="center"/>
                </w:tcPr>
                <w:p w14:paraId="1BC9A12E">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28860</w:t>
                  </w:r>
                </w:p>
              </w:tc>
              <w:tc>
                <w:tcPr>
                  <w:tcW w:w="540" w:type="pct"/>
                  <w:tcBorders>
                    <w:top w:val="nil"/>
                    <w:left w:val="nil"/>
                    <w:bottom w:val="single" w:color="auto" w:sz="4" w:space="0"/>
                    <w:right w:val="single" w:color="auto" w:sz="4" w:space="0"/>
                  </w:tcBorders>
                  <w:shd w:val="clear" w:color="auto" w:fill="auto"/>
                  <w:vAlign w:val="center"/>
                </w:tcPr>
                <w:p w14:paraId="17F9D91C">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0</w:t>
                  </w:r>
                </w:p>
              </w:tc>
              <w:tc>
                <w:tcPr>
                  <w:tcW w:w="385" w:type="pct"/>
                  <w:tcBorders>
                    <w:top w:val="nil"/>
                    <w:left w:val="nil"/>
                    <w:bottom w:val="single" w:color="auto" w:sz="4" w:space="0"/>
                    <w:right w:val="single" w:color="auto" w:sz="4" w:space="0"/>
                  </w:tcBorders>
                  <w:shd w:val="clear" w:color="auto" w:fill="auto"/>
                  <w:vAlign w:val="center"/>
                </w:tcPr>
                <w:p w14:paraId="31D7ADBC">
                  <w:pPr>
                    <w:spacing w:line="360" w:lineRule="exact"/>
                    <w:jc w:val="center"/>
                    <w:rPr>
                      <w:color w:val="000000" w:themeColor="text1"/>
                      <w:spacing w:val="-20"/>
                      <w:szCs w:val="21"/>
                      <w14:textFill>
                        <w14:solidFill>
                          <w14:schemeClr w14:val="tx1"/>
                        </w14:solidFill>
                      </w14:textFill>
                    </w:rPr>
                  </w:pPr>
                  <w:r>
                    <w:rPr>
                      <w:color w:val="000000" w:themeColor="text1"/>
                      <w:spacing w:val="-20"/>
                      <w:szCs w:val="21"/>
                      <w:lang w:bidi="ar"/>
                      <w14:textFill>
                        <w14:solidFill>
                          <w14:schemeClr w14:val="tx1"/>
                        </w14:solidFill>
                      </w14:textFill>
                    </w:rPr>
                    <w:t>0.00</w:t>
                  </w:r>
                </w:p>
              </w:tc>
              <w:tc>
                <w:tcPr>
                  <w:tcW w:w="352" w:type="pct"/>
                  <w:tcBorders>
                    <w:top w:val="nil"/>
                    <w:left w:val="nil"/>
                    <w:bottom w:val="single" w:color="auto" w:sz="4" w:space="0"/>
                    <w:right w:val="single" w:color="auto" w:sz="4" w:space="0"/>
                  </w:tcBorders>
                  <w:shd w:val="clear" w:color="auto" w:fill="auto"/>
                  <w:vAlign w:val="center"/>
                </w:tcPr>
                <w:p w14:paraId="2DBC2B8D">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c>
                <w:tcPr>
                  <w:tcW w:w="473" w:type="pct"/>
                  <w:tcBorders>
                    <w:top w:val="nil"/>
                    <w:left w:val="nil"/>
                    <w:bottom w:val="single" w:color="auto" w:sz="4" w:space="0"/>
                    <w:right w:val="single" w:color="auto" w:sz="4" w:space="0"/>
                  </w:tcBorders>
                  <w:shd w:val="clear" w:color="auto" w:fill="auto"/>
                  <w:vAlign w:val="center"/>
                </w:tcPr>
                <w:p w14:paraId="383E56DA">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28600</w:t>
                  </w:r>
                </w:p>
              </w:tc>
              <w:tc>
                <w:tcPr>
                  <w:tcW w:w="409" w:type="pct"/>
                  <w:tcBorders>
                    <w:top w:val="nil"/>
                    <w:left w:val="nil"/>
                    <w:bottom w:val="single" w:color="auto" w:sz="4" w:space="0"/>
                    <w:right w:val="single" w:color="auto" w:sz="4" w:space="0"/>
                  </w:tcBorders>
                  <w:shd w:val="clear" w:color="auto" w:fill="auto"/>
                  <w:vAlign w:val="center"/>
                </w:tcPr>
                <w:p w14:paraId="68D9B066">
                  <w:pPr>
                    <w:spacing w:line="360" w:lineRule="exact"/>
                    <w:jc w:val="center"/>
                    <w:rPr>
                      <w:color w:val="000000" w:themeColor="text1"/>
                      <w:spacing w:val="-20"/>
                      <w:szCs w:val="21"/>
                      <w14:textFill>
                        <w14:solidFill>
                          <w14:schemeClr w14:val="tx1"/>
                        </w14:solidFill>
                      </w14:textFill>
                    </w:rPr>
                  </w:pPr>
                  <w:r>
                    <w:rPr>
                      <w:rFonts w:hint="eastAsia" w:cs="宋体"/>
                      <w:color w:val="000000" w:themeColor="text1"/>
                      <w:spacing w:val="-20"/>
                      <w:szCs w:val="21"/>
                      <w:lang w:bidi="ar"/>
                      <w14:textFill>
                        <w14:solidFill>
                          <w14:schemeClr w14:val="tx1"/>
                        </w14:solidFill>
                      </w14:textFill>
                    </w:rPr>
                    <w:t>--</w:t>
                  </w:r>
                </w:p>
              </w:tc>
            </w:tr>
            <w:tr w14:paraId="5E281F26">
              <w:tblPrEx>
                <w:tblCellMar>
                  <w:top w:w="0" w:type="dxa"/>
                  <w:left w:w="51" w:type="dxa"/>
                  <w:bottom w:w="0" w:type="dxa"/>
                  <w:right w:w="51" w:type="dxa"/>
                </w:tblCellMar>
              </w:tblPrEx>
              <w:trPr>
                <w:trHeight w:val="90" w:hRule="atLeast"/>
                <w:jc w:val="center"/>
              </w:trPr>
              <w:tc>
                <w:tcPr>
                  <w:tcW w:w="1068" w:type="pct"/>
                  <w:gridSpan w:val="2"/>
                  <w:tcBorders>
                    <w:top w:val="nil"/>
                    <w:left w:val="single" w:color="auto" w:sz="4" w:space="0"/>
                    <w:bottom w:val="single" w:color="auto" w:sz="4" w:space="0"/>
                    <w:right w:val="single" w:color="auto" w:sz="4" w:space="0"/>
                  </w:tcBorders>
                  <w:vAlign w:val="center"/>
                </w:tcPr>
                <w:p w14:paraId="7907F545">
                  <w:pPr>
                    <w:spacing w:line="360" w:lineRule="exact"/>
                    <w:jc w:val="center"/>
                    <w:rPr>
                      <w:b/>
                      <w:bCs/>
                      <w:color w:val="000000" w:themeColor="text1"/>
                      <w:spacing w:val="-20"/>
                      <w:szCs w:val="21"/>
                      <w14:textFill>
                        <w14:solidFill>
                          <w14:schemeClr w14:val="tx1"/>
                        </w14:solidFill>
                      </w14:textFill>
                    </w:rPr>
                  </w:pPr>
                  <w:r>
                    <w:rPr>
                      <w:rFonts w:hint="eastAsia" w:cs="宋体"/>
                      <w:b/>
                      <w:bCs/>
                      <w:color w:val="000000" w:themeColor="text1"/>
                      <w:spacing w:val="-20"/>
                      <w:szCs w:val="21"/>
                      <w:lang w:bidi="ar"/>
                      <w14:textFill>
                        <w14:solidFill>
                          <w14:schemeClr w14:val="tx1"/>
                        </w14:solidFill>
                      </w14:textFill>
                    </w:rPr>
                    <w:t>合计</w:t>
                  </w:r>
                </w:p>
              </w:tc>
              <w:tc>
                <w:tcPr>
                  <w:tcW w:w="579" w:type="pct"/>
                  <w:tcBorders>
                    <w:top w:val="nil"/>
                    <w:left w:val="nil"/>
                    <w:bottom w:val="single" w:color="auto" w:sz="4" w:space="0"/>
                    <w:right w:val="single" w:color="auto" w:sz="4" w:space="0"/>
                  </w:tcBorders>
                  <w:shd w:val="clear" w:color="auto" w:fill="auto"/>
                  <w:vAlign w:val="center"/>
                </w:tcPr>
                <w:p w14:paraId="3CAC42C1">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14:textFill>
                        <w14:solidFill>
                          <w14:schemeClr w14:val="tx1"/>
                        </w14:solidFill>
                      </w14:textFill>
                    </w:rPr>
                    <w:t>169112.96</w:t>
                  </w:r>
                </w:p>
              </w:tc>
              <w:tc>
                <w:tcPr>
                  <w:tcW w:w="651" w:type="pct"/>
                  <w:tcBorders>
                    <w:top w:val="nil"/>
                    <w:left w:val="nil"/>
                    <w:bottom w:val="single" w:color="auto" w:sz="4" w:space="0"/>
                    <w:right w:val="single" w:color="auto" w:sz="4" w:space="0"/>
                  </w:tcBorders>
                  <w:shd w:val="clear" w:color="auto" w:fill="auto"/>
                  <w:vAlign w:val="center"/>
                </w:tcPr>
                <w:p w14:paraId="6F4F6115">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14:textFill>
                        <w14:solidFill>
                          <w14:schemeClr w14:val="tx1"/>
                        </w14:solidFill>
                      </w14:textFill>
                    </w:rPr>
                    <w:t>169112.96</w:t>
                  </w:r>
                </w:p>
              </w:tc>
              <w:tc>
                <w:tcPr>
                  <w:tcW w:w="539" w:type="pct"/>
                  <w:tcBorders>
                    <w:top w:val="nil"/>
                    <w:left w:val="nil"/>
                    <w:bottom w:val="single" w:color="auto" w:sz="4" w:space="0"/>
                    <w:right w:val="single" w:color="auto" w:sz="4" w:space="0"/>
                  </w:tcBorders>
                  <w:shd w:val="clear" w:color="auto" w:fill="auto"/>
                  <w:vAlign w:val="center"/>
                </w:tcPr>
                <w:p w14:paraId="50750B24">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14:textFill>
                        <w14:solidFill>
                          <w14:schemeClr w14:val="tx1"/>
                        </w14:solidFill>
                      </w14:textFill>
                    </w:rPr>
                    <w:t>166412.44</w:t>
                  </w:r>
                </w:p>
              </w:tc>
              <w:tc>
                <w:tcPr>
                  <w:tcW w:w="540" w:type="pct"/>
                  <w:tcBorders>
                    <w:top w:val="nil"/>
                    <w:left w:val="nil"/>
                    <w:bottom w:val="single" w:color="auto" w:sz="4" w:space="0"/>
                    <w:right w:val="single" w:color="auto" w:sz="4" w:space="0"/>
                  </w:tcBorders>
                  <w:shd w:val="clear" w:color="auto" w:fill="auto"/>
                  <w:vAlign w:val="center"/>
                </w:tcPr>
                <w:p w14:paraId="4CD93A3D">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14:textFill>
                        <w14:solidFill>
                          <w14:schemeClr w14:val="tx1"/>
                        </w14:solidFill>
                      </w14:textFill>
                    </w:rPr>
                    <w:t>2900.52</w:t>
                  </w:r>
                </w:p>
              </w:tc>
              <w:tc>
                <w:tcPr>
                  <w:tcW w:w="385" w:type="pct"/>
                  <w:tcBorders>
                    <w:top w:val="nil"/>
                    <w:left w:val="nil"/>
                    <w:bottom w:val="single" w:color="auto" w:sz="4" w:space="0"/>
                    <w:right w:val="single" w:color="auto" w:sz="4" w:space="0"/>
                  </w:tcBorders>
                  <w:shd w:val="clear" w:color="auto" w:fill="auto"/>
                  <w:vAlign w:val="center"/>
                </w:tcPr>
                <w:p w14:paraId="507BDA58">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lang w:bidi="ar"/>
                      <w14:textFill>
                        <w14:solidFill>
                          <w14:schemeClr w14:val="tx1"/>
                        </w14:solidFill>
                      </w14:textFill>
                    </w:rPr>
                    <w:t>2</w:t>
                  </w:r>
                  <w:r>
                    <w:rPr>
                      <w:b/>
                      <w:bCs/>
                      <w:color w:val="000000" w:themeColor="text1"/>
                      <w:spacing w:val="-20"/>
                      <w:szCs w:val="21"/>
                      <w:lang w:bidi="ar"/>
                      <w14:textFill>
                        <w14:solidFill>
                          <w14:schemeClr w14:val="tx1"/>
                        </w14:solidFill>
                      </w14:textFill>
                    </w:rPr>
                    <w:t>8860</w:t>
                  </w:r>
                </w:p>
              </w:tc>
              <w:tc>
                <w:tcPr>
                  <w:tcW w:w="352" w:type="pct"/>
                  <w:tcBorders>
                    <w:top w:val="nil"/>
                    <w:left w:val="nil"/>
                    <w:bottom w:val="single" w:color="auto" w:sz="4" w:space="0"/>
                    <w:right w:val="single" w:color="auto" w:sz="4" w:space="0"/>
                  </w:tcBorders>
                  <w:shd w:val="clear" w:color="auto" w:fill="auto"/>
                  <w:vAlign w:val="center"/>
                </w:tcPr>
                <w:p w14:paraId="68C12523">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14:textFill>
                        <w14:solidFill>
                          <w14:schemeClr w14:val="tx1"/>
                        </w14:solidFill>
                      </w14:textFill>
                    </w:rPr>
                    <w:t>--</w:t>
                  </w:r>
                </w:p>
              </w:tc>
              <w:tc>
                <w:tcPr>
                  <w:tcW w:w="473" w:type="pct"/>
                  <w:tcBorders>
                    <w:top w:val="nil"/>
                    <w:left w:val="nil"/>
                    <w:bottom w:val="single" w:color="auto" w:sz="4" w:space="0"/>
                    <w:right w:val="single" w:color="auto" w:sz="4" w:space="0"/>
                  </w:tcBorders>
                  <w:shd w:val="clear" w:color="auto" w:fill="auto"/>
                  <w:vAlign w:val="center"/>
                </w:tcPr>
                <w:p w14:paraId="738FC53E">
                  <w:pPr>
                    <w:spacing w:line="360" w:lineRule="exact"/>
                    <w:jc w:val="center"/>
                    <w:rPr>
                      <w:b/>
                      <w:bCs/>
                      <w:color w:val="000000" w:themeColor="text1"/>
                      <w:spacing w:val="-20"/>
                      <w:szCs w:val="21"/>
                      <w14:textFill>
                        <w14:solidFill>
                          <w14:schemeClr w14:val="tx1"/>
                        </w14:solidFill>
                      </w14:textFill>
                    </w:rPr>
                  </w:pPr>
                  <w:r>
                    <w:rPr>
                      <w:rFonts w:hint="eastAsia"/>
                      <w:b/>
                      <w:bCs/>
                      <w:color w:val="000000" w:themeColor="text1"/>
                      <w:spacing w:val="-20"/>
                      <w:szCs w:val="21"/>
                      <w:lang w:bidi="ar"/>
                      <w14:textFill>
                        <w14:solidFill>
                          <w14:schemeClr w14:val="tx1"/>
                        </w14:solidFill>
                      </w14:textFill>
                    </w:rPr>
                    <w:t>29060</w:t>
                  </w:r>
                </w:p>
              </w:tc>
              <w:tc>
                <w:tcPr>
                  <w:tcW w:w="409" w:type="pct"/>
                  <w:tcBorders>
                    <w:top w:val="nil"/>
                    <w:left w:val="nil"/>
                    <w:bottom w:val="single" w:color="auto" w:sz="4" w:space="0"/>
                    <w:right w:val="single" w:color="auto" w:sz="4" w:space="0"/>
                  </w:tcBorders>
                  <w:shd w:val="clear" w:color="auto" w:fill="auto"/>
                  <w:vAlign w:val="center"/>
                </w:tcPr>
                <w:p w14:paraId="46934CDA">
                  <w:pPr>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w:t>
                  </w:r>
                </w:p>
              </w:tc>
            </w:tr>
          </w:tbl>
          <w:p w14:paraId="70FB3033">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lang w:bidi="ar"/>
                <w14:textFill>
                  <w14:solidFill>
                    <w14:schemeClr w14:val="tx1"/>
                  </w14:solidFill>
                </w14:textFill>
              </w:rPr>
              <w:t>3</w:t>
            </w:r>
            <w:r>
              <w:rPr>
                <w:rFonts w:hint="eastAsia" w:cs="宋体"/>
                <w:color w:val="000000" w:themeColor="text1"/>
                <w:sz w:val="24"/>
                <w:lang w:bidi="ar"/>
                <w14:textFill>
                  <w14:solidFill>
                    <w14:schemeClr w14:val="tx1"/>
                  </w14:solidFill>
                </w14:textFill>
              </w:rPr>
              <w:t>、表土临时堆存</w:t>
            </w:r>
          </w:p>
          <w:p w14:paraId="7B135520">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临时堆土场、散装建筑材料堆场应压实，并严密遮盖。施工中产生的弃渣用于回填及场地平整，剩余的少量建筑垃圾和弃渣，均用汽车运走。</w:t>
            </w:r>
          </w:p>
          <w:p w14:paraId="1CEB8165">
            <w:pPr>
              <w:adjustRightInd w:val="0"/>
              <w:snapToGrid w:val="0"/>
              <w:spacing w:line="440" w:lineRule="exact"/>
              <w:rPr>
                <w:b/>
                <w:color w:val="000000" w:themeColor="text1"/>
                <w:kern w:val="0"/>
                <w:sz w:val="24"/>
                <w14:textFill>
                  <w14:solidFill>
                    <w14:schemeClr w14:val="tx1"/>
                  </w14:solidFill>
                </w14:textFill>
              </w:rPr>
            </w:pPr>
            <w:r>
              <w:rPr>
                <w:b/>
                <w:color w:val="000000" w:themeColor="text1"/>
                <w:kern w:val="0"/>
                <w:sz w:val="24"/>
                <w:lang w:bidi="ar"/>
                <w14:textFill>
                  <w14:solidFill>
                    <w14:schemeClr w14:val="tx1"/>
                  </w14:solidFill>
                </w14:textFill>
              </w:rPr>
              <w:t xml:space="preserve">5.2 </w:t>
            </w:r>
            <w:r>
              <w:rPr>
                <w:rFonts w:hint="eastAsia" w:cs="宋体"/>
                <w:b/>
                <w:color w:val="000000" w:themeColor="text1"/>
                <w:kern w:val="0"/>
                <w:sz w:val="24"/>
                <w:lang w:bidi="ar"/>
                <w14:textFill>
                  <w14:solidFill>
                    <w14:schemeClr w14:val="tx1"/>
                  </w14:solidFill>
                </w14:textFill>
              </w:rPr>
              <w:t>建筑垃圾</w:t>
            </w:r>
          </w:p>
          <w:p w14:paraId="79D46406">
            <w:pPr>
              <w:adjustRightInd w:val="0"/>
              <w:snapToGrid w:val="0"/>
              <w:spacing w:line="440" w:lineRule="exact"/>
              <w:ind w:firstLine="480" w:firstLineChars="200"/>
              <w:rPr>
                <w:b/>
                <w:color w:val="000000" w:themeColor="text1"/>
                <w:kern w:val="0"/>
                <w:sz w:val="24"/>
                <w:highlight w:val="yellow"/>
                <w14:textFill>
                  <w14:solidFill>
                    <w14:schemeClr w14:val="tx1"/>
                  </w14:solidFill>
                </w14:textFill>
              </w:rPr>
            </w:pPr>
            <w:r>
              <w:rPr>
                <w:rFonts w:hint="eastAsia" w:cs="宋体"/>
                <w:color w:val="000000" w:themeColor="text1"/>
                <w:kern w:val="0"/>
                <w:sz w:val="24"/>
                <w:lang w:bidi="ar"/>
                <w14:textFill>
                  <w14:solidFill>
                    <w14:schemeClr w14:val="tx1"/>
                  </w14:solidFill>
                </w14:textFill>
              </w:rPr>
              <w:t>建筑垃圾包括废弃砖石、水泥凝结废渣、废弃铁质及木质建材等，项目应对其进行分类集中堆存，能回收利用的回收利用，例如木制（铁制）材料等，交回收购商进行收购处置，重复利用；不能回收利用的建筑垃圾，加强管理，项目完工后，要及时收集，统一清运，按照相关主管部门的要求运至指定的建筑垃圾处置场进行处置，禁止与生活垃圾混合处置，禁止随意丢弃。</w:t>
            </w:r>
          </w:p>
          <w:p w14:paraId="3885CAF7">
            <w:pPr>
              <w:adjustRightInd w:val="0"/>
              <w:snapToGrid w:val="0"/>
              <w:spacing w:line="440" w:lineRule="exact"/>
              <w:rPr>
                <w:b/>
                <w:color w:val="000000" w:themeColor="text1"/>
                <w:kern w:val="0"/>
                <w:sz w:val="24"/>
                <w14:textFill>
                  <w14:solidFill>
                    <w14:schemeClr w14:val="tx1"/>
                  </w14:solidFill>
                </w14:textFill>
              </w:rPr>
            </w:pPr>
            <w:r>
              <w:rPr>
                <w:b/>
                <w:color w:val="000000" w:themeColor="text1"/>
                <w:kern w:val="0"/>
                <w:sz w:val="24"/>
                <w:lang w:bidi="ar"/>
                <w14:textFill>
                  <w14:solidFill>
                    <w14:schemeClr w14:val="tx1"/>
                  </w14:solidFill>
                </w14:textFill>
              </w:rPr>
              <w:t xml:space="preserve">5.3 </w:t>
            </w:r>
            <w:r>
              <w:rPr>
                <w:rFonts w:hint="eastAsia" w:cs="宋体"/>
                <w:b/>
                <w:color w:val="000000" w:themeColor="text1"/>
                <w:kern w:val="0"/>
                <w:sz w:val="24"/>
                <w:lang w:bidi="ar"/>
                <w14:textFill>
                  <w14:solidFill>
                    <w14:schemeClr w14:val="tx1"/>
                  </w14:solidFill>
                </w14:textFill>
              </w:rPr>
              <w:t>施工人员生活垃圾</w:t>
            </w:r>
          </w:p>
          <w:p w14:paraId="6FC38BC5">
            <w:pPr>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s="宋体"/>
                <w:color w:val="000000" w:themeColor="text1"/>
                <w:kern w:val="0"/>
                <w:sz w:val="24"/>
                <w:lang w:bidi="ar"/>
                <w14:textFill>
                  <w14:solidFill>
                    <w14:schemeClr w14:val="tx1"/>
                  </w14:solidFill>
                </w14:textFill>
              </w:rPr>
              <w:t>施工期施工人员的生活垃圾产生量按</w:t>
            </w:r>
            <w:r>
              <w:rPr>
                <w:color w:val="000000" w:themeColor="text1"/>
                <w:kern w:val="0"/>
                <w:sz w:val="24"/>
                <w:lang w:bidi="ar"/>
                <w14:textFill>
                  <w14:solidFill>
                    <w14:schemeClr w14:val="tx1"/>
                  </w14:solidFill>
                </w14:textFill>
              </w:rPr>
              <w:t>1.0kg/</w:t>
            </w:r>
            <w:r>
              <w:rPr>
                <w:rFonts w:hint="eastAsia" w:cs="宋体"/>
                <w:color w:val="000000" w:themeColor="text1"/>
                <w:kern w:val="0"/>
                <w:sz w:val="24"/>
                <w:lang w:bidi="ar"/>
                <w14:textFill>
                  <w14:solidFill>
                    <w14:schemeClr w14:val="tx1"/>
                  </w14:solidFill>
                </w14:textFill>
              </w:rPr>
              <w:t>人</w:t>
            </w:r>
            <w:r>
              <w:rPr>
                <w:color w:val="000000" w:themeColor="text1"/>
                <w:kern w:val="0"/>
                <w:sz w:val="24"/>
                <w:lang w:bidi="ar"/>
                <w14:textFill>
                  <w14:solidFill>
                    <w14:schemeClr w14:val="tx1"/>
                  </w14:solidFill>
                </w14:textFill>
              </w:rPr>
              <w:t>·d</w:t>
            </w:r>
            <w:r>
              <w:rPr>
                <w:rFonts w:hint="eastAsia" w:cs="宋体"/>
                <w:color w:val="000000" w:themeColor="text1"/>
                <w:kern w:val="0"/>
                <w:sz w:val="24"/>
                <w:lang w:bidi="ar"/>
                <w14:textFill>
                  <w14:solidFill>
                    <w14:schemeClr w14:val="tx1"/>
                  </w14:solidFill>
                </w14:textFill>
              </w:rPr>
              <w:t>考虑，施工高峰期人数约</w:t>
            </w:r>
            <w:r>
              <w:rPr>
                <w:rFonts w:hint="eastAsia"/>
                <w:color w:val="000000" w:themeColor="text1"/>
                <w:kern w:val="0"/>
                <w:sz w:val="24"/>
                <w:lang w:bidi="ar"/>
                <w14:textFill>
                  <w14:solidFill>
                    <w14:schemeClr w14:val="tx1"/>
                  </w14:solidFill>
                </w14:textFill>
              </w:rPr>
              <w:t>400</w:t>
            </w:r>
            <w:r>
              <w:rPr>
                <w:rFonts w:hint="eastAsia" w:cs="宋体"/>
                <w:color w:val="000000" w:themeColor="text1"/>
                <w:kern w:val="0"/>
                <w:sz w:val="24"/>
                <w:lang w:bidi="ar"/>
                <w14:textFill>
                  <w14:solidFill>
                    <w14:schemeClr w14:val="tx1"/>
                  </w14:solidFill>
                </w14:textFill>
              </w:rPr>
              <w:t>人，项目施工期为</w:t>
            </w:r>
            <w:r>
              <w:rPr>
                <w:rFonts w:hint="eastAsia"/>
                <w:color w:val="000000" w:themeColor="text1"/>
                <w:kern w:val="0"/>
                <w:sz w:val="24"/>
                <w:lang w:bidi="ar"/>
                <w14:textFill>
                  <w14:solidFill>
                    <w14:schemeClr w14:val="tx1"/>
                  </w14:solidFill>
                </w14:textFill>
              </w:rPr>
              <w:t>6</w:t>
            </w:r>
            <w:r>
              <w:rPr>
                <w:rFonts w:hint="eastAsia" w:cs="宋体"/>
                <w:color w:val="000000" w:themeColor="text1"/>
                <w:kern w:val="0"/>
                <w:sz w:val="24"/>
                <w:lang w:bidi="ar"/>
                <w14:textFill>
                  <w14:solidFill>
                    <w14:schemeClr w14:val="tx1"/>
                  </w14:solidFill>
                </w14:textFill>
              </w:rPr>
              <w:t>个月，施工期将产生生活垃圾</w:t>
            </w:r>
            <w:r>
              <w:rPr>
                <w:rFonts w:hint="eastAsia"/>
                <w:color w:val="000000" w:themeColor="text1"/>
                <w:kern w:val="0"/>
                <w:sz w:val="24"/>
                <w:lang w:bidi="ar"/>
                <w14:textFill>
                  <w14:solidFill>
                    <w14:schemeClr w14:val="tx1"/>
                  </w14:solidFill>
                </w14:textFill>
              </w:rPr>
              <w:t>72</w:t>
            </w:r>
            <w:r>
              <w:rPr>
                <w:color w:val="000000" w:themeColor="text1"/>
                <w:kern w:val="0"/>
                <w:sz w:val="24"/>
                <w:lang w:bidi="ar"/>
                <w14:textFill>
                  <w14:solidFill>
                    <w14:schemeClr w14:val="tx1"/>
                  </w14:solidFill>
                </w14:textFill>
              </w:rPr>
              <w:t>t</w:t>
            </w:r>
            <w:r>
              <w:rPr>
                <w:rFonts w:hint="eastAsia" w:cs="宋体"/>
                <w:color w:val="000000" w:themeColor="text1"/>
                <w:kern w:val="0"/>
                <w:sz w:val="24"/>
                <w:lang w:bidi="ar"/>
                <w14:textFill>
                  <w14:solidFill>
                    <w14:schemeClr w14:val="tx1"/>
                  </w14:solidFill>
                </w14:textFill>
              </w:rPr>
              <w:t>，在施工场地设置垃圾收集桶，产生的生活垃圾经收集后就近运至垃圾收集点处置。</w:t>
            </w:r>
          </w:p>
          <w:p w14:paraId="4A43C8C9">
            <w:pPr>
              <w:adjustRightInd w:val="0"/>
              <w:snapToGrid w:val="0"/>
              <w:spacing w:line="440" w:lineRule="exact"/>
              <w:ind w:firstLine="480" w:firstLineChars="200"/>
              <w:rPr>
                <w:color w:val="000000" w:themeColor="text1"/>
                <w:kern w:val="0"/>
                <w:sz w:val="24"/>
                <w14:textFill>
                  <w14:solidFill>
                    <w14:schemeClr w14:val="tx1"/>
                  </w14:solidFill>
                </w14:textFill>
              </w:rPr>
            </w:pPr>
            <w:r>
              <w:rPr>
                <w:rFonts w:hint="eastAsia" w:cs="宋体"/>
                <w:color w:val="000000" w:themeColor="text1"/>
                <w:kern w:val="0"/>
                <w:sz w:val="24"/>
                <w:lang w:bidi="ar"/>
                <w14:textFill>
                  <w14:solidFill>
                    <w14:schemeClr w14:val="tx1"/>
                  </w14:solidFill>
                </w14:textFill>
              </w:rPr>
              <w:t>综上所述，项目施工期间对各类固体废弃物采取了合理的处置措施及综合利用措施，施工期间固体废弃物不外排，对评价区域环境基本没有影响。</w:t>
            </w:r>
          </w:p>
          <w:p w14:paraId="59E79974">
            <w:pPr>
              <w:spacing w:line="440" w:lineRule="exact"/>
              <w:rPr>
                <w:b/>
                <w:color w:val="000000" w:themeColor="text1"/>
                <w:sz w:val="24"/>
                <w14:textFill>
                  <w14:solidFill>
                    <w14:schemeClr w14:val="tx1"/>
                  </w14:solidFill>
                </w14:textFill>
              </w:rPr>
            </w:pPr>
            <w:r>
              <w:rPr>
                <w:b/>
                <w:color w:val="000000" w:themeColor="text1"/>
                <w:sz w:val="24"/>
                <w:lang w:bidi="ar"/>
                <w14:textFill>
                  <w14:solidFill>
                    <w14:schemeClr w14:val="tx1"/>
                  </w14:solidFill>
                </w14:textFill>
              </w:rPr>
              <w:t xml:space="preserve">6 </w:t>
            </w:r>
            <w:r>
              <w:rPr>
                <w:rFonts w:hint="eastAsia" w:cs="宋体"/>
                <w:b/>
                <w:color w:val="000000" w:themeColor="text1"/>
                <w:sz w:val="24"/>
                <w:lang w:bidi="ar"/>
                <w14:textFill>
                  <w14:solidFill>
                    <w14:schemeClr w14:val="tx1"/>
                  </w14:solidFill>
                </w14:textFill>
              </w:rPr>
              <w:t>施工期生态修复影响分析</w:t>
            </w:r>
          </w:p>
          <w:p w14:paraId="0128A00D">
            <w:pPr>
              <w:widowControl/>
              <w:spacing w:line="440" w:lineRule="exact"/>
              <w:ind w:firstLine="480" w:firstLineChars="200"/>
              <w:jc w:val="left"/>
              <w:rPr>
                <w:color w:val="000000" w:themeColor="text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通过光伏与林业+绿化的结合，在不改变原有土地性质的情况下，既能使遵化市丰富的太阳能资源得到开发，又能使生态脆弱地区的生态得到恢复。</w:t>
            </w:r>
          </w:p>
          <w:p w14:paraId="0712C533">
            <w:pPr>
              <w:widowControl/>
              <w:spacing w:line="440" w:lineRule="exact"/>
              <w:ind w:firstLine="480" w:firstLineChars="200"/>
              <w:jc w:val="left"/>
              <w:rPr>
                <w:color w:val="000000" w:themeColor="text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现阶段方案为在电站场区内播撒耐旱草籽，加大绿化面积；对建筑物周围进行绿化，灌、乔、草结合种植。</w:t>
            </w:r>
          </w:p>
          <w:p w14:paraId="38499521">
            <w:pPr>
              <w:widowControl/>
              <w:spacing w:line="440" w:lineRule="exact"/>
              <w:ind w:firstLine="480" w:firstLineChars="200"/>
              <w:jc w:val="left"/>
              <w:rPr>
                <w:color w:val="000000" w:themeColor="text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①废水</w:t>
            </w:r>
          </w:p>
          <w:p w14:paraId="53C8BFA0">
            <w:pPr>
              <w:widowControl/>
              <w:spacing w:line="440" w:lineRule="exact"/>
              <w:ind w:firstLine="480" w:firstLineChars="200"/>
              <w:jc w:val="left"/>
              <w:rPr>
                <w:color w:val="000000" w:themeColor="text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项目施工期仅建临时旱厕、沉淀池等少量工程，施工人员在外部住宿，施工区域生活污水经化粪池初步处理后进入生活污水一体化处理设施，处理后合格水用于站区地面冲洗、绿化等。施工期间产生的建筑施工废水全部经沉淀处理后回用，不会对环境造成大的影响。</w:t>
            </w:r>
          </w:p>
          <w:p w14:paraId="2E446069">
            <w:pPr>
              <w:widowControl/>
              <w:spacing w:line="440" w:lineRule="exact"/>
              <w:ind w:firstLine="480" w:firstLineChars="200"/>
              <w:jc w:val="left"/>
              <w:rPr>
                <w:color w:val="000000" w:themeColor="text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②废气</w:t>
            </w:r>
          </w:p>
          <w:p w14:paraId="6D0DA4E3">
            <w:pPr>
              <w:widowControl/>
              <w:spacing w:line="440" w:lineRule="exact"/>
              <w:ind w:firstLine="480" w:firstLineChars="200"/>
              <w:jc w:val="left"/>
              <w:rPr>
                <w:color w:val="000000" w:themeColor="text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施工期开挖沉淀池和管道沟槽等工程，会产生少量的扬尘，经采取洒水降尘措施后，对环境影响不大。</w:t>
            </w:r>
          </w:p>
          <w:p w14:paraId="317FC890">
            <w:pPr>
              <w:widowControl/>
              <w:spacing w:line="440" w:lineRule="exact"/>
              <w:ind w:firstLine="480" w:firstLineChars="200"/>
              <w:jc w:val="left"/>
              <w:rPr>
                <w:color w:val="000000" w:themeColor="text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③噪声</w:t>
            </w:r>
          </w:p>
          <w:p w14:paraId="6BB8EFB9">
            <w:pPr>
              <w:widowControl/>
              <w:spacing w:line="440" w:lineRule="exact"/>
              <w:ind w:firstLine="480" w:firstLineChars="200"/>
              <w:jc w:val="left"/>
              <w:rPr>
                <w:color w:val="000000" w:themeColor="text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施工中的噪声主要来源于施工机械及运输车辆，经过设备隔声和距离衰减后。项目施工不会对其声环境产生明显影响。</w:t>
            </w:r>
          </w:p>
          <w:p w14:paraId="1093B8BB">
            <w:pPr>
              <w:widowControl/>
              <w:spacing w:line="440" w:lineRule="exact"/>
              <w:ind w:firstLine="480" w:firstLineChars="200"/>
              <w:jc w:val="left"/>
              <w:rPr>
                <w:color w:val="000000" w:themeColor="text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④固体废物</w:t>
            </w:r>
          </w:p>
          <w:p w14:paraId="352E926F">
            <w:pPr>
              <w:widowControl/>
              <w:spacing w:line="440" w:lineRule="exact"/>
              <w:ind w:firstLine="480" w:firstLineChars="200"/>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施工期的固体废物主要是施工弃土石和施工人员生活垃圾。施工弃土石是一种临时性的短期行为，至工程建成投入运行而告终。施工中产生的弃渣用于回填及场地平整，剩余的少量建筑垃圾和弃渣，均用汽车运走。生活垃圾经收集后运至垃圾收集点处置。</w:t>
            </w:r>
          </w:p>
          <w:p w14:paraId="1130BEFE">
            <w:pPr>
              <w:widowControl/>
              <w:spacing w:line="440" w:lineRule="exact"/>
              <w:ind w:firstLine="480" w:firstLineChars="200"/>
              <w:jc w:val="left"/>
              <w:rPr>
                <w:rFonts w:ascii="宋体" w:hAnsi="宋体" w:cs="宋体"/>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⑤生态影响</w:t>
            </w:r>
          </w:p>
          <w:p w14:paraId="7EC9BE6F">
            <w:pPr>
              <w:widowControl/>
              <w:spacing w:line="440" w:lineRule="exact"/>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本项目采取在电站场区内播撒耐旱草籽，加大绿化面积；对建筑物周围进行绿化，灌、乔、草结合种植，项目工程施工结束后被破坏的区域内植被现状将得到回复及提升，影响叫短暂并且该过程不会破坏项目范围外的植被。</w:t>
            </w:r>
          </w:p>
        </w:tc>
      </w:tr>
      <w:tr w14:paraId="6B320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402" w:type="pct"/>
            <w:tcMar>
              <w:left w:w="28" w:type="dxa"/>
              <w:right w:w="28" w:type="dxa"/>
            </w:tcMar>
            <w:vAlign w:val="center"/>
          </w:tcPr>
          <w:p w14:paraId="0F50316D">
            <w:pPr>
              <w:pStyle w:val="61"/>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bCs/>
                <w:color w:val="000000" w:themeColor="text1"/>
                <w:spacing w:val="10"/>
                <w:kern w:val="2"/>
                <w14:textFill>
                  <w14:solidFill>
                    <w14:schemeClr w14:val="tx1"/>
                  </w14:solidFill>
                </w14:textFill>
              </w:rPr>
              <w:t>运营期生态环境影响分析</w:t>
            </w:r>
          </w:p>
        </w:tc>
        <w:tc>
          <w:tcPr>
            <w:tcW w:w="4597" w:type="pct"/>
          </w:tcPr>
          <w:p w14:paraId="58F15D71">
            <w:pPr>
              <w:adjustRightInd w:val="0"/>
              <w:snapToGrid w:val="0"/>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1.大气环境影响分析</w:t>
            </w:r>
          </w:p>
          <w:p w14:paraId="677A3F71">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w:t>
            </w:r>
            <w:r>
              <w:rPr>
                <w:rFonts w:hint="eastAsia"/>
                <w:color w:val="000000" w:themeColor="text1"/>
                <w:sz w:val="24"/>
                <w14:textFill>
                  <w14:solidFill>
                    <w14:schemeClr w14:val="tx1"/>
                  </w14:solidFill>
                </w14:textFill>
              </w:rPr>
              <w:t>无</w:t>
            </w:r>
            <w:r>
              <w:rPr>
                <w:color w:val="000000" w:themeColor="text1"/>
                <w:sz w:val="24"/>
                <w14:textFill>
                  <w14:solidFill>
                    <w14:schemeClr w14:val="tx1"/>
                  </w14:solidFill>
                </w14:textFill>
              </w:rPr>
              <w:t>废气</w:t>
            </w:r>
            <w:r>
              <w:rPr>
                <w:rFonts w:hint="eastAsia"/>
                <w:color w:val="000000" w:themeColor="text1"/>
                <w:sz w:val="24"/>
                <w14:textFill>
                  <w14:solidFill>
                    <w14:schemeClr w14:val="tx1"/>
                  </w14:solidFill>
                </w14:textFill>
              </w:rPr>
              <w:t>产生。</w:t>
            </w:r>
          </w:p>
          <w:p w14:paraId="3BF45A41">
            <w:pPr>
              <w:adjustRightInd w:val="0"/>
              <w:snapToGrid w:val="0"/>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2.水环境影响分析</w:t>
            </w:r>
          </w:p>
          <w:p w14:paraId="506BFFE7">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本项目营运期废水主要为光伏组件的清洗废水</w:t>
            </w:r>
            <w:r>
              <w:rPr>
                <w:rFonts w:hint="eastAsia"/>
                <w:color w:val="000000" w:themeColor="text1"/>
                <w:sz w:val="24"/>
                <w14:textFill>
                  <w14:solidFill>
                    <w14:schemeClr w14:val="tx1"/>
                  </w14:solidFill>
                </w14:textFill>
              </w:rPr>
              <w:t>和</w:t>
            </w:r>
            <w:r>
              <w:rPr>
                <w:color w:val="000000" w:themeColor="text1"/>
                <w:sz w:val="24"/>
                <w14:textFill>
                  <w14:solidFill>
                    <w14:schemeClr w14:val="tx1"/>
                  </w14:solidFill>
                </w14:textFill>
              </w:rPr>
              <w:t>职工生活污水。</w:t>
            </w:r>
          </w:p>
          <w:p w14:paraId="3697D71C">
            <w:pPr>
              <w:adjustRightInd w:val="0"/>
              <w:snapToGrid w:val="0"/>
              <w:spacing w:line="440" w:lineRule="exact"/>
              <w:ind w:firstLine="480" w:firstLineChars="200"/>
              <w:rPr>
                <w:color w:val="000000" w:themeColor="text1"/>
                <w:sz w:val="24"/>
                <w:highlight w:val="yellow"/>
                <w14:textFill>
                  <w14:solidFill>
                    <w14:schemeClr w14:val="tx1"/>
                  </w14:solidFill>
                </w14:textFill>
              </w:rPr>
            </w:pPr>
            <w:r>
              <w:rPr>
                <w:color w:val="000000" w:themeColor="text1"/>
                <w:sz w:val="24"/>
                <w14:textFill>
                  <w14:solidFill>
                    <w14:schemeClr w14:val="tx1"/>
                  </w14:solidFill>
                </w14:textFill>
              </w:rPr>
              <w:t>为保证发电效率，需定期（视当地实际情况确定）对电池组件进行清洗，以保证电池组件的清洁度。电池组件的污物主要是沙尘，采用冲洗水车与人工擦洗相结合的方式清洗。</w:t>
            </w:r>
          </w:p>
          <w:p w14:paraId="22B084F9">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擦清洗过程中10%的清洗用水为自然蒸发，则清洗废水产生量按用水量的90%计算，约为</w:t>
            </w:r>
            <w:r>
              <w:rPr>
                <w:rFonts w:hint="eastAsia"/>
                <w:color w:val="000000" w:themeColor="text1"/>
                <w:sz w:val="24"/>
                <w14:textFill>
                  <w14:solidFill>
                    <w14:schemeClr w14:val="tx1"/>
                  </w14:solidFill>
                </w14:textFill>
              </w:rPr>
              <w:t>24.16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d</w:t>
            </w:r>
            <w:r>
              <w:rPr>
                <w:color w:val="000000" w:themeColor="text1"/>
                <w:sz w:val="24"/>
                <w14:textFill>
                  <w14:solidFill>
                    <w14:schemeClr w14:val="tx1"/>
                  </w14:solidFill>
                </w14:textFill>
              </w:rPr>
              <w:t>。光伏板冲洗为局部间断性冲洗，冲洗排水无有害物质，冲洗排水直接排至光伏板下地面</w:t>
            </w:r>
            <w:r>
              <w:rPr>
                <w:rFonts w:hint="eastAsia"/>
                <w:color w:val="000000" w:themeColor="text1"/>
                <w:sz w:val="24"/>
                <w14:textFill>
                  <w14:solidFill>
                    <w14:schemeClr w14:val="tx1"/>
                  </w14:solidFill>
                </w14:textFill>
              </w:rPr>
              <w:t>浇灌</w:t>
            </w:r>
            <w:r>
              <w:rPr>
                <w:color w:val="000000" w:themeColor="text1"/>
                <w:sz w:val="24"/>
                <w14:textFill>
                  <w14:solidFill>
                    <w14:schemeClr w14:val="tx1"/>
                  </w14:solidFill>
                </w14:textFill>
              </w:rPr>
              <w:t>，不进行收集。</w:t>
            </w:r>
          </w:p>
          <w:p w14:paraId="5205723B">
            <w:pPr>
              <w:adjustRightInd w:val="0"/>
              <w:snapToGrid w:val="0"/>
              <w:spacing w:line="440" w:lineRule="exact"/>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本项目员工生活污水</w:t>
            </w:r>
            <w:r>
              <w:rPr>
                <w:rFonts w:hint="eastAsia"/>
                <w:color w:val="000000" w:themeColor="text1"/>
                <w:sz w:val="24"/>
                <w14:textFill>
                  <w14:solidFill>
                    <w14:schemeClr w14:val="tx1"/>
                  </w14:solidFill>
                </w14:textFill>
              </w:rPr>
              <w:t>经化粪池预处理后送入</w:t>
            </w:r>
            <w:r>
              <w:rPr>
                <w:color w:val="000000" w:themeColor="text1"/>
                <w:sz w:val="24"/>
                <w14:textFill>
                  <w14:solidFill>
                    <w14:schemeClr w14:val="tx1"/>
                  </w14:solidFill>
                </w14:textFill>
              </w:rPr>
              <w:t>一体化污水处理设施</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出水全部回用于项目</w:t>
            </w:r>
            <w:r>
              <w:rPr>
                <w:rFonts w:hint="eastAsia"/>
                <w:color w:val="000000" w:themeColor="text1"/>
                <w:sz w:val="24"/>
                <w14:textFill>
                  <w14:solidFill>
                    <w14:schemeClr w14:val="tx1"/>
                  </w14:solidFill>
                </w14:textFill>
              </w:rPr>
              <w:t>道路</w:t>
            </w:r>
            <w:r>
              <w:rPr>
                <w:color w:val="000000" w:themeColor="text1"/>
                <w:sz w:val="24"/>
                <w14:textFill>
                  <w14:solidFill>
                    <w14:schemeClr w14:val="tx1"/>
                  </w14:solidFill>
                </w14:textFill>
              </w:rPr>
              <w:t>抑尘。</w:t>
            </w:r>
          </w:p>
          <w:p w14:paraId="2620E344">
            <w:pPr>
              <w:adjustRightInd w:val="0"/>
              <w:snapToGrid w:val="0"/>
              <w:spacing w:line="440" w:lineRule="exact"/>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w:t>
            </w:r>
            <w:r>
              <w:rPr>
                <w:b/>
                <w:bCs/>
                <w:color w:val="000000" w:themeColor="text1"/>
                <w:kern w:val="0"/>
                <w:sz w:val="24"/>
                <w14:textFill>
                  <w14:solidFill>
                    <w14:schemeClr w14:val="tx1"/>
                  </w14:solidFill>
                </w14:textFill>
              </w:rPr>
              <w:t>、声环境影响预测与评价</w:t>
            </w:r>
          </w:p>
          <w:p w14:paraId="4520EF61">
            <w:pPr>
              <w:adjustRightInd w:val="0"/>
              <w:snapToGrid w:val="0"/>
              <w:spacing w:line="440" w:lineRule="exact"/>
              <w:ind w:firstLine="482" w:firstLineChars="200"/>
              <w:rPr>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3</w:t>
            </w:r>
            <w:r>
              <w:rPr>
                <w:b/>
                <w:bCs/>
                <w:color w:val="000000" w:themeColor="text1"/>
                <w:sz w:val="24"/>
                <w:szCs w:val="22"/>
                <w14:textFill>
                  <w14:solidFill>
                    <w14:schemeClr w14:val="tx1"/>
                  </w14:solidFill>
                </w14:textFill>
              </w:rPr>
              <w:t>.1升压站声环境影响分析</w:t>
            </w:r>
          </w:p>
          <w:p w14:paraId="01BD364C">
            <w:pPr>
              <w:adjustRightInd w:val="0"/>
              <w:snapToGrid w:val="0"/>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（1）噪声源强</w:t>
            </w:r>
          </w:p>
          <w:p w14:paraId="49686D03">
            <w:pPr>
              <w:adjustRightInd w:val="0"/>
              <w:snapToGrid w:val="0"/>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本项目</w:t>
            </w:r>
            <w:r>
              <w:rPr>
                <w:rFonts w:hint="eastAsia"/>
                <w:color w:val="000000" w:themeColor="text1"/>
                <w:sz w:val="24"/>
                <w:szCs w:val="22"/>
                <w14:textFill>
                  <w14:solidFill>
                    <w14:schemeClr w14:val="tx1"/>
                  </w14:solidFill>
                </w14:textFill>
              </w:rPr>
              <w:t>22</w:t>
            </w:r>
            <w:r>
              <w:rPr>
                <w:color w:val="000000" w:themeColor="text1"/>
                <w:sz w:val="24"/>
                <w:szCs w:val="22"/>
                <w14:textFill>
                  <w14:solidFill>
                    <w14:schemeClr w14:val="tx1"/>
                  </w14:solidFill>
                </w14:textFill>
              </w:rPr>
              <w:t>0kV升压站安装1台</w:t>
            </w:r>
            <w:r>
              <w:rPr>
                <w:rFonts w:hint="eastAsia"/>
                <w:color w:val="000000" w:themeColor="text1"/>
                <w:sz w:val="24"/>
                <w:szCs w:val="22"/>
                <w14:textFill>
                  <w14:solidFill>
                    <w14:schemeClr w14:val="tx1"/>
                  </w14:solidFill>
                </w14:textFill>
              </w:rPr>
              <w:t>1</w:t>
            </w:r>
            <w:r>
              <w:rPr>
                <w:color w:val="000000" w:themeColor="text1"/>
                <w:sz w:val="24"/>
                <w:szCs w:val="22"/>
                <w14:textFill>
                  <w14:solidFill>
                    <w14:schemeClr w14:val="tx1"/>
                  </w14:solidFill>
                </w14:textFill>
              </w:rPr>
              <w:t>50MVA主变压器，主变压器户外布置。</w:t>
            </w:r>
            <w:r>
              <w:rPr>
                <w:rFonts w:hint="eastAsia"/>
                <w:color w:val="000000" w:themeColor="text1"/>
                <w:sz w:val="24"/>
                <w:szCs w:val="22"/>
                <w14:textFill>
                  <w14:solidFill>
                    <w14:schemeClr w14:val="tx1"/>
                  </w14:solidFill>
                </w14:textFill>
              </w:rPr>
              <w:t>设置一体化污水处理站、事故油池及消防水泵房等，</w:t>
            </w:r>
            <w:r>
              <w:rPr>
                <w:color w:val="000000" w:themeColor="text1"/>
                <w:sz w:val="24"/>
                <w:szCs w:val="22"/>
                <w14:textFill>
                  <w14:solidFill>
                    <w14:schemeClr w14:val="tx1"/>
                  </w14:solidFill>
                </w14:textFill>
              </w:rPr>
              <w:t>本项目采用低噪声</w:t>
            </w:r>
            <w:r>
              <w:rPr>
                <w:rFonts w:hint="eastAsia"/>
                <w:color w:val="000000" w:themeColor="text1"/>
                <w:sz w:val="24"/>
                <w:szCs w:val="22"/>
                <w14:textFill>
                  <w14:solidFill>
                    <w14:schemeClr w14:val="tx1"/>
                  </w14:solidFill>
                </w14:textFill>
              </w:rPr>
              <w:t>设备及基础减振</w:t>
            </w: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设备</w:t>
            </w:r>
            <w:r>
              <w:rPr>
                <w:color w:val="000000" w:themeColor="text1"/>
                <w:sz w:val="24"/>
                <w:szCs w:val="22"/>
                <w14:textFill>
                  <w14:solidFill>
                    <w14:schemeClr w14:val="tx1"/>
                  </w14:solidFill>
                </w14:textFill>
              </w:rPr>
              <w:t>噪声级为70</w:t>
            </w:r>
            <w:r>
              <w:rPr>
                <w:rFonts w:hint="eastAsia"/>
                <w:color w:val="000000" w:themeColor="text1"/>
                <w:sz w:val="24"/>
                <w:szCs w:val="22"/>
                <w14:textFill>
                  <w14:solidFill>
                    <w14:schemeClr w14:val="tx1"/>
                  </w14:solidFill>
                </w14:textFill>
              </w:rPr>
              <w:t>-90</w:t>
            </w:r>
            <w:r>
              <w:rPr>
                <w:color w:val="000000" w:themeColor="text1"/>
                <w:sz w:val="24"/>
                <w:szCs w:val="22"/>
                <w14:textFill>
                  <w14:solidFill>
                    <w14:schemeClr w14:val="tx1"/>
                  </w14:solidFill>
                </w14:textFill>
              </w:rPr>
              <w:t>dB(A)</w:t>
            </w:r>
            <w:r>
              <w:rPr>
                <w:rFonts w:hint="eastAsia"/>
                <w:color w:val="000000" w:themeColor="text1"/>
                <w:sz w:val="24"/>
                <w:szCs w:val="22"/>
                <w14:textFill>
                  <w14:solidFill>
                    <w14:schemeClr w14:val="tx1"/>
                  </w14:solidFill>
                </w14:textFill>
              </w:rPr>
              <w:t>。</w:t>
            </w:r>
          </w:p>
          <w:p w14:paraId="42B3C7B3">
            <w:pPr>
              <w:adjustRightInd w:val="0"/>
              <w:snapToGrid w:val="0"/>
              <w:spacing w:line="440" w:lineRule="exact"/>
              <w:ind w:firstLine="482" w:firstLineChars="200"/>
              <w:jc w:val="left"/>
              <w:rPr>
                <w:b/>
                <w:bCs/>
                <w:color w:val="000000" w:themeColor="text1"/>
                <w:sz w:val="24"/>
                <w:highlight w:val="yellow"/>
                <w14:textFill>
                  <w14:solidFill>
                    <w14:schemeClr w14:val="tx1"/>
                  </w14:solidFill>
                </w14:textFill>
              </w:rPr>
            </w:pPr>
            <w:r>
              <w:rPr>
                <w:rFonts w:hint="eastAsia" w:cs="宋体"/>
                <w:b/>
                <w:bCs/>
                <w:color w:val="000000" w:themeColor="text1"/>
                <w:sz w:val="24"/>
                <w:lang w:bidi="ar"/>
                <w14:textFill>
                  <w14:solidFill>
                    <w14:schemeClr w14:val="tx1"/>
                  </w14:solidFill>
                </w14:textFill>
              </w:rPr>
              <w:t>表</w:t>
            </w:r>
            <w:r>
              <w:rPr>
                <w:rFonts w:hint="eastAsia"/>
                <w:b/>
                <w:bCs/>
                <w:color w:val="000000" w:themeColor="text1"/>
                <w:sz w:val="24"/>
                <w:lang w:bidi="ar"/>
                <w14:textFill>
                  <w14:solidFill>
                    <w14:schemeClr w14:val="tx1"/>
                  </w14:solidFill>
                </w14:textFill>
              </w:rPr>
              <w:t>4</w:t>
            </w:r>
            <w:r>
              <w:rPr>
                <w:b/>
                <w:bCs/>
                <w:color w:val="000000" w:themeColor="text1"/>
                <w:sz w:val="24"/>
                <w:lang w:bidi="ar"/>
                <w14:textFill>
                  <w14:solidFill>
                    <w14:schemeClr w14:val="tx1"/>
                  </w14:solidFill>
                </w14:textFill>
              </w:rPr>
              <w:t>-</w:t>
            </w:r>
            <w:r>
              <w:rPr>
                <w:rFonts w:hint="eastAsia"/>
                <w:b/>
                <w:bCs/>
                <w:color w:val="000000" w:themeColor="text1"/>
                <w:sz w:val="24"/>
                <w:lang w:bidi="ar"/>
                <w14:textFill>
                  <w14:solidFill>
                    <w14:schemeClr w14:val="tx1"/>
                  </w14:solidFill>
                </w14:textFill>
              </w:rPr>
              <w:t xml:space="preserve">11    </w:t>
            </w:r>
            <w:r>
              <w:rPr>
                <w:rFonts w:hint="eastAsia" w:cs="宋体"/>
                <w:b/>
                <w:bCs/>
                <w:color w:val="000000" w:themeColor="text1"/>
                <w:sz w:val="24"/>
                <w:lang w:bidi="ar"/>
                <w14:textFill>
                  <w14:solidFill>
                    <w14:schemeClr w14:val="tx1"/>
                  </w14:solidFill>
                </w14:textFill>
              </w:rPr>
              <w:t>运营期升压站噪声源强一览表</w:t>
            </w:r>
          </w:p>
          <w:tbl>
            <w:tblPr>
              <w:tblStyle w:val="6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46"/>
              <w:gridCol w:w="980"/>
              <w:gridCol w:w="689"/>
              <w:gridCol w:w="644"/>
              <w:gridCol w:w="661"/>
              <w:gridCol w:w="2146"/>
              <w:gridCol w:w="1020"/>
              <w:gridCol w:w="659"/>
            </w:tblGrid>
            <w:tr w14:paraId="41B6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58" w:type="pct"/>
                  <w:vMerge w:val="restart"/>
                  <w:vAlign w:val="center"/>
                </w:tcPr>
                <w:p w14:paraId="6F6516FF">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632" w:type="pct"/>
                  <w:vMerge w:val="restart"/>
                  <w:vAlign w:val="center"/>
                </w:tcPr>
                <w:p w14:paraId="0BA77975">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声源名称</w:t>
                  </w:r>
                </w:p>
              </w:tc>
              <w:tc>
                <w:tcPr>
                  <w:tcW w:w="592" w:type="pct"/>
                  <w:vMerge w:val="restart"/>
                  <w:vAlign w:val="center"/>
                </w:tcPr>
                <w:p w14:paraId="11ED6BFB">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型号</w:t>
                  </w:r>
                </w:p>
              </w:tc>
              <w:tc>
                <w:tcPr>
                  <w:tcW w:w="1204" w:type="pct"/>
                  <w:gridSpan w:val="3"/>
                  <w:vAlign w:val="center"/>
                </w:tcPr>
                <w:p w14:paraId="69D05FD6">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空间相对位置</w:t>
                  </w:r>
                </w:p>
              </w:tc>
              <w:tc>
                <w:tcPr>
                  <w:tcW w:w="1296" w:type="pct"/>
                  <w:vAlign w:val="center"/>
                </w:tcPr>
                <w:p w14:paraId="2816FD15">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声源源强</w:t>
                  </w:r>
                </w:p>
              </w:tc>
              <w:tc>
                <w:tcPr>
                  <w:tcW w:w="616" w:type="pct"/>
                  <w:vMerge w:val="restart"/>
                  <w:vAlign w:val="center"/>
                </w:tcPr>
                <w:p w14:paraId="21FE868B">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声源控制措施</w:t>
                  </w:r>
                </w:p>
              </w:tc>
              <w:tc>
                <w:tcPr>
                  <w:tcW w:w="398" w:type="pct"/>
                  <w:vMerge w:val="restart"/>
                  <w:vAlign w:val="center"/>
                </w:tcPr>
                <w:p w14:paraId="74617EB1">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运行时段</w:t>
                  </w:r>
                </w:p>
              </w:tc>
            </w:tr>
            <w:tr w14:paraId="76956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58" w:type="pct"/>
                  <w:vMerge w:val="continue"/>
                  <w:vAlign w:val="center"/>
                </w:tcPr>
                <w:p w14:paraId="71B3666C">
                  <w:pPr>
                    <w:spacing w:line="360" w:lineRule="exact"/>
                    <w:jc w:val="center"/>
                    <w:rPr>
                      <w:color w:val="000000" w:themeColor="text1"/>
                      <w14:textFill>
                        <w14:solidFill>
                          <w14:schemeClr w14:val="tx1"/>
                        </w14:solidFill>
                      </w14:textFill>
                    </w:rPr>
                  </w:pPr>
                </w:p>
              </w:tc>
              <w:tc>
                <w:tcPr>
                  <w:tcW w:w="632" w:type="pct"/>
                  <w:vMerge w:val="continue"/>
                  <w:vAlign w:val="center"/>
                </w:tcPr>
                <w:p w14:paraId="5D1FEC79">
                  <w:pPr>
                    <w:spacing w:line="360" w:lineRule="exact"/>
                    <w:jc w:val="center"/>
                    <w:rPr>
                      <w:color w:val="000000" w:themeColor="text1"/>
                      <w14:textFill>
                        <w14:solidFill>
                          <w14:schemeClr w14:val="tx1"/>
                        </w14:solidFill>
                      </w14:textFill>
                    </w:rPr>
                  </w:pPr>
                </w:p>
              </w:tc>
              <w:tc>
                <w:tcPr>
                  <w:tcW w:w="592" w:type="pct"/>
                  <w:vMerge w:val="continue"/>
                  <w:vAlign w:val="center"/>
                </w:tcPr>
                <w:p w14:paraId="14BCFD80">
                  <w:pPr>
                    <w:spacing w:line="360" w:lineRule="exact"/>
                    <w:jc w:val="center"/>
                    <w:rPr>
                      <w:color w:val="000000" w:themeColor="text1"/>
                      <w14:textFill>
                        <w14:solidFill>
                          <w14:schemeClr w14:val="tx1"/>
                        </w14:solidFill>
                      </w14:textFill>
                    </w:rPr>
                  </w:pPr>
                </w:p>
              </w:tc>
              <w:tc>
                <w:tcPr>
                  <w:tcW w:w="416" w:type="pct"/>
                  <w:vAlign w:val="center"/>
                </w:tcPr>
                <w:p w14:paraId="0D4AD88D">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X</w:t>
                  </w:r>
                </w:p>
              </w:tc>
              <w:tc>
                <w:tcPr>
                  <w:tcW w:w="389" w:type="pct"/>
                  <w:vAlign w:val="center"/>
                </w:tcPr>
                <w:p w14:paraId="431EE525">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Y</w:t>
                  </w:r>
                </w:p>
              </w:tc>
              <w:tc>
                <w:tcPr>
                  <w:tcW w:w="398" w:type="pct"/>
                  <w:vAlign w:val="center"/>
                </w:tcPr>
                <w:p w14:paraId="07C611C7">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Z</w:t>
                  </w:r>
                </w:p>
              </w:tc>
              <w:tc>
                <w:tcPr>
                  <w:tcW w:w="1296" w:type="pct"/>
                  <w:vAlign w:val="center"/>
                </w:tcPr>
                <w:p w14:paraId="26777695">
                  <w:pPr>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（声压级/距离声源距离）/（dB(A)/m）</w:t>
                  </w:r>
                </w:p>
              </w:tc>
              <w:tc>
                <w:tcPr>
                  <w:tcW w:w="616" w:type="pct"/>
                  <w:vMerge w:val="continue"/>
                  <w:vAlign w:val="center"/>
                </w:tcPr>
                <w:p w14:paraId="430B416E">
                  <w:pPr>
                    <w:spacing w:line="360" w:lineRule="exact"/>
                    <w:jc w:val="center"/>
                    <w:rPr>
                      <w:color w:val="000000" w:themeColor="text1"/>
                      <w14:textFill>
                        <w14:solidFill>
                          <w14:schemeClr w14:val="tx1"/>
                        </w14:solidFill>
                      </w14:textFill>
                    </w:rPr>
                  </w:pPr>
                </w:p>
              </w:tc>
              <w:tc>
                <w:tcPr>
                  <w:tcW w:w="398" w:type="pct"/>
                  <w:vMerge w:val="continue"/>
                  <w:vAlign w:val="center"/>
                </w:tcPr>
                <w:p w14:paraId="720505B6">
                  <w:pPr>
                    <w:spacing w:line="360" w:lineRule="exact"/>
                    <w:jc w:val="center"/>
                    <w:rPr>
                      <w:color w:val="000000" w:themeColor="text1"/>
                      <w14:textFill>
                        <w14:solidFill>
                          <w14:schemeClr w14:val="tx1"/>
                        </w14:solidFill>
                      </w14:textFill>
                    </w:rPr>
                  </w:pPr>
                </w:p>
              </w:tc>
            </w:tr>
            <w:tr w14:paraId="19F2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8" w:type="pct"/>
                  <w:vAlign w:val="center"/>
                </w:tcPr>
                <w:p w14:paraId="6A727856">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32" w:type="pct"/>
                  <w:vAlign w:val="center"/>
                </w:tcPr>
                <w:p w14:paraId="141EA755">
                  <w:pPr>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泵</w:t>
                  </w:r>
                </w:p>
              </w:tc>
              <w:tc>
                <w:tcPr>
                  <w:tcW w:w="592" w:type="pct"/>
                  <w:vAlign w:val="center"/>
                </w:tcPr>
                <w:p w14:paraId="1666A13A">
                  <w:pPr>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16" w:type="pct"/>
                  <w:vAlign w:val="center"/>
                </w:tcPr>
                <w:p w14:paraId="2558DB71">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14.6</w:t>
                  </w:r>
                </w:p>
              </w:tc>
              <w:tc>
                <w:tcPr>
                  <w:tcW w:w="389" w:type="pct"/>
                  <w:vAlign w:val="center"/>
                </w:tcPr>
                <w:p w14:paraId="3271313D">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98" w:type="pct"/>
                  <w:vAlign w:val="center"/>
                </w:tcPr>
                <w:p w14:paraId="4003DD48">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124</w:t>
                  </w:r>
                </w:p>
              </w:tc>
              <w:tc>
                <w:tcPr>
                  <w:tcW w:w="1296" w:type="pct"/>
                  <w:vAlign w:val="center"/>
                </w:tcPr>
                <w:p w14:paraId="1F7A0BC4">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w:t>
                  </w:r>
                  <w:r>
                    <w:rPr>
                      <w:color w:val="000000" w:themeColor="text1"/>
                      <w14:textFill>
                        <w14:solidFill>
                          <w14:schemeClr w14:val="tx1"/>
                        </w14:solidFill>
                      </w14:textFill>
                    </w:rPr>
                    <w:t>/1</w:t>
                  </w:r>
                </w:p>
              </w:tc>
              <w:tc>
                <w:tcPr>
                  <w:tcW w:w="616" w:type="pct"/>
                  <w:vMerge w:val="restart"/>
                  <w:vAlign w:val="center"/>
                </w:tcPr>
                <w:p w14:paraId="5492D5A9">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低噪声设备、基础减振</w:t>
                  </w:r>
                </w:p>
              </w:tc>
              <w:tc>
                <w:tcPr>
                  <w:tcW w:w="398" w:type="pct"/>
                  <w:vMerge w:val="restart"/>
                  <w:vAlign w:val="center"/>
                </w:tcPr>
                <w:p w14:paraId="08A5EE85">
                  <w:pPr>
                    <w:spacing w:line="360" w:lineRule="exact"/>
                    <w:jc w:val="cente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t>昼间</w:t>
                  </w:r>
                </w:p>
              </w:tc>
            </w:tr>
            <w:tr w14:paraId="1555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8" w:type="pct"/>
                  <w:vAlign w:val="center"/>
                </w:tcPr>
                <w:p w14:paraId="0C994895">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32" w:type="pct"/>
                  <w:vAlign w:val="center"/>
                </w:tcPr>
                <w:p w14:paraId="0EEB2A90">
                  <w:pPr>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泵</w:t>
                  </w:r>
                </w:p>
              </w:tc>
              <w:tc>
                <w:tcPr>
                  <w:tcW w:w="592" w:type="pct"/>
                  <w:vAlign w:val="center"/>
                </w:tcPr>
                <w:p w14:paraId="6DDF5A34">
                  <w:pPr>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16" w:type="pct"/>
                  <w:vAlign w:val="center"/>
                </w:tcPr>
                <w:p w14:paraId="15AA2121">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-38.3</w:t>
                  </w:r>
                </w:p>
              </w:tc>
              <w:tc>
                <w:tcPr>
                  <w:tcW w:w="389" w:type="pct"/>
                  <w:vAlign w:val="center"/>
                </w:tcPr>
                <w:p w14:paraId="6B3894D2">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13.0</w:t>
                  </w:r>
                </w:p>
              </w:tc>
              <w:tc>
                <w:tcPr>
                  <w:tcW w:w="398" w:type="pct"/>
                  <w:vAlign w:val="center"/>
                </w:tcPr>
                <w:p w14:paraId="0E24787C">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124</w:t>
                  </w:r>
                </w:p>
              </w:tc>
              <w:tc>
                <w:tcPr>
                  <w:tcW w:w="1296" w:type="pct"/>
                  <w:vAlign w:val="center"/>
                </w:tcPr>
                <w:p w14:paraId="51C40852">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w:t>
                  </w:r>
                  <w:r>
                    <w:rPr>
                      <w:color w:val="000000" w:themeColor="text1"/>
                      <w14:textFill>
                        <w14:solidFill>
                          <w14:schemeClr w14:val="tx1"/>
                        </w14:solidFill>
                      </w14:textFill>
                    </w:rPr>
                    <w:t>/1</w:t>
                  </w:r>
                </w:p>
              </w:tc>
              <w:tc>
                <w:tcPr>
                  <w:tcW w:w="616" w:type="pct"/>
                  <w:vMerge w:val="continue"/>
                  <w:vAlign w:val="center"/>
                </w:tcPr>
                <w:p w14:paraId="432C5668">
                  <w:pPr>
                    <w:spacing w:line="360" w:lineRule="exact"/>
                    <w:jc w:val="center"/>
                    <w:rPr>
                      <w:color w:val="000000" w:themeColor="text1"/>
                      <w14:textFill>
                        <w14:solidFill>
                          <w14:schemeClr w14:val="tx1"/>
                        </w14:solidFill>
                      </w14:textFill>
                    </w:rPr>
                  </w:pPr>
                </w:p>
              </w:tc>
              <w:tc>
                <w:tcPr>
                  <w:tcW w:w="398" w:type="pct"/>
                  <w:vMerge w:val="continue"/>
                  <w:vAlign w:val="center"/>
                </w:tcPr>
                <w:p w14:paraId="2D6E7EC3">
                  <w:pPr>
                    <w:spacing w:line="360" w:lineRule="exact"/>
                    <w:jc w:val="center"/>
                    <w:rPr>
                      <w:rFonts w:ascii="宋体" w:hAnsi="宋体"/>
                      <w:color w:val="000000" w:themeColor="text1"/>
                      <w14:textFill>
                        <w14:solidFill>
                          <w14:schemeClr w14:val="tx1"/>
                        </w14:solidFill>
                      </w14:textFill>
                    </w:rPr>
                  </w:pPr>
                </w:p>
              </w:tc>
            </w:tr>
            <w:tr w14:paraId="780E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8" w:type="pct"/>
                  <w:vAlign w:val="center"/>
                </w:tcPr>
                <w:p w14:paraId="79C288E1">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32" w:type="pct"/>
                  <w:vAlign w:val="center"/>
                </w:tcPr>
                <w:p w14:paraId="5D0490C7">
                  <w:pPr>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泵</w:t>
                  </w:r>
                </w:p>
              </w:tc>
              <w:tc>
                <w:tcPr>
                  <w:tcW w:w="592" w:type="pct"/>
                  <w:vAlign w:val="center"/>
                </w:tcPr>
                <w:p w14:paraId="65303088">
                  <w:pPr>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16" w:type="pct"/>
                  <w:vAlign w:val="center"/>
                </w:tcPr>
                <w:p w14:paraId="57088F35">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-59.3</w:t>
                  </w:r>
                </w:p>
              </w:tc>
              <w:tc>
                <w:tcPr>
                  <w:tcW w:w="389" w:type="pct"/>
                  <w:vAlign w:val="center"/>
                </w:tcPr>
                <w:p w14:paraId="617EC49E">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10.7</w:t>
                  </w:r>
                </w:p>
              </w:tc>
              <w:tc>
                <w:tcPr>
                  <w:tcW w:w="398" w:type="pct"/>
                  <w:vAlign w:val="center"/>
                </w:tcPr>
                <w:p w14:paraId="1BA2CE58">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1296" w:type="pct"/>
                  <w:vAlign w:val="center"/>
                </w:tcPr>
                <w:p w14:paraId="62B006DC">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w:t>
                  </w:r>
                  <w:r>
                    <w:rPr>
                      <w:color w:val="000000" w:themeColor="text1"/>
                      <w14:textFill>
                        <w14:solidFill>
                          <w14:schemeClr w14:val="tx1"/>
                        </w14:solidFill>
                      </w14:textFill>
                    </w:rPr>
                    <w:t>/1</w:t>
                  </w:r>
                </w:p>
              </w:tc>
              <w:tc>
                <w:tcPr>
                  <w:tcW w:w="616" w:type="pct"/>
                  <w:vMerge w:val="continue"/>
                  <w:vAlign w:val="center"/>
                </w:tcPr>
                <w:p w14:paraId="26BB0E17">
                  <w:pPr>
                    <w:spacing w:line="360" w:lineRule="exact"/>
                    <w:jc w:val="center"/>
                    <w:rPr>
                      <w:color w:val="000000" w:themeColor="text1"/>
                      <w14:textFill>
                        <w14:solidFill>
                          <w14:schemeClr w14:val="tx1"/>
                        </w14:solidFill>
                      </w14:textFill>
                    </w:rPr>
                  </w:pPr>
                </w:p>
              </w:tc>
              <w:tc>
                <w:tcPr>
                  <w:tcW w:w="398" w:type="pct"/>
                  <w:vMerge w:val="continue"/>
                  <w:vAlign w:val="center"/>
                </w:tcPr>
                <w:p w14:paraId="33797473">
                  <w:pPr>
                    <w:spacing w:line="360" w:lineRule="exact"/>
                    <w:jc w:val="center"/>
                    <w:rPr>
                      <w:rFonts w:ascii="宋体" w:hAnsi="宋体"/>
                      <w:color w:val="000000" w:themeColor="text1"/>
                      <w14:textFill>
                        <w14:solidFill>
                          <w14:schemeClr w14:val="tx1"/>
                        </w14:solidFill>
                      </w14:textFill>
                    </w:rPr>
                  </w:pPr>
                </w:p>
              </w:tc>
            </w:tr>
            <w:tr w14:paraId="2A4F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8" w:type="pct"/>
                  <w:vAlign w:val="center"/>
                </w:tcPr>
                <w:p w14:paraId="36F73443">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632" w:type="pct"/>
                  <w:vAlign w:val="center"/>
                </w:tcPr>
                <w:p w14:paraId="5AED10E2">
                  <w:pPr>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风机</w:t>
                  </w:r>
                </w:p>
              </w:tc>
              <w:tc>
                <w:tcPr>
                  <w:tcW w:w="592" w:type="pct"/>
                  <w:vAlign w:val="center"/>
                </w:tcPr>
                <w:p w14:paraId="73A57B0D">
                  <w:pPr>
                    <w:autoSpaceDE w:val="0"/>
                    <w:autoSpaceDN w:val="0"/>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416" w:type="pct"/>
                  <w:vAlign w:val="center"/>
                </w:tcPr>
                <w:p w14:paraId="1467A8E6">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-66</w:t>
                  </w:r>
                </w:p>
              </w:tc>
              <w:tc>
                <w:tcPr>
                  <w:tcW w:w="389" w:type="pct"/>
                  <w:vAlign w:val="center"/>
                </w:tcPr>
                <w:p w14:paraId="6A5ABCAF">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8.2</w:t>
                  </w:r>
                </w:p>
              </w:tc>
              <w:tc>
                <w:tcPr>
                  <w:tcW w:w="398" w:type="pct"/>
                  <w:vAlign w:val="center"/>
                </w:tcPr>
                <w:p w14:paraId="4B27132D">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1296" w:type="pct"/>
                  <w:vAlign w:val="center"/>
                </w:tcPr>
                <w:p w14:paraId="2A2CEDF6">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w:t>
                  </w:r>
                  <w:r>
                    <w:rPr>
                      <w:color w:val="000000" w:themeColor="text1"/>
                      <w14:textFill>
                        <w14:solidFill>
                          <w14:schemeClr w14:val="tx1"/>
                        </w14:solidFill>
                      </w14:textFill>
                    </w:rPr>
                    <w:t>/1</w:t>
                  </w:r>
                </w:p>
              </w:tc>
              <w:tc>
                <w:tcPr>
                  <w:tcW w:w="616" w:type="pct"/>
                  <w:vMerge w:val="continue"/>
                  <w:vAlign w:val="center"/>
                </w:tcPr>
                <w:p w14:paraId="3F95B123">
                  <w:pPr>
                    <w:spacing w:line="360" w:lineRule="exact"/>
                    <w:jc w:val="center"/>
                    <w:rPr>
                      <w:color w:val="000000" w:themeColor="text1"/>
                      <w14:textFill>
                        <w14:solidFill>
                          <w14:schemeClr w14:val="tx1"/>
                        </w14:solidFill>
                      </w14:textFill>
                    </w:rPr>
                  </w:pPr>
                </w:p>
              </w:tc>
              <w:tc>
                <w:tcPr>
                  <w:tcW w:w="398" w:type="pct"/>
                  <w:vMerge w:val="continue"/>
                  <w:vAlign w:val="center"/>
                </w:tcPr>
                <w:p w14:paraId="14979E87">
                  <w:pPr>
                    <w:spacing w:line="360" w:lineRule="exact"/>
                    <w:jc w:val="center"/>
                    <w:rPr>
                      <w:rFonts w:ascii="宋体" w:hAnsi="宋体"/>
                      <w:color w:val="000000" w:themeColor="text1"/>
                      <w14:textFill>
                        <w14:solidFill>
                          <w14:schemeClr w14:val="tx1"/>
                        </w14:solidFill>
                      </w14:textFill>
                    </w:rPr>
                  </w:pPr>
                </w:p>
              </w:tc>
            </w:tr>
            <w:tr w14:paraId="1942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58" w:type="pct"/>
                  <w:vAlign w:val="center"/>
                </w:tcPr>
                <w:p w14:paraId="454087A9">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632" w:type="pct"/>
                  <w:vAlign w:val="center"/>
                </w:tcPr>
                <w:p w14:paraId="363F62A9">
                  <w:pPr>
                    <w:autoSpaceDE w:val="0"/>
                    <w:autoSpaceDN w:val="0"/>
                    <w:adjustRightInd w:val="0"/>
                    <w:snapToGrid w:val="0"/>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主变压器</w:t>
                  </w:r>
                </w:p>
              </w:tc>
              <w:tc>
                <w:tcPr>
                  <w:tcW w:w="592" w:type="pct"/>
                  <w:vAlign w:val="center"/>
                </w:tcPr>
                <w:p w14:paraId="4E461827">
                  <w:pPr>
                    <w:autoSpaceDE w:val="0"/>
                    <w:autoSpaceDN w:val="0"/>
                    <w:adjustRightInd w:val="0"/>
                    <w:snapToGrid w:val="0"/>
                    <w:spacing w:line="36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150MVA</w:t>
                  </w:r>
                </w:p>
              </w:tc>
              <w:tc>
                <w:tcPr>
                  <w:tcW w:w="416" w:type="pct"/>
                  <w:vAlign w:val="center"/>
                </w:tcPr>
                <w:p w14:paraId="51091825">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389" w:type="pct"/>
                  <w:vAlign w:val="center"/>
                </w:tcPr>
                <w:p w14:paraId="47A0926B">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w:t>
                  </w:r>
                </w:p>
              </w:tc>
              <w:tc>
                <w:tcPr>
                  <w:tcW w:w="398" w:type="pct"/>
                  <w:vAlign w:val="center"/>
                </w:tcPr>
                <w:p w14:paraId="01E848A7">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118</w:t>
                  </w:r>
                </w:p>
              </w:tc>
              <w:tc>
                <w:tcPr>
                  <w:tcW w:w="1296" w:type="pct"/>
                  <w:vAlign w:val="center"/>
                </w:tcPr>
                <w:p w14:paraId="1263D75E">
                  <w:pPr>
                    <w:spacing w:line="36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70/1</w:t>
                  </w:r>
                </w:p>
              </w:tc>
              <w:tc>
                <w:tcPr>
                  <w:tcW w:w="616" w:type="pct"/>
                  <w:vMerge w:val="continue"/>
                  <w:vAlign w:val="center"/>
                </w:tcPr>
                <w:p w14:paraId="255D0C49">
                  <w:pPr>
                    <w:spacing w:line="360" w:lineRule="exact"/>
                    <w:jc w:val="center"/>
                    <w:rPr>
                      <w:color w:val="000000" w:themeColor="text1"/>
                      <w14:textFill>
                        <w14:solidFill>
                          <w14:schemeClr w14:val="tx1"/>
                        </w14:solidFill>
                      </w14:textFill>
                    </w:rPr>
                  </w:pPr>
                </w:p>
              </w:tc>
              <w:tc>
                <w:tcPr>
                  <w:tcW w:w="398" w:type="pct"/>
                  <w:vMerge w:val="continue"/>
                  <w:vAlign w:val="center"/>
                </w:tcPr>
                <w:p w14:paraId="49511B46">
                  <w:pPr>
                    <w:spacing w:line="360" w:lineRule="exact"/>
                    <w:jc w:val="center"/>
                    <w:rPr>
                      <w:rFonts w:ascii="宋体" w:hAnsi="宋体"/>
                      <w:color w:val="000000" w:themeColor="text1"/>
                      <w14:textFill>
                        <w14:solidFill>
                          <w14:schemeClr w14:val="tx1"/>
                        </w14:solidFill>
                      </w14:textFill>
                    </w:rPr>
                  </w:pPr>
                </w:p>
              </w:tc>
            </w:tr>
          </w:tbl>
          <w:p w14:paraId="502D96FE">
            <w:pPr>
              <w:adjustRightInd w:val="0"/>
              <w:snapToGrid w:val="0"/>
              <w:spacing w:line="440" w:lineRule="exact"/>
              <w:ind w:firstLine="480" w:firstLineChars="200"/>
              <w:rPr>
                <w:color w:val="000000" w:themeColor="text1"/>
                <w:kern w:val="0"/>
                <w:sz w:val="24"/>
                <w:szCs w:val="20"/>
                <w14:textFill>
                  <w14:solidFill>
                    <w14:schemeClr w14:val="tx1"/>
                  </w14:solidFill>
                </w14:textFill>
              </w:rPr>
            </w:pPr>
            <w:r>
              <w:rPr>
                <w:color w:val="000000" w:themeColor="text1"/>
                <w:kern w:val="0"/>
                <w:sz w:val="24"/>
                <w:szCs w:val="20"/>
                <w14:textFill>
                  <w14:solidFill>
                    <w14:schemeClr w14:val="tx1"/>
                  </w14:solidFill>
                </w14:textFill>
              </w:rPr>
              <w:t>（2）预测模式</w:t>
            </w:r>
          </w:p>
          <w:p w14:paraId="24F60180">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噪声从声源传至受声点，因受传播距离、大气吸收、地面效应、屏障屏蔽等因素影响，会使其发生衰减。</w:t>
            </w:r>
          </w:p>
          <w:p w14:paraId="5B76C323">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室外点声源预测模式：</w:t>
            </w:r>
          </w:p>
          <w:p w14:paraId="3644BAB1">
            <w:pPr>
              <w:adjustRightInd w:val="0"/>
              <w:snapToGrid w:val="0"/>
              <w:spacing w:line="440" w:lineRule="exact"/>
              <w:ind w:firstLine="562" w:firstLineChars="200"/>
              <w:jc w:val="center"/>
              <w:rPr>
                <w:snapToGrid w:val="0"/>
                <w:color w:val="000000" w:themeColor="text1"/>
                <w:sz w:val="24"/>
                <w:szCs w:val="20"/>
                <w:lang w:val="nb-NO"/>
                <w14:textFill>
                  <w14:solidFill>
                    <w14:schemeClr w14:val="tx1"/>
                  </w14:solidFill>
                </w14:textFill>
              </w:rPr>
            </w:pPr>
            <w:r>
              <w:rPr>
                <w:b/>
                <w:color w:val="000000" w:themeColor="text1"/>
                <w:sz w:val="28"/>
                <w:szCs w:val="28"/>
                <w14:textFill>
                  <w14:solidFill>
                    <w14:schemeClr w14:val="tx1"/>
                  </w14:solidFill>
                </w14:textFill>
              </w:rPr>
              <w:drawing>
                <wp:anchor distT="0" distB="0" distL="114300" distR="114300" simplePos="0" relativeHeight="251663360" behindDoc="0" locked="0" layoutInCell="1" allowOverlap="1">
                  <wp:simplePos x="0" y="0"/>
                  <wp:positionH relativeFrom="column">
                    <wp:posOffset>1184275</wp:posOffset>
                  </wp:positionH>
                  <wp:positionV relativeFrom="paragraph">
                    <wp:posOffset>51435</wp:posOffset>
                  </wp:positionV>
                  <wp:extent cx="2590800" cy="241300"/>
                  <wp:effectExtent l="0" t="0" r="0" b="635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0800" cy="241300"/>
                          </a:xfrm>
                          <a:prstGeom prst="rect">
                            <a:avLst/>
                          </a:prstGeom>
                          <a:noFill/>
                          <a:ln>
                            <a:noFill/>
                          </a:ln>
                          <a:effectLst/>
                        </pic:spPr>
                      </pic:pic>
                    </a:graphicData>
                  </a:graphic>
                </wp:anchor>
              </w:drawing>
            </w:r>
          </w:p>
          <w:p w14:paraId="0C355D22">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式中：</w:t>
            </w:r>
            <w:r>
              <w:rPr>
                <w:color w:val="000000" w:themeColor="text1"/>
                <w:position w:val="-12"/>
                <w14:textFill>
                  <w14:solidFill>
                    <w14:schemeClr w14:val="tx1"/>
                  </w14:solidFill>
                </w14:textFill>
              </w:rPr>
              <w:drawing>
                <wp:inline distT="0" distB="0" distL="0" distR="0">
                  <wp:extent cx="381000" cy="2286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81000" cy="228600"/>
                          </a:xfrm>
                          <a:prstGeom prst="rect">
                            <a:avLst/>
                          </a:prstGeom>
                          <a:noFill/>
                          <a:ln>
                            <a:noFill/>
                          </a:ln>
                        </pic:spPr>
                      </pic:pic>
                    </a:graphicData>
                  </a:graphic>
                </wp:inline>
              </w:drawing>
            </w:r>
            <w:r>
              <w:rPr>
                <w:snapToGrid w:val="0"/>
                <w:color w:val="000000" w:themeColor="text1"/>
                <w:sz w:val="24"/>
                <w:szCs w:val="20"/>
                <w14:textFill>
                  <w14:solidFill>
                    <w14:schemeClr w14:val="tx1"/>
                  </w14:solidFill>
                </w14:textFill>
              </w:rPr>
              <w:t>──距声源r米处的A声级；</w:t>
            </w:r>
          </w:p>
          <w:p w14:paraId="29FFEE10">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 xml:space="preserve">      </w:t>
            </w:r>
            <w:r>
              <w:rPr>
                <w:color w:val="000000" w:themeColor="text1"/>
                <w:position w:val="-14"/>
                <w14:textFill>
                  <w14:solidFill>
                    <w14:schemeClr w14:val="tx1"/>
                  </w14:solidFill>
                </w14:textFill>
              </w:rPr>
              <w:drawing>
                <wp:inline distT="0" distB="0" distL="0" distR="0">
                  <wp:extent cx="685800" cy="2381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85800" cy="238125"/>
                          </a:xfrm>
                          <a:prstGeom prst="rect">
                            <a:avLst/>
                          </a:prstGeom>
                          <a:noFill/>
                          <a:ln>
                            <a:noFill/>
                          </a:ln>
                        </pic:spPr>
                      </pic:pic>
                    </a:graphicData>
                  </a:graphic>
                </wp:inline>
              </w:drawing>
            </w:r>
            <w:r>
              <w:rPr>
                <w:snapToGrid w:val="0"/>
                <w:color w:val="000000" w:themeColor="text1"/>
                <w:sz w:val="24"/>
                <w:szCs w:val="20"/>
                <w14:textFill>
                  <w14:solidFill>
                    <w14:schemeClr w14:val="tx1"/>
                  </w14:solidFill>
                </w14:textFill>
              </w:rPr>
              <w:t>—参考位置</w:t>
            </w:r>
            <w:r>
              <w:rPr>
                <w:color w:val="000000" w:themeColor="text1"/>
                <w:position w:val="-12"/>
                <w14:textFill>
                  <w14:solidFill>
                    <w14:schemeClr w14:val="tx1"/>
                  </w14:solidFill>
                </w14:textFill>
              </w:rPr>
              <w:drawing>
                <wp:inline distT="0" distB="0" distL="0" distR="0">
                  <wp:extent cx="142875" cy="2286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r>
              <w:rPr>
                <w:snapToGrid w:val="0"/>
                <w:color w:val="000000" w:themeColor="text1"/>
                <w:sz w:val="24"/>
                <w:szCs w:val="20"/>
                <w14:textFill>
                  <w14:solidFill>
                    <w14:schemeClr w14:val="tx1"/>
                  </w14:solidFill>
                </w14:textFill>
              </w:rPr>
              <w:t>米处的A声级；</w:t>
            </w:r>
          </w:p>
          <w:p w14:paraId="3B4834A4">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 xml:space="preserve">      </w:t>
            </w:r>
            <w:r>
              <w:rPr>
                <w:color w:val="000000" w:themeColor="text1"/>
                <w:position w:val="-12"/>
                <w14:textFill>
                  <w14:solidFill>
                    <w14:schemeClr w14:val="tx1"/>
                  </w14:solidFill>
                </w14:textFill>
              </w:rPr>
              <w:drawing>
                <wp:inline distT="0" distB="0" distL="0" distR="0">
                  <wp:extent cx="257175" cy="2286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Pr>
                <w:snapToGrid w:val="0"/>
                <w:color w:val="000000" w:themeColor="text1"/>
                <w:sz w:val="24"/>
                <w:szCs w:val="20"/>
                <w14:textFill>
                  <w14:solidFill>
                    <w14:schemeClr w14:val="tx1"/>
                  </w14:solidFill>
                </w14:textFill>
              </w:rPr>
              <w:t>──声波几何发散引起的A声级衰减量；</w:t>
            </w:r>
          </w:p>
          <w:p w14:paraId="188730EB">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 xml:space="preserve">      </w:t>
            </w:r>
            <w:r>
              <w:rPr>
                <w:color w:val="000000" w:themeColor="text1"/>
                <w:position w:val="-12"/>
                <w14:textFill>
                  <w14:solidFill>
                    <w14:schemeClr w14:val="tx1"/>
                  </w14:solidFill>
                </w14:textFill>
              </w:rPr>
              <w:drawing>
                <wp:inline distT="0" distB="0" distL="0" distR="0">
                  <wp:extent cx="266700" cy="2286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6700" cy="228600"/>
                          </a:xfrm>
                          <a:prstGeom prst="rect">
                            <a:avLst/>
                          </a:prstGeom>
                          <a:noFill/>
                          <a:ln>
                            <a:noFill/>
                          </a:ln>
                        </pic:spPr>
                      </pic:pic>
                    </a:graphicData>
                  </a:graphic>
                </wp:inline>
              </w:drawing>
            </w:r>
            <w:r>
              <w:rPr>
                <w:snapToGrid w:val="0"/>
                <w:color w:val="000000" w:themeColor="text1"/>
                <w:sz w:val="24"/>
                <w:szCs w:val="20"/>
                <w14:textFill>
                  <w14:solidFill>
                    <w14:schemeClr w14:val="tx1"/>
                  </w14:solidFill>
                </w14:textFill>
              </w:rPr>
              <w:t>──声屏障引起的A声级衰减量；</w:t>
            </w:r>
          </w:p>
          <w:p w14:paraId="4EE88D0E">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 xml:space="preserve">      </w:t>
            </w:r>
            <w:r>
              <w:rPr>
                <w:color w:val="000000" w:themeColor="text1"/>
                <w:position w:val="-12"/>
                <w14:textFill>
                  <w14:solidFill>
                    <w14:schemeClr w14:val="tx1"/>
                  </w14:solidFill>
                </w14:textFill>
              </w:rPr>
              <w:drawing>
                <wp:inline distT="0" distB="0" distL="0" distR="0">
                  <wp:extent cx="276225" cy="2286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76225" cy="228600"/>
                          </a:xfrm>
                          <a:prstGeom prst="rect">
                            <a:avLst/>
                          </a:prstGeom>
                          <a:noFill/>
                          <a:ln>
                            <a:noFill/>
                          </a:ln>
                        </pic:spPr>
                      </pic:pic>
                    </a:graphicData>
                  </a:graphic>
                </wp:inline>
              </w:drawing>
            </w:r>
            <w:r>
              <w:rPr>
                <w:snapToGrid w:val="0"/>
                <w:color w:val="000000" w:themeColor="text1"/>
                <w:sz w:val="24"/>
                <w:szCs w:val="20"/>
                <w14:textFill>
                  <w14:solidFill>
                    <w14:schemeClr w14:val="tx1"/>
                  </w14:solidFill>
                </w14:textFill>
              </w:rPr>
              <w:t>──空气吸收引起的A声级衰减量；</w:t>
            </w:r>
          </w:p>
          <w:p w14:paraId="7F332ED0">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 xml:space="preserve">      </w:t>
            </w:r>
            <w:r>
              <w:rPr>
                <w:color w:val="000000" w:themeColor="text1"/>
                <w:position w:val="-12"/>
                <w14:textFill>
                  <w14:solidFill>
                    <w14:schemeClr w14:val="tx1"/>
                  </w14:solidFill>
                </w14:textFill>
              </w:rPr>
              <w:drawing>
                <wp:inline distT="0" distB="0" distL="0" distR="0">
                  <wp:extent cx="257175" cy="2286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Pr>
                <w:snapToGrid w:val="0"/>
                <w:color w:val="000000" w:themeColor="text1"/>
                <w:sz w:val="24"/>
                <w:szCs w:val="20"/>
                <w14:textFill>
                  <w14:solidFill>
                    <w14:schemeClr w14:val="tx1"/>
                  </w14:solidFill>
                </w14:textFill>
              </w:rPr>
              <w:t>──附加衰减量。</w:t>
            </w:r>
          </w:p>
          <w:p w14:paraId="69AF7BD4">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snapToGrid w:val="0"/>
                <w:color w:val="000000" w:themeColor="text1"/>
                <w:sz w:val="24"/>
                <w:szCs w:val="20"/>
                <w14:textFill>
                  <w14:solidFill>
                    <w14:schemeClr w14:val="tx1"/>
                  </w14:solidFill>
                </w14:textFill>
              </w:rPr>
              <w:t xml:space="preserve"> 几何发散</w:t>
            </w:r>
          </w:p>
          <w:p w14:paraId="47267899">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对于室外点声源，不考虑其指向性，几何发散衰减计算公式为：</w:t>
            </w:r>
          </w:p>
          <w:p w14:paraId="0D693E12">
            <w:pPr>
              <w:adjustRightInd w:val="0"/>
              <w:snapToGrid w:val="0"/>
              <w:spacing w:line="440" w:lineRule="exact"/>
              <w:ind w:firstLine="562" w:firstLineChars="200"/>
              <w:rPr>
                <w:snapToGrid w:val="0"/>
                <w:color w:val="000000" w:themeColor="text1"/>
                <w:sz w:val="24"/>
                <w:szCs w:val="20"/>
                <w14:textFill>
                  <w14:solidFill>
                    <w14:schemeClr w14:val="tx1"/>
                  </w14:solidFill>
                </w14:textFill>
              </w:rPr>
            </w:pPr>
            <w:r>
              <w:rPr>
                <w:b/>
                <w:color w:val="000000" w:themeColor="text1"/>
                <w:sz w:val="28"/>
                <w:szCs w:val="28"/>
                <w14:textFill>
                  <w14:solidFill>
                    <w14:schemeClr w14:val="tx1"/>
                  </w14:solidFill>
                </w14:textFill>
              </w:rPr>
              <w:drawing>
                <wp:anchor distT="0" distB="0" distL="114300" distR="114300" simplePos="0" relativeHeight="251664384" behindDoc="0" locked="0" layoutInCell="1" allowOverlap="1">
                  <wp:simplePos x="0" y="0"/>
                  <wp:positionH relativeFrom="column">
                    <wp:posOffset>1931670</wp:posOffset>
                  </wp:positionH>
                  <wp:positionV relativeFrom="paragraph">
                    <wp:posOffset>80645</wp:posOffset>
                  </wp:positionV>
                  <wp:extent cx="1663700" cy="228600"/>
                  <wp:effectExtent l="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63700" cy="228600"/>
                          </a:xfrm>
                          <a:prstGeom prst="rect">
                            <a:avLst/>
                          </a:prstGeom>
                          <a:noFill/>
                          <a:ln>
                            <a:noFill/>
                          </a:ln>
                          <a:effectLst/>
                        </pic:spPr>
                      </pic:pic>
                    </a:graphicData>
                  </a:graphic>
                </wp:anchor>
              </w:drawing>
            </w:r>
          </w:p>
          <w:p w14:paraId="16B84EB7">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式中：</w:t>
            </w:r>
            <w:r>
              <w:rPr>
                <w:color w:val="000000" w:themeColor="text1"/>
                <w:position w:val="-12"/>
                <w14:textFill>
                  <w14:solidFill>
                    <w14:schemeClr w14:val="tx1"/>
                  </w14:solidFill>
                </w14:textFill>
              </w:rPr>
              <w:drawing>
                <wp:inline distT="0" distB="0" distL="0" distR="0">
                  <wp:extent cx="676275" cy="2286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76275" cy="228600"/>
                          </a:xfrm>
                          <a:prstGeom prst="rect">
                            <a:avLst/>
                          </a:prstGeom>
                          <a:noFill/>
                          <a:ln>
                            <a:noFill/>
                          </a:ln>
                        </pic:spPr>
                      </pic:pic>
                    </a:graphicData>
                  </a:graphic>
                </wp:inline>
              </w:drawing>
            </w:r>
            <w:r>
              <w:rPr>
                <w:snapToGrid w:val="0"/>
                <w:color w:val="000000" w:themeColor="text1"/>
                <w:sz w:val="24"/>
                <w:szCs w:val="20"/>
                <w14:textFill>
                  <w14:solidFill>
                    <w14:schemeClr w14:val="tx1"/>
                  </w14:solidFill>
                </w14:textFill>
              </w:rPr>
              <w:t>—几何发散衰减量</w:t>
            </w:r>
            <w:r>
              <w:rPr>
                <w:color w:val="000000" w:themeColor="text1"/>
                <w:position w:val="-12"/>
                <w14:textFill>
                  <w14:solidFill>
                    <w14:schemeClr w14:val="tx1"/>
                  </w14:solidFill>
                </w14:textFill>
              </w:rPr>
              <w:drawing>
                <wp:inline distT="0" distB="0" distL="0" distR="0">
                  <wp:extent cx="257175" cy="2286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Pr>
                <w:snapToGrid w:val="0"/>
                <w:color w:val="000000" w:themeColor="text1"/>
                <w:sz w:val="24"/>
                <w:szCs w:val="20"/>
                <w14:textFill>
                  <w14:solidFill>
                    <w14:schemeClr w14:val="tx1"/>
                  </w14:solidFill>
                </w14:textFill>
              </w:rPr>
              <w:t>。</w:t>
            </w:r>
          </w:p>
          <w:p w14:paraId="3C373959">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rFonts w:hint="eastAsia" w:ascii="宋体" w:hAnsi="宋体" w:cs="宋体"/>
                <w:snapToGrid w:val="0"/>
                <w:color w:val="000000" w:themeColor="text1"/>
                <w:sz w:val="24"/>
                <w:szCs w:val="20"/>
                <w14:textFill>
                  <w14:solidFill>
                    <w14:schemeClr w14:val="tx1"/>
                  </w14:solidFill>
                </w14:textFill>
              </w:rPr>
              <w:t>②</w:t>
            </w:r>
            <w:r>
              <w:rPr>
                <w:snapToGrid w:val="0"/>
                <w:color w:val="000000" w:themeColor="text1"/>
                <w:sz w:val="24"/>
                <w:szCs w:val="20"/>
                <w14:textFill>
                  <w14:solidFill>
                    <w14:schemeClr w14:val="tx1"/>
                  </w14:solidFill>
                </w14:textFill>
              </w:rPr>
              <w:t xml:space="preserve"> 声屏障引起的衰减量</w:t>
            </w:r>
          </w:p>
          <w:p w14:paraId="509C4B47">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位于点声源和预测点之间的实体障碍物，如围墙、建筑物、土坡等都起到声屏障作用，声屏障的存在使声波不能直达某些预测点，从而引起生能量的衰减。</w:t>
            </w:r>
          </w:p>
          <w:p w14:paraId="53C0B528">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rFonts w:hint="eastAsia" w:ascii="宋体" w:hAnsi="宋体" w:cs="宋体"/>
                <w:snapToGrid w:val="0"/>
                <w:color w:val="000000" w:themeColor="text1"/>
                <w:sz w:val="24"/>
                <w:szCs w:val="20"/>
                <w14:textFill>
                  <w14:solidFill>
                    <w14:schemeClr w14:val="tx1"/>
                  </w14:solidFill>
                </w14:textFill>
              </w:rPr>
              <w:t>③</w:t>
            </w:r>
            <w:r>
              <w:rPr>
                <w:snapToGrid w:val="0"/>
                <w:color w:val="000000" w:themeColor="text1"/>
                <w:sz w:val="24"/>
                <w:szCs w:val="20"/>
                <w14:textFill>
                  <w14:solidFill>
                    <w14:schemeClr w14:val="tx1"/>
                  </w14:solidFill>
                </w14:textFill>
              </w:rPr>
              <w:t xml:space="preserve"> 空气吸收引起的衰减</w:t>
            </w:r>
          </w:p>
          <w:p w14:paraId="0C5476B3">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空气吸收引起的衰减按下式计算：</w:t>
            </w:r>
          </w:p>
          <w:p w14:paraId="541E1257">
            <w:pPr>
              <w:pStyle w:val="2"/>
              <w:ind w:firstLine="562"/>
              <w:rPr>
                <w:snapToGrid w:val="0"/>
                <w:color w:val="000000" w:themeColor="text1"/>
                <w:sz w:val="24"/>
                <w:szCs w:val="20"/>
                <w14:textFill>
                  <w14:solidFill>
                    <w14:schemeClr w14:val="tx1"/>
                  </w14:solidFill>
                </w14:textFill>
              </w:rPr>
            </w:pPr>
            <w:r>
              <w:rPr>
                <w:b/>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1774190</wp:posOffset>
                  </wp:positionH>
                  <wp:positionV relativeFrom="paragraph">
                    <wp:posOffset>27940</wp:posOffset>
                  </wp:positionV>
                  <wp:extent cx="977900" cy="393700"/>
                  <wp:effectExtent l="0" t="0" r="0" b="635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77900" cy="393700"/>
                          </a:xfrm>
                          <a:prstGeom prst="rect">
                            <a:avLst/>
                          </a:prstGeom>
                          <a:noFill/>
                          <a:ln>
                            <a:noFill/>
                          </a:ln>
                          <a:effectLst/>
                        </pic:spPr>
                      </pic:pic>
                    </a:graphicData>
                  </a:graphic>
                </wp:anchor>
              </w:drawing>
            </w:r>
          </w:p>
          <w:p w14:paraId="1293E3D2">
            <w:pPr>
              <w:adjustRightInd w:val="0"/>
              <w:snapToGrid w:val="0"/>
              <w:spacing w:line="440" w:lineRule="exact"/>
              <w:ind w:firstLine="562"/>
              <w:rPr>
                <w:snapToGrid w:val="0"/>
                <w:color w:val="000000" w:themeColor="text1"/>
                <w:sz w:val="24"/>
                <w:szCs w:val="20"/>
                <w14:textFill>
                  <w14:solidFill>
                    <w14:schemeClr w14:val="tx1"/>
                  </w14:solidFill>
                </w14:textFill>
              </w:rPr>
            </w:pPr>
          </w:p>
          <w:p w14:paraId="44BDE3B0">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式中：r—预测点距声源的距离，m；</w:t>
            </w:r>
          </w:p>
          <w:p w14:paraId="3076DD7C">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 xml:space="preserve">      r</w:t>
            </w:r>
            <w:r>
              <w:rPr>
                <w:snapToGrid w:val="0"/>
                <w:color w:val="000000" w:themeColor="text1"/>
                <w:sz w:val="24"/>
                <w:szCs w:val="20"/>
                <w:vertAlign w:val="subscript"/>
                <w14:textFill>
                  <w14:solidFill>
                    <w14:schemeClr w14:val="tx1"/>
                  </w14:solidFill>
                </w14:textFill>
              </w:rPr>
              <w:t>0</w:t>
            </w:r>
            <w:r>
              <w:rPr>
                <w:snapToGrid w:val="0"/>
                <w:color w:val="000000" w:themeColor="text1"/>
                <w:sz w:val="24"/>
                <w:szCs w:val="20"/>
                <w14:textFill>
                  <w14:solidFill>
                    <w14:schemeClr w14:val="tx1"/>
                  </w14:solidFill>
                </w14:textFill>
              </w:rPr>
              <w:t>—参考点距声源的距离，m；</w:t>
            </w:r>
          </w:p>
          <w:p w14:paraId="3B887767">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 xml:space="preserve">      α—每1000m空气吸收系数。</w:t>
            </w:r>
          </w:p>
          <w:p w14:paraId="41837D41">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rFonts w:hint="eastAsia" w:ascii="宋体" w:hAnsi="宋体" w:cs="宋体"/>
                <w:snapToGrid w:val="0"/>
                <w:color w:val="000000" w:themeColor="text1"/>
                <w:sz w:val="24"/>
                <w:szCs w:val="20"/>
                <w14:textFill>
                  <w14:solidFill>
                    <w14:schemeClr w14:val="tx1"/>
                  </w14:solidFill>
                </w14:textFill>
              </w:rPr>
              <w:t>④</w:t>
            </w:r>
            <w:r>
              <w:rPr>
                <w:snapToGrid w:val="0"/>
                <w:color w:val="000000" w:themeColor="text1"/>
                <w:sz w:val="24"/>
                <w:szCs w:val="20"/>
                <w14:textFill>
                  <w14:solidFill>
                    <w14:schemeClr w14:val="tx1"/>
                  </w14:solidFill>
                </w14:textFill>
              </w:rPr>
              <w:t xml:space="preserve"> 附加衰减</w:t>
            </w:r>
          </w:p>
          <w:p w14:paraId="02CD67C2">
            <w:pPr>
              <w:adjustRightInd w:val="0"/>
              <w:snapToGrid w:val="0"/>
              <w:spacing w:line="440" w:lineRule="exact"/>
              <w:ind w:firstLine="480" w:firstLineChars="200"/>
              <w:rPr>
                <w:snapToGrid w:val="0"/>
                <w:color w:val="000000" w:themeColor="text1"/>
                <w:sz w:val="24"/>
                <w:szCs w:val="20"/>
                <w14:textFill>
                  <w14:solidFill>
                    <w14:schemeClr w14:val="tx1"/>
                  </w14:solidFill>
                </w14:textFill>
              </w:rPr>
            </w:pPr>
            <w:r>
              <w:rPr>
                <w:snapToGrid w:val="0"/>
                <w:color w:val="000000" w:themeColor="text1"/>
                <w:sz w:val="24"/>
                <w:szCs w:val="20"/>
                <w14:textFill>
                  <w14:solidFill>
                    <w14:schemeClr w14:val="tx1"/>
                  </w14:solidFill>
                </w14:textFill>
              </w:rPr>
              <w:t>附加衰减包括声波传播过程中由于云、雾、温度梯度、风及地面效应引起的声能量衰减，本次评价中忽略不计。</w:t>
            </w:r>
          </w:p>
          <w:p w14:paraId="7B36A1B4">
            <w:pPr>
              <w:adjustRightInd w:val="0"/>
              <w:snapToGrid w:val="0"/>
              <w:spacing w:line="440" w:lineRule="exact"/>
              <w:ind w:firstLine="480" w:firstLineChars="200"/>
              <w:outlineLvl w:val="2"/>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（3）预测结果与评价</w:t>
            </w:r>
          </w:p>
          <w:p w14:paraId="54AA4A72">
            <w:pPr>
              <w:adjustRightInd w:val="0"/>
              <w:snapToGrid w:val="0"/>
              <w:spacing w:line="440" w:lineRule="exact"/>
              <w:ind w:firstLine="480" w:firstLineChars="200"/>
              <w:outlineLvl w:val="2"/>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根据《环境影响评价技术导则  声环境》(HJ2.4-2021)要求，结合项目升压站平面布置，经模式预测计算，确定升压站运行后厂界噪声贡献值见表4-</w:t>
            </w:r>
            <w:r>
              <w:rPr>
                <w:rFonts w:hint="eastAsia"/>
                <w:color w:val="000000" w:themeColor="text1"/>
                <w:sz w:val="24"/>
                <w:szCs w:val="22"/>
                <w14:textFill>
                  <w14:solidFill>
                    <w14:schemeClr w14:val="tx1"/>
                  </w14:solidFill>
                </w14:textFill>
              </w:rPr>
              <w:t>12</w:t>
            </w:r>
            <w:r>
              <w:rPr>
                <w:color w:val="000000" w:themeColor="text1"/>
                <w:sz w:val="24"/>
                <w:szCs w:val="22"/>
                <w14:textFill>
                  <w14:solidFill>
                    <w14:schemeClr w14:val="tx1"/>
                  </w14:solidFill>
                </w14:textFill>
              </w:rPr>
              <w:t>。</w:t>
            </w:r>
          </w:p>
          <w:p w14:paraId="039865CC">
            <w:pPr>
              <w:adjustRightInd w:val="0"/>
              <w:snapToGrid w:val="0"/>
              <w:spacing w:line="440" w:lineRule="exact"/>
              <w:ind w:firstLine="482" w:firstLineChars="200"/>
              <w:outlineLvl w:val="2"/>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表4-</w:t>
            </w:r>
            <w:r>
              <w:rPr>
                <w:rFonts w:hint="eastAsia"/>
                <w:b/>
                <w:bCs/>
                <w:color w:val="000000" w:themeColor="text1"/>
                <w:sz w:val="24"/>
                <w:szCs w:val="22"/>
                <w14:textFill>
                  <w14:solidFill>
                    <w14:schemeClr w14:val="tx1"/>
                  </w14:solidFill>
                </w14:textFill>
              </w:rPr>
              <w:t>12</w:t>
            </w:r>
            <w:r>
              <w:rPr>
                <w:b/>
                <w:bCs/>
                <w:color w:val="000000" w:themeColor="text1"/>
                <w:sz w:val="24"/>
                <w:szCs w:val="22"/>
                <w14:textFill>
                  <w14:solidFill>
                    <w14:schemeClr w14:val="tx1"/>
                  </w14:solidFill>
                </w14:textFill>
              </w:rPr>
              <w:t xml:space="preserve">    升压站噪声预测结果一览表</w:t>
            </w:r>
          </w:p>
          <w:tbl>
            <w:tblPr>
              <w:tblStyle w:val="66"/>
              <w:tblW w:w="4998"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1771"/>
              <w:gridCol w:w="2858"/>
              <w:gridCol w:w="3653"/>
            </w:tblGrid>
            <w:tr w14:paraId="68B90A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344" w:hRule="atLeast"/>
              </w:trPr>
              <w:tc>
                <w:tcPr>
                  <w:tcW w:w="1069" w:type="pct"/>
                  <w:vAlign w:val="center"/>
                </w:tcPr>
                <w:p w14:paraId="668F8CCD">
                  <w:pPr>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725" w:type="pct"/>
                  <w:vAlign w:val="center"/>
                </w:tcPr>
                <w:p w14:paraId="120B609A">
                  <w:pPr>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预测点名称</w:t>
                  </w:r>
                </w:p>
              </w:tc>
              <w:tc>
                <w:tcPr>
                  <w:tcW w:w="2205" w:type="pct"/>
                  <w:vAlign w:val="center"/>
                </w:tcPr>
                <w:p w14:paraId="50D09BC8">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贡献值（单位：dB(A)）</w:t>
                  </w:r>
                </w:p>
              </w:tc>
            </w:tr>
            <w:tr w14:paraId="036572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259" w:hRule="atLeast"/>
              </w:trPr>
              <w:tc>
                <w:tcPr>
                  <w:tcW w:w="1069" w:type="pct"/>
                  <w:vAlign w:val="center"/>
                </w:tcPr>
                <w:p w14:paraId="765EE1EB">
                  <w:pPr>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1725" w:type="pct"/>
                  <w:vAlign w:val="center"/>
                </w:tcPr>
                <w:p w14:paraId="59809206">
                  <w:pPr>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东</w:t>
                  </w:r>
                  <w:r>
                    <w:rPr>
                      <w:rFonts w:hint="eastAsia"/>
                      <w:color w:val="000000" w:themeColor="text1"/>
                      <w14:textFill>
                        <w14:solidFill>
                          <w14:schemeClr w14:val="tx1"/>
                        </w14:solidFill>
                      </w14:textFill>
                    </w:rPr>
                    <w:t>站</w:t>
                  </w:r>
                  <w:r>
                    <w:rPr>
                      <w:color w:val="000000" w:themeColor="text1"/>
                      <w14:textFill>
                        <w14:solidFill>
                          <w14:schemeClr w14:val="tx1"/>
                        </w14:solidFill>
                      </w14:textFill>
                    </w:rPr>
                    <w:t>界</w:t>
                  </w:r>
                </w:p>
              </w:tc>
              <w:tc>
                <w:tcPr>
                  <w:tcW w:w="2205" w:type="pct"/>
                  <w:vAlign w:val="center"/>
                </w:tcPr>
                <w:p w14:paraId="6DA6ACA4">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26.2</w:t>
                  </w:r>
                </w:p>
              </w:tc>
            </w:tr>
            <w:tr w14:paraId="22530C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365" w:hRule="atLeast"/>
              </w:trPr>
              <w:tc>
                <w:tcPr>
                  <w:tcW w:w="1069" w:type="pct"/>
                  <w:vAlign w:val="center"/>
                </w:tcPr>
                <w:p w14:paraId="7B3EEDB9">
                  <w:pPr>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1725" w:type="pct"/>
                  <w:vAlign w:val="center"/>
                </w:tcPr>
                <w:p w14:paraId="76E8368E">
                  <w:pPr>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南</w:t>
                  </w:r>
                  <w:r>
                    <w:rPr>
                      <w:rFonts w:hint="eastAsia"/>
                      <w:color w:val="000000" w:themeColor="text1"/>
                      <w14:textFill>
                        <w14:solidFill>
                          <w14:schemeClr w14:val="tx1"/>
                        </w14:solidFill>
                      </w14:textFill>
                    </w:rPr>
                    <w:t>站</w:t>
                  </w:r>
                  <w:r>
                    <w:rPr>
                      <w:color w:val="000000" w:themeColor="text1"/>
                      <w14:textFill>
                        <w14:solidFill>
                          <w14:schemeClr w14:val="tx1"/>
                        </w14:solidFill>
                      </w14:textFill>
                    </w:rPr>
                    <w:t>界</w:t>
                  </w:r>
                </w:p>
              </w:tc>
              <w:tc>
                <w:tcPr>
                  <w:tcW w:w="2205" w:type="pct"/>
                  <w:vAlign w:val="center"/>
                </w:tcPr>
                <w:p w14:paraId="5539ED71">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35.2</w:t>
                  </w:r>
                </w:p>
              </w:tc>
            </w:tr>
            <w:tr w14:paraId="1CC0CF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186" w:hRule="atLeast"/>
              </w:trPr>
              <w:tc>
                <w:tcPr>
                  <w:tcW w:w="1069" w:type="pct"/>
                  <w:vAlign w:val="center"/>
                </w:tcPr>
                <w:p w14:paraId="471FC1B2">
                  <w:pPr>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1725" w:type="pct"/>
                  <w:vAlign w:val="center"/>
                </w:tcPr>
                <w:p w14:paraId="205E6BE6">
                  <w:pPr>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西</w:t>
                  </w:r>
                  <w:r>
                    <w:rPr>
                      <w:rFonts w:hint="eastAsia"/>
                      <w:color w:val="000000" w:themeColor="text1"/>
                      <w14:textFill>
                        <w14:solidFill>
                          <w14:schemeClr w14:val="tx1"/>
                        </w14:solidFill>
                      </w14:textFill>
                    </w:rPr>
                    <w:t>站</w:t>
                  </w:r>
                  <w:r>
                    <w:rPr>
                      <w:color w:val="000000" w:themeColor="text1"/>
                      <w14:textFill>
                        <w14:solidFill>
                          <w14:schemeClr w14:val="tx1"/>
                        </w14:solidFill>
                      </w14:textFill>
                    </w:rPr>
                    <w:t>界</w:t>
                  </w:r>
                </w:p>
              </w:tc>
              <w:tc>
                <w:tcPr>
                  <w:tcW w:w="2205" w:type="pct"/>
                  <w:vAlign w:val="center"/>
                </w:tcPr>
                <w:p w14:paraId="5F2EFFE4">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39.9</w:t>
                  </w:r>
                </w:p>
              </w:tc>
            </w:tr>
            <w:tr w14:paraId="528361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356" w:hRule="atLeast"/>
              </w:trPr>
              <w:tc>
                <w:tcPr>
                  <w:tcW w:w="1069" w:type="pct"/>
                  <w:vAlign w:val="center"/>
                </w:tcPr>
                <w:p w14:paraId="7787AFF4">
                  <w:pPr>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4</w:t>
                  </w:r>
                </w:p>
              </w:tc>
              <w:tc>
                <w:tcPr>
                  <w:tcW w:w="1725" w:type="pct"/>
                  <w:vAlign w:val="center"/>
                </w:tcPr>
                <w:p w14:paraId="0220D345">
                  <w:pPr>
                    <w:adjustRightInd w:val="0"/>
                    <w:snapToGrid w:val="0"/>
                    <w:spacing w:line="360" w:lineRule="exact"/>
                    <w:jc w:val="center"/>
                    <w:rPr>
                      <w:color w:val="000000" w:themeColor="text1"/>
                      <w14:textFill>
                        <w14:solidFill>
                          <w14:schemeClr w14:val="tx1"/>
                        </w14:solidFill>
                      </w14:textFill>
                    </w:rPr>
                  </w:pPr>
                  <w:r>
                    <w:rPr>
                      <w:color w:val="000000" w:themeColor="text1"/>
                      <w14:textFill>
                        <w14:solidFill>
                          <w14:schemeClr w14:val="tx1"/>
                        </w14:solidFill>
                      </w14:textFill>
                    </w:rPr>
                    <w:t>北</w:t>
                  </w:r>
                  <w:r>
                    <w:rPr>
                      <w:rFonts w:hint="eastAsia"/>
                      <w:color w:val="000000" w:themeColor="text1"/>
                      <w14:textFill>
                        <w14:solidFill>
                          <w14:schemeClr w14:val="tx1"/>
                        </w14:solidFill>
                      </w14:textFill>
                    </w:rPr>
                    <w:t>站</w:t>
                  </w:r>
                  <w:r>
                    <w:rPr>
                      <w:color w:val="000000" w:themeColor="text1"/>
                      <w14:textFill>
                        <w14:solidFill>
                          <w14:schemeClr w14:val="tx1"/>
                        </w14:solidFill>
                      </w14:textFill>
                    </w:rPr>
                    <w:t>界</w:t>
                  </w:r>
                </w:p>
              </w:tc>
              <w:tc>
                <w:tcPr>
                  <w:tcW w:w="2205" w:type="pct"/>
                  <w:vAlign w:val="center"/>
                </w:tcPr>
                <w:p w14:paraId="42067F55">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49.7</w:t>
                  </w:r>
                </w:p>
              </w:tc>
            </w:tr>
          </w:tbl>
          <w:p w14:paraId="34ACE25D">
            <w:pPr>
              <w:adjustRightInd w:val="0"/>
              <w:snapToGrid w:val="0"/>
              <w:spacing w:line="440" w:lineRule="exact"/>
              <w:ind w:firstLine="480" w:firstLineChars="200"/>
              <w:rPr>
                <w:color w:val="000000" w:themeColor="text1"/>
                <w:sz w:val="24"/>
                <w:szCs w:val="22"/>
                <w:highlight w:val="yellow"/>
                <w14:textFill>
                  <w14:solidFill>
                    <w14:schemeClr w14:val="tx1"/>
                  </w14:solidFill>
                </w14:textFill>
              </w:rPr>
            </w:pPr>
            <w:r>
              <w:rPr>
                <w:color w:val="000000" w:themeColor="text1"/>
                <w:sz w:val="24"/>
                <w:szCs w:val="22"/>
                <w14:textFill>
                  <w14:solidFill>
                    <w14:schemeClr w14:val="tx1"/>
                  </w14:solidFill>
                </w14:textFill>
              </w:rPr>
              <w:t>由</w:t>
            </w:r>
            <w:r>
              <w:rPr>
                <w:rFonts w:hint="eastAsia"/>
                <w:color w:val="000000" w:themeColor="text1"/>
                <w:sz w:val="24"/>
                <w:szCs w:val="22"/>
                <w14:textFill>
                  <w14:solidFill>
                    <w14:schemeClr w14:val="tx1"/>
                  </w14:solidFill>
                </w14:textFill>
              </w:rPr>
              <w:t>上表</w:t>
            </w:r>
            <w:r>
              <w:rPr>
                <w:color w:val="000000" w:themeColor="text1"/>
                <w:sz w:val="24"/>
                <w:szCs w:val="22"/>
                <w14:textFill>
                  <w14:solidFill>
                    <w14:schemeClr w14:val="tx1"/>
                  </w14:solidFill>
                </w14:textFill>
              </w:rPr>
              <w:t>可</w:t>
            </w:r>
            <w:r>
              <w:rPr>
                <w:rFonts w:hint="eastAsia"/>
                <w:color w:val="000000" w:themeColor="text1"/>
                <w:sz w:val="24"/>
                <w:szCs w:val="22"/>
                <w14:textFill>
                  <w14:solidFill>
                    <w14:schemeClr w14:val="tx1"/>
                  </w14:solidFill>
                </w14:textFill>
              </w:rPr>
              <w:t>知</w:t>
            </w:r>
            <w:r>
              <w:rPr>
                <w:color w:val="000000" w:themeColor="text1"/>
                <w:sz w:val="24"/>
                <w:szCs w:val="22"/>
                <w14:textFill>
                  <w14:solidFill>
                    <w14:schemeClr w14:val="tx1"/>
                  </w14:solidFill>
                </w14:textFill>
              </w:rPr>
              <w:t>，当升压站运行后，站界噪声贡献值为</w:t>
            </w:r>
            <w:r>
              <w:rPr>
                <w:rFonts w:hint="eastAsia"/>
                <w:color w:val="000000" w:themeColor="text1"/>
                <w:sz w:val="24"/>
                <w:szCs w:val="22"/>
                <w14:textFill>
                  <w14:solidFill>
                    <w14:schemeClr w14:val="tx1"/>
                  </w14:solidFill>
                </w14:textFill>
              </w:rPr>
              <w:t>26.2</w:t>
            </w: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49.7</w:t>
            </w:r>
            <w:r>
              <w:rPr>
                <w:color w:val="000000" w:themeColor="text1"/>
                <w:sz w:val="24"/>
                <w:szCs w:val="22"/>
                <w14:textFill>
                  <w14:solidFill>
                    <w14:schemeClr w14:val="tx1"/>
                  </w14:solidFill>
                </w14:textFill>
              </w:rPr>
              <w:t>dB(A)</w:t>
            </w:r>
            <w:r>
              <w:rPr>
                <w:rFonts w:hint="eastAsia"/>
                <w:color w:val="000000" w:themeColor="text1"/>
                <w:sz w:val="24"/>
                <w:szCs w:val="22"/>
                <w14:textFill>
                  <w14:solidFill>
                    <w14:schemeClr w14:val="tx1"/>
                  </w14:solidFill>
                </w14:textFill>
              </w:rPr>
              <w:t>，满足</w:t>
            </w:r>
            <w:r>
              <w:rPr>
                <w:color w:val="000000" w:themeColor="text1"/>
                <w:sz w:val="24"/>
                <w:szCs w:val="22"/>
                <w14:textFill>
                  <w14:solidFill>
                    <w14:schemeClr w14:val="tx1"/>
                  </w14:solidFill>
                </w14:textFill>
              </w:rPr>
              <w:t>《工业企业厂界环境噪声排放标准》（GB12348-2008）</w:t>
            </w:r>
            <w:r>
              <w:rPr>
                <w:rFonts w:hint="eastAsia"/>
                <w:color w:val="000000" w:themeColor="text1"/>
                <w:sz w:val="24"/>
                <w:szCs w:val="22"/>
                <w14:textFill>
                  <w14:solidFill>
                    <w14:schemeClr w14:val="tx1"/>
                  </w14:solidFill>
                </w14:textFill>
              </w:rPr>
              <w:t>1</w:t>
            </w:r>
            <w:r>
              <w:rPr>
                <w:color w:val="000000" w:themeColor="text1"/>
                <w:sz w:val="24"/>
                <w:szCs w:val="22"/>
                <w14:textFill>
                  <w14:solidFill>
                    <w14:schemeClr w14:val="tx1"/>
                  </w14:solidFill>
                </w14:textFill>
              </w:rPr>
              <w:t>类标准要求。</w:t>
            </w:r>
          </w:p>
          <w:p w14:paraId="081C918D">
            <w:pPr>
              <w:adjustRightInd w:val="0"/>
              <w:snapToGrid w:val="0"/>
              <w:spacing w:line="440" w:lineRule="exact"/>
              <w:ind w:firstLine="482" w:firstLineChars="200"/>
              <w:outlineLvl w:val="2"/>
              <w:rPr>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3</w:t>
            </w:r>
            <w:r>
              <w:rPr>
                <w:b/>
                <w:bCs/>
                <w:color w:val="000000" w:themeColor="text1"/>
                <w:sz w:val="24"/>
                <w:szCs w:val="22"/>
                <w14:textFill>
                  <w14:solidFill>
                    <w14:schemeClr w14:val="tx1"/>
                  </w14:solidFill>
                </w14:textFill>
              </w:rPr>
              <w:t>.3噪声防治措施</w:t>
            </w:r>
          </w:p>
          <w:p w14:paraId="4093AEF8">
            <w:pPr>
              <w:adjustRightInd w:val="0"/>
              <w:snapToGrid w:val="0"/>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 xml:space="preserve">（1）升压站总体布置应综合考虑声环境影响因素，合理规划，利用建筑物、地形等阻挡噪声传播，减少噪声影响。 </w:t>
            </w:r>
          </w:p>
          <w:p w14:paraId="1C212B5D">
            <w:pPr>
              <w:adjustRightInd w:val="0"/>
              <w:snapToGrid w:val="0"/>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（2）升压站在设计过程中进行平面布置优化，将变压器、</w:t>
            </w:r>
            <w:r>
              <w:rPr>
                <w:rFonts w:hint="eastAsia"/>
                <w:color w:val="000000" w:themeColor="text1"/>
                <w:sz w:val="24"/>
                <w:szCs w:val="22"/>
                <w14:textFill>
                  <w14:solidFill>
                    <w14:schemeClr w14:val="tx1"/>
                  </w14:solidFill>
                </w14:textFill>
              </w:rPr>
              <w:t>逆变器</w:t>
            </w:r>
            <w:r>
              <w:rPr>
                <w:color w:val="000000" w:themeColor="text1"/>
                <w:sz w:val="24"/>
                <w:szCs w:val="22"/>
                <w14:textFill>
                  <w14:solidFill>
                    <w14:schemeClr w14:val="tx1"/>
                  </w14:solidFill>
                </w14:textFill>
              </w:rPr>
              <w:t xml:space="preserve">等主要声源设备布置在站址中央区域或远离围墙侧的区域。 </w:t>
            </w:r>
          </w:p>
          <w:p w14:paraId="0613468E">
            <w:pPr>
              <w:adjustRightInd w:val="0"/>
              <w:snapToGrid w:val="0"/>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（3）升压站应采取低噪声变压器，以降低噪声影响。</w:t>
            </w:r>
          </w:p>
          <w:p w14:paraId="6714F75D">
            <w:pPr>
              <w:adjustRightInd w:val="0"/>
              <w:snapToGrid w:val="0"/>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4）运行期做好环境保护设施的维护和运行管理，加强巡查和检查，保障发挥环境保护作用，定期开展环境监测，确保噪声达标排放。主要声源设备大修前后，应对升压站的站界排放噪声进行监测，监测结果向社会公开。</w:t>
            </w:r>
          </w:p>
          <w:p w14:paraId="2FF9BFD8">
            <w:pPr>
              <w:adjustRightInd w:val="0"/>
              <w:snapToGrid w:val="0"/>
              <w:spacing w:line="440" w:lineRule="exact"/>
              <w:ind w:firstLine="482" w:firstLineChars="200"/>
              <w:rPr>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4</w:t>
            </w:r>
            <w:r>
              <w:rPr>
                <w:b/>
                <w:bCs/>
                <w:color w:val="000000" w:themeColor="text1"/>
                <w:sz w:val="24"/>
                <w:szCs w:val="22"/>
                <w14:textFill>
                  <w14:solidFill>
                    <w14:schemeClr w14:val="tx1"/>
                  </w14:solidFill>
                </w14:textFill>
              </w:rPr>
              <w:t>、固体废物影响预测与分析</w:t>
            </w:r>
          </w:p>
          <w:p w14:paraId="3E810A4A">
            <w:pPr>
              <w:adjustRightInd w:val="0"/>
              <w:snapToGrid w:val="0"/>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本项目在运行期间会产生</w:t>
            </w:r>
            <w:r>
              <w:rPr>
                <w:rFonts w:hint="eastAsia"/>
                <w:color w:val="000000" w:themeColor="text1"/>
                <w:sz w:val="24"/>
                <w:szCs w:val="22"/>
                <w14:textFill>
                  <w14:solidFill>
                    <w14:schemeClr w14:val="tx1"/>
                  </w14:solidFill>
                </w14:textFill>
              </w:rPr>
              <w:t>废磷酸铁锂电池、</w:t>
            </w:r>
            <w:r>
              <w:rPr>
                <w:rFonts w:hint="eastAsia"/>
                <w:color w:val="000000" w:themeColor="text1"/>
                <w:sz w:val="24"/>
                <w:szCs w:val="20"/>
                <w14:textFill>
                  <w14:solidFill>
                    <w14:schemeClr w14:val="tx1"/>
                  </w14:solidFill>
                </w14:textFill>
              </w:rPr>
              <w:t>光伏组件破损产生的废弃物、</w:t>
            </w:r>
            <w:r>
              <w:rPr>
                <w:color w:val="000000" w:themeColor="text1"/>
                <w:sz w:val="24"/>
                <w:szCs w:val="22"/>
                <w14:textFill>
                  <w14:solidFill>
                    <w14:schemeClr w14:val="tx1"/>
                  </w14:solidFill>
                </w14:textFill>
              </w:rPr>
              <w:t>废</w:t>
            </w:r>
            <w:r>
              <w:rPr>
                <w:rFonts w:hint="eastAsia"/>
                <w:color w:val="000000" w:themeColor="text1"/>
                <w:sz w:val="24"/>
                <w:szCs w:val="22"/>
                <w14:textFill>
                  <w14:solidFill>
                    <w14:schemeClr w14:val="tx1"/>
                  </w14:solidFill>
                </w14:textFill>
              </w:rPr>
              <w:t>铅蓄</w:t>
            </w:r>
            <w:r>
              <w:rPr>
                <w:color w:val="000000" w:themeColor="text1"/>
                <w:sz w:val="24"/>
                <w:szCs w:val="22"/>
                <w14:textFill>
                  <w14:solidFill>
                    <w14:schemeClr w14:val="tx1"/>
                  </w14:solidFill>
                </w14:textFill>
              </w:rPr>
              <w:t>电池</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HW31</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和废变压器油</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HW08</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w:t>
            </w:r>
            <w:r>
              <w:rPr>
                <w:rFonts w:hint="eastAsia"/>
                <w:color w:val="000000" w:themeColor="text1"/>
                <w:sz w:val="24"/>
                <w:szCs w:val="22"/>
                <w14:textFill>
                  <w14:solidFill>
                    <w14:schemeClr w14:val="tx1"/>
                  </w14:solidFill>
                </w14:textFill>
              </w:rPr>
              <w:t>废磷酸铁锂电池属于一般固废，定期更换由厂家回收不贮存；</w:t>
            </w:r>
            <w:r>
              <w:rPr>
                <w:rFonts w:hint="eastAsia"/>
                <w:color w:val="000000" w:themeColor="text1"/>
                <w:sz w:val="24"/>
                <w:szCs w:val="20"/>
                <w14:textFill>
                  <w14:solidFill>
                    <w14:schemeClr w14:val="tx1"/>
                  </w14:solidFill>
                </w14:textFill>
              </w:rPr>
              <w:t>光伏组件破损产生的废弃物应设置专用收集箱，定期由厂家回收或运至具有相关资质处置单位进行处理；</w:t>
            </w:r>
            <w:r>
              <w:rPr>
                <w:color w:val="000000" w:themeColor="text1"/>
                <w:sz w:val="24"/>
                <w:szCs w:val="22"/>
                <w14:textFill>
                  <w14:solidFill>
                    <w14:schemeClr w14:val="tx1"/>
                  </w14:solidFill>
                </w14:textFill>
              </w:rPr>
              <w:t>升压站所使用铅蓄电池主要为控制、信号、继电保护、自动装置及事故照明等直流系统提供可靠的直流电源，用于电源的切换。升压站设置事故油池，收集事故状态下的主变油，废电池和废变压器油均属于危险废物，</w:t>
            </w:r>
            <w:r>
              <w:rPr>
                <w:rFonts w:hint="eastAsia"/>
                <w:color w:val="000000" w:themeColor="text1"/>
                <w:sz w:val="24"/>
                <w:szCs w:val="22"/>
                <w:lang w:val="en-US" w:eastAsia="zh-CN"/>
                <w14:textFill>
                  <w14:solidFill>
                    <w14:schemeClr w14:val="tx1"/>
                  </w14:solidFill>
                </w14:textFill>
              </w:rPr>
              <w:t>产生后及时</w:t>
            </w:r>
            <w:r>
              <w:rPr>
                <w:rFonts w:hint="eastAsia"/>
                <w:color w:val="000000" w:themeColor="text1"/>
                <w:sz w:val="24"/>
                <w:szCs w:val="22"/>
                <w14:textFill>
                  <w14:solidFill>
                    <w14:schemeClr w14:val="tx1"/>
                  </w14:solidFill>
                </w14:textFill>
              </w:rPr>
              <w:t>交有</w:t>
            </w:r>
            <w:r>
              <w:rPr>
                <w:color w:val="000000" w:themeColor="text1"/>
                <w:sz w:val="24"/>
                <w:szCs w:val="22"/>
                <w14:textFill>
                  <w14:solidFill>
                    <w14:schemeClr w14:val="tx1"/>
                  </w14:solidFill>
                </w14:textFill>
              </w:rPr>
              <w:t>资质单位处置</w:t>
            </w:r>
            <w:r>
              <w:rPr>
                <w:rFonts w:hint="eastAsia"/>
                <w:color w:val="000000" w:themeColor="text1"/>
                <w:sz w:val="24"/>
                <w:szCs w:val="22"/>
                <w:lang w:eastAsia="zh-CN"/>
                <w14:textFill>
                  <w14:solidFill>
                    <w14:schemeClr w14:val="tx1"/>
                  </w14:solidFill>
                </w14:textFill>
              </w:rPr>
              <w:t>，</w:t>
            </w:r>
            <w:r>
              <w:rPr>
                <w:rFonts w:hint="eastAsia"/>
                <w:color w:val="000000" w:themeColor="text1"/>
                <w:sz w:val="24"/>
                <w:szCs w:val="22"/>
                <w:lang w:val="en-US" w:eastAsia="zh-CN"/>
                <w14:textFill>
                  <w14:solidFill>
                    <w14:schemeClr w14:val="tx1"/>
                  </w14:solidFill>
                </w14:textFill>
              </w:rPr>
              <w:t>不在站内贮存</w:t>
            </w:r>
            <w:r>
              <w:rPr>
                <w:color w:val="000000" w:themeColor="text1"/>
                <w:sz w:val="24"/>
                <w:szCs w:val="22"/>
                <w14:textFill>
                  <w14:solidFill>
                    <w14:schemeClr w14:val="tx1"/>
                  </w14:solidFill>
                </w14:textFill>
              </w:rPr>
              <w:t>。项目危险废物汇总表见表 4-</w:t>
            </w:r>
            <w:r>
              <w:rPr>
                <w:rFonts w:hint="eastAsia"/>
                <w:color w:val="000000" w:themeColor="text1"/>
                <w:sz w:val="24"/>
                <w:szCs w:val="22"/>
                <w14:textFill>
                  <w14:solidFill>
                    <w14:schemeClr w14:val="tx1"/>
                  </w14:solidFill>
                </w14:textFill>
              </w:rPr>
              <w:t>13</w:t>
            </w:r>
            <w:r>
              <w:rPr>
                <w:color w:val="000000" w:themeColor="text1"/>
                <w:sz w:val="24"/>
                <w:szCs w:val="22"/>
                <w14:textFill>
                  <w14:solidFill>
                    <w14:schemeClr w14:val="tx1"/>
                  </w14:solidFill>
                </w14:textFill>
              </w:rPr>
              <w:t>。</w:t>
            </w:r>
          </w:p>
          <w:p w14:paraId="58377135">
            <w:pPr>
              <w:adjustRightInd w:val="0"/>
              <w:snapToGrid w:val="0"/>
              <w:spacing w:line="440" w:lineRule="exact"/>
              <w:ind w:firstLine="482"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表4-</w:t>
            </w:r>
            <w:r>
              <w:rPr>
                <w:rFonts w:hint="eastAsia"/>
                <w:b/>
                <w:bCs/>
                <w:color w:val="000000" w:themeColor="text1"/>
                <w:sz w:val="24"/>
                <w:szCs w:val="22"/>
                <w14:textFill>
                  <w14:solidFill>
                    <w14:schemeClr w14:val="tx1"/>
                  </w14:solidFill>
                </w14:textFill>
              </w:rPr>
              <w:t>13</w:t>
            </w:r>
            <w:r>
              <w:rPr>
                <w:b/>
                <w:bCs/>
                <w:color w:val="000000" w:themeColor="text1"/>
                <w:sz w:val="24"/>
                <w:szCs w:val="22"/>
                <w14:textFill>
                  <w14:solidFill>
                    <w14:schemeClr w14:val="tx1"/>
                  </w14:solidFill>
                </w14:textFill>
              </w:rPr>
              <w:t xml:space="preserve">   危险废物汇总表</w:t>
            </w:r>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7"/>
              <w:gridCol w:w="712"/>
              <w:gridCol w:w="627"/>
              <w:gridCol w:w="1036"/>
              <w:gridCol w:w="839"/>
              <w:gridCol w:w="419"/>
              <w:gridCol w:w="687"/>
              <w:gridCol w:w="549"/>
              <w:gridCol w:w="688"/>
              <w:gridCol w:w="627"/>
              <w:gridCol w:w="1669"/>
            </w:tblGrid>
            <w:tr w14:paraId="11B5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59" w:type="pct"/>
                  <w:vAlign w:val="center"/>
                </w:tcPr>
                <w:p w14:paraId="28FE8929">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431" w:type="pct"/>
                  <w:vAlign w:val="center"/>
                </w:tcPr>
                <w:p w14:paraId="08E5CD7A">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危险废物名称</w:t>
                  </w:r>
                </w:p>
              </w:tc>
              <w:tc>
                <w:tcPr>
                  <w:tcW w:w="380" w:type="pct"/>
                  <w:vAlign w:val="center"/>
                </w:tcPr>
                <w:p w14:paraId="5819AB02">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危废类别</w:t>
                  </w:r>
                </w:p>
              </w:tc>
              <w:tc>
                <w:tcPr>
                  <w:tcW w:w="616" w:type="pct"/>
                  <w:vAlign w:val="center"/>
                </w:tcPr>
                <w:p w14:paraId="28C5F7BA">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危险废物代码</w:t>
                  </w:r>
                </w:p>
              </w:tc>
              <w:tc>
                <w:tcPr>
                  <w:tcW w:w="508" w:type="pct"/>
                  <w:vAlign w:val="center"/>
                </w:tcPr>
                <w:p w14:paraId="72BFDCA1">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w:t>
                  </w:r>
                </w:p>
                <w:p w14:paraId="0C7F3789">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工序</w:t>
                  </w:r>
                </w:p>
              </w:tc>
              <w:tc>
                <w:tcPr>
                  <w:tcW w:w="254" w:type="pct"/>
                  <w:vAlign w:val="center"/>
                </w:tcPr>
                <w:p w14:paraId="7358E6FE">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形态</w:t>
                  </w:r>
                </w:p>
              </w:tc>
              <w:tc>
                <w:tcPr>
                  <w:tcW w:w="416" w:type="pct"/>
                  <w:vAlign w:val="center"/>
                </w:tcPr>
                <w:p w14:paraId="1E6BBF8A">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主要成分</w:t>
                  </w:r>
                </w:p>
              </w:tc>
              <w:tc>
                <w:tcPr>
                  <w:tcW w:w="332" w:type="pct"/>
                  <w:vAlign w:val="center"/>
                </w:tcPr>
                <w:p w14:paraId="757C7FCB">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有害成分</w:t>
                  </w:r>
                </w:p>
              </w:tc>
              <w:tc>
                <w:tcPr>
                  <w:tcW w:w="416" w:type="pct"/>
                  <w:vAlign w:val="center"/>
                </w:tcPr>
                <w:p w14:paraId="17881657">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产废周期</w:t>
                  </w:r>
                </w:p>
              </w:tc>
              <w:tc>
                <w:tcPr>
                  <w:tcW w:w="379" w:type="pct"/>
                  <w:vAlign w:val="center"/>
                </w:tcPr>
                <w:p w14:paraId="2A5F9461">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危险特性</w:t>
                  </w:r>
                </w:p>
              </w:tc>
              <w:tc>
                <w:tcPr>
                  <w:tcW w:w="1008" w:type="pct"/>
                  <w:vAlign w:val="center"/>
                </w:tcPr>
                <w:p w14:paraId="0883F336">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污染防治措施</w:t>
                  </w:r>
                </w:p>
              </w:tc>
            </w:tr>
            <w:tr w14:paraId="4073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59" w:type="pct"/>
                  <w:vAlign w:val="center"/>
                </w:tcPr>
                <w:p w14:paraId="1FF5AA90">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431" w:type="pct"/>
                  <w:vAlign w:val="center"/>
                </w:tcPr>
                <w:p w14:paraId="597C96AD">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废铅蓄电池</w:t>
                  </w:r>
                </w:p>
              </w:tc>
              <w:tc>
                <w:tcPr>
                  <w:tcW w:w="380" w:type="pct"/>
                  <w:vAlign w:val="center"/>
                </w:tcPr>
                <w:p w14:paraId="70ADF41F">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HW31</w:t>
                  </w:r>
                </w:p>
              </w:tc>
              <w:tc>
                <w:tcPr>
                  <w:tcW w:w="616" w:type="pct"/>
                  <w:vAlign w:val="center"/>
                </w:tcPr>
                <w:p w14:paraId="54B662B3">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900-052-31</w:t>
                  </w:r>
                </w:p>
              </w:tc>
              <w:tc>
                <w:tcPr>
                  <w:tcW w:w="508" w:type="pct"/>
                  <w:vAlign w:val="center"/>
                </w:tcPr>
                <w:p w14:paraId="58B18513">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阀控铅蓄电池</w:t>
                  </w:r>
                </w:p>
              </w:tc>
              <w:tc>
                <w:tcPr>
                  <w:tcW w:w="254" w:type="pct"/>
                  <w:vAlign w:val="center"/>
                </w:tcPr>
                <w:p w14:paraId="14747859">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416" w:type="pct"/>
                  <w:vAlign w:val="center"/>
                </w:tcPr>
                <w:p w14:paraId="48381E4E">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硫酸铅</w:t>
                  </w:r>
                </w:p>
              </w:tc>
              <w:tc>
                <w:tcPr>
                  <w:tcW w:w="332" w:type="pct"/>
                  <w:vAlign w:val="center"/>
                </w:tcPr>
                <w:p w14:paraId="23631A4E">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硫酸铅</w:t>
                  </w:r>
                </w:p>
              </w:tc>
              <w:tc>
                <w:tcPr>
                  <w:tcW w:w="416" w:type="pct"/>
                  <w:vAlign w:val="center"/>
                </w:tcPr>
                <w:p w14:paraId="2FB9D1F6">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8~10年</w:t>
                  </w:r>
                </w:p>
              </w:tc>
              <w:tc>
                <w:tcPr>
                  <w:tcW w:w="379" w:type="pct"/>
                  <w:vAlign w:val="center"/>
                </w:tcPr>
                <w:p w14:paraId="55C80CA2">
                  <w:pPr>
                    <w:adjustRightInd w:val="0"/>
                    <w:snapToGrid w:val="0"/>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毒性、腐蚀性</w:t>
                  </w:r>
                </w:p>
              </w:tc>
              <w:tc>
                <w:tcPr>
                  <w:tcW w:w="1008" w:type="pct"/>
                  <w:vAlign w:val="center"/>
                </w:tcPr>
                <w:p w14:paraId="34DA80C7">
                  <w:pPr>
                    <w:adjustRightInd w:val="0"/>
                    <w:snapToGrid w:val="0"/>
                    <w:spacing w:line="360" w:lineRule="exac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产生后及时</w:t>
                  </w:r>
                  <w:r>
                    <w:rPr>
                      <w:color w:val="000000" w:themeColor="text1"/>
                      <w:szCs w:val="21"/>
                      <w14:textFill>
                        <w14:solidFill>
                          <w14:schemeClr w14:val="tx1"/>
                        </w14:solidFill>
                      </w14:textFill>
                    </w:rPr>
                    <w:t>交由有资质单位处置</w:t>
                  </w:r>
                </w:p>
              </w:tc>
            </w:tr>
            <w:tr w14:paraId="6CFF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59" w:type="pct"/>
                  <w:vAlign w:val="center"/>
                </w:tcPr>
                <w:p w14:paraId="35109F05">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431" w:type="pct"/>
                  <w:vAlign w:val="center"/>
                </w:tcPr>
                <w:p w14:paraId="43D3E185">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废变压器油</w:t>
                  </w:r>
                </w:p>
              </w:tc>
              <w:tc>
                <w:tcPr>
                  <w:tcW w:w="380" w:type="pct"/>
                  <w:vAlign w:val="center"/>
                </w:tcPr>
                <w:p w14:paraId="47B7A87C">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HW08</w:t>
                  </w:r>
                </w:p>
              </w:tc>
              <w:tc>
                <w:tcPr>
                  <w:tcW w:w="616" w:type="pct"/>
                  <w:vAlign w:val="center"/>
                </w:tcPr>
                <w:p w14:paraId="41821639">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900-220-08</w:t>
                  </w:r>
                </w:p>
              </w:tc>
              <w:tc>
                <w:tcPr>
                  <w:tcW w:w="508" w:type="pct"/>
                  <w:vAlign w:val="center"/>
                </w:tcPr>
                <w:p w14:paraId="4951D442">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变压器</w:t>
                  </w:r>
                </w:p>
              </w:tc>
              <w:tc>
                <w:tcPr>
                  <w:tcW w:w="254" w:type="pct"/>
                  <w:vAlign w:val="center"/>
                </w:tcPr>
                <w:p w14:paraId="07485847">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液态</w:t>
                  </w:r>
                </w:p>
              </w:tc>
              <w:tc>
                <w:tcPr>
                  <w:tcW w:w="416" w:type="pct"/>
                  <w:vAlign w:val="center"/>
                </w:tcPr>
                <w:p w14:paraId="10498451">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烷烃类</w:t>
                  </w:r>
                </w:p>
              </w:tc>
              <w:tc>
                <w:tcPr>
                  <w:tcW w:w="332" w:type="pct"/>
                  <w:vAlign w:val="center"/>
                </w:tcPr>
                <w:p w14:paraId="170C3844">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烷烃类</w:t>
                  </w:r>
                </w:p>
              </w:tc>
              <w:tc>
                <w:tcPr>
                  <w:tcW w:w="416" w:type="pct"/>
                  <w:vAlign w:val="center"/>
                </w:tcPr>
                <w:p w14:paraId="71007F49">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79" w:type="pct"/>
                  <w:vAlign w:val="center"/>
                </w:tcPr>
                <w:p w14:paraId="6C551054">
                  <w:pPr>
                    <w:adjustRightInd w:val="0"/>
                    <w:snapToGrid w:val="0"/>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毒性、易燃性</w:t>
                  </w:r>
                </w:p>
              </w:tc>
              <w:tc>
                <w:tcPr>
                  <w:tcW w:w="1008" w:type="pct"/>
                  <w:vAlign w:val="center"/>
                </w:tcPr>
                <w:p w14:paraId="2C63B0E9">
                  <w:pPr>
                    <w:adjustRightInd w:val="0"/>
                    <w:snapToGrid w:val="0"/>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设置事故油池，</w:t>
                  </w:r>
                  <w:r>
                    <w:rPr>
                      <w:rFonts w:hint="eastAsia"/>
                      <w:color w:val="000000" w:themeColor="text1"/>
                      <w:szCs w:val="21"/>
                      <w:lang w:val="en-US" w:eastAsia="zh-CN"/>
                      <w14:textFill>
                        <w14:solidFill>
                          <w14:schemeClr w14:val="tx1"/>
                        </w14:solidFill>
                      </w14:textFill>
                    </w:rPr>
                    <w:t>产生后及时</w:t>
                  </w:r>
                  <w:r>
                    <w:rPr>
                      <w:color w:val="000000" w:themeColor="text1"/>
                      <w:szCs w:val="21"/>
                      <w14:textFill>
                        <w14:solidFill>
                          <w14:schemeClr w14:val="tx1"/>
                        </w14:solidFill>
                      </w14:textFill>
                    </w:rPr>
                    <w:t>交有资质单位处置</w:t>
                  </w:r>
                </w:p>
              </w:tc>
            </w:tr>
          </w:tbl>
          <w:p w14:paraId="0A545B01">
            <w:pPr>
              <w:adjustRightInd w:val="0"/>
              <w:snapToGrid w:val="0"/>
              <w:spacing w:line="440" w:lineRule="atLeas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（1）固体废物处置措施</w:t>
            </w:r>
          </w:p>
          <w:p w14:paraId="25312BB7">
            <w:pPr>
              <w:adjustRightInd w:val="0"/>
              <w:snapToGrid w:val="0"/>
              <w:spacing w:line="440" w:lineRule="atLeas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根据《国家危险废物名录</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2021年版</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》，废铅蓄电池属危险废物</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HW31 900-052-31</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，废变压器油属危险废物</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HW08 900-220-08</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，应按《危险废物贮存污染控制标准》</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GB18597-2023</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要求进行收集、贮存及运输，按照相关法律法规要求交有危废处置资质单位处置。</w:t>
            </w:r>
          </w:p>
          <w:p w14:paraId="009EB4B5">
            <w:pPr>
              <w:adjustRightInd w:val="0"/>
              <w:snapToGrid w:val="0"/>
              <w:spacing w:line="440" w:lineRule="atLeas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（2）危险废物贮存场所</w:t>
            </w:r>
          </w:p>
          <w:p w14:paraId="2D887EA5">
            <w:pPr>
              <w:adjustRightInd w:val="0"/>
              <w:snapToGrid w:val="0"/>
              <w:spacing w:line="440" w:lineRule="atLeast"/>
              <w:ind w:firstLine="480" w:firstLineChars="200"/>
              <w:rPr>
                <w:color w:val="000000" w:themeColor="text1"/>
                <w:sz w:val="24"/>
                <w:szCs w:val="22"/>
                <w14:textFill>
                  <w14:solidFill>
                    <w14:schemeClr w14:val="tx1"/>
                  </w14:solidFill>
                </w14:textFill>
              </w:rPr>
            </w:pPr>
            <w:r>
              <w:rPr>
                <w:rFonts w:hint="eastAsia"/>
                <w:color w:val="000000" w:themeColor="text1"/>
                <w:sz w:val="24"/>
                <w:szCs w:val="22"/>
                <w:lang w:val="en-US" w:eastAsia="zh-CN"/>
                <w14:textFill>
                  <w14:solidFill>
                    <w14:schemeClr w14:val="tx1"/>
                  </w14:solidFill>
                </w14:textFill>
              </w:rPr>
              <w:t>本项目不设置危废贮存间，危险废物产生后及时交由有资质单位处置，不在站内贮存</w:t>
            </w:r>
            <w:r>
              <w:rPr>
                <w:color w:val="000000" w:themeColor="text1"/>
                <w:sz w:val="24"/>
                <w:szCs w:val="22"/>
                <w14:textFill>
                  <w14:solidFill>
                    <w14:schemeClr w14:val="tx1"/>
                  </w14:solidFill>
                </w14:textFill>
              </w:rPr>
              <w:t>。</w:t>
            </w:r>
          </w:p>
          <w:p w14:paraId="15E02B48">
            <w:pPr>
              <w:adjustRightInd w:val="0"/>
              <w:snapToGrid w:val="0"/>
              <w:spacing w:line="440" w:lineRule="atLeas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（3）危险废物运输</w:t>
            </w:r>
          </w:p>
          <w:p w14:paraId="4DC3A0BE">
            <w:pPr>
              <w:adjustRightInd w:val="0"/>
              <w:snapToGrid w:val="0"/>
              <w:spacing w:line="440" w:lineRule="atLeas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废铅蓄电池</w:t>
            </w:r>
            <w:r>
              <w:rPr>
                <w:rFonts w:hint="eastAsia"/>
                <w:color w:val="000000" w:themeColor="text1"/>
                <w:sz w:val="24"/>
                <w:szCs w:val="22"/>
                <w:lang w:val="en-US" w:eastAsia="zh-CN"/>
                <w14:textFill>
                  <w14:solidFill>
                    <w14:schemeClr w14:val="tx1"/>
                  </w14:solidFill>
                </w14:textFill>
              </w:rPr>
              <w:t>产生后及时</w:t>
            </w:r>
            <w:r>
              <w:rPr>
                <w:color w:val="000000" w:themeColor="text1"/>
                <w:sz w:val="24"/>
                <w:szCs w:val="22"/>
                <w14:textFill>
                  <w14:solidFill>
                    <w14:schemeClr w14:val="tx1"/>
                  </w14:solidFill>
                </w14:textFill>
              </w:rPr>
              <w:t>交有废铅蓄电池处置资质的危险废物处置单位处置，其运输交由有相关危废运输资质的单位承担；废变压器油交由有资质的单位处置，运输单位应根据《废矿物油回收利用污染控制技术规范》</w:t>
            </w:r>
            <w:r>
              <w:rPr>
                <w:rFonts w:hint="eastAsia"/>
                <w:color w:val="000000" w:themeColor="text1"/>
                <w:sz w:val="24"/>
                <w:szCs w:val="22"/>
                <w14:textFill>
                  <w14:solidFill>
                    <w14:schemeClr w14:val="tx1"/>
                  </w14:solidFill>
                </w14:textFill>
              </w:rPr>
              <w:t>（</w:t>
            </w:r>
            <w:r>
              <w:rPr>
                <w:color w:val="000000" w:themeColor="text1"/>
                <w:sz w:val="24"/>
                <w:szCs w:val="22"/>
                <w14:textFill>
                  <w14:solidFill>
                    <w14:schemeClr w14:val="tx1"/>
                  </w14:solidFill>
                </w14:textFill>
              </w:rPr>
              <w:t>HJ 607-2011</w:t>
            </w:r>
            <w:r>
              <w:rPr>
                <w:color w:val="000000" w:themeColor="text1"/>
                <w:szCs w:val="21"/>
                <w14:textFill>
                  <w14:solidFill>
                    <w14:schemeClr w14:val="tx1"/>
                  </w14:solidFill>
                </w14:textFill>
              </w:rPr>
              <w:t>）</w:t>
            </w:r>
            <w:r>
              <w:rPr>
                <w:color w:val="000000" w:themeColor="text1"/>
                <w:sz w:val="24"/>
                <w:szCs w:val="22"/>
                <w14:textFill>
                  <w14:solidFill>
                    <w14:schemeClr w14:val="tx1"/>
                  </w14:solidFill>
                </w14:textFill>
              </w:rPr>
              <w:t>中的相关要求进行运输。</w:t>
            </w:r>
          </w:p>
          <w:p w14:paraId="5EB292CF">
            <w:pPr>
              <w:adjustRightInd w:val="0"/>
              <w:snapToGrid w:val="0"/>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（4）其他管理要求</w:t>
            </w:r>
          </w:p>
          <w:p w14:paraId="51DBF0D3">
            <w:pPr>
              <w:adjustRightInd w:val="0"/>
              <w:snapToGrid w:val="0"/>
              <w:spacing w:line="440" w:lineRule="exact"/>
              <w:ind w:firstLine="480" w:firstLineChars="200"/>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为防止废铅蓄电池在对环境产生污染影响，根据《废铅蓄电池处理污染控制》</w:t>
            </w:r>
            <w:r>
              <w:rPr>
                <w:color w:val="000000" w:themeColor="text1"/>
                <w:szCs w:val="21"/>
                <w14:textFill>
                  <w14:solidFill>
                    <w14:schemeClr w14:val="tx1"/>
                  </w14:solidFill>
                </w14:textFill>
              </w:rPr>
              <w:t>（</w:t>
            </w:r>
            <w:r>
              <w:rPr>
                <w:color w:val="000000" w:themeColor="text1"/>
                <w:sz w:val="24"/>
                <w:szCs w:val="22"/>
                <w14:textFill>
                  <w14:solidFill>
                    <w14:schemeClr w14:val="tx1"/>
                  </w14:solidFill>
                </w14:textFill>
              </w:rPr>
              <w:t>HJ519-2020</w:t>
            </w:r>
            <w:r>
              <w:rPr>
                <w:color w:val="000000" w:themeColor="text1"/>
                <w:szCs w:val="21"/>
                <w14:textFill>
                  <w14:solidFill>
                    <w14:schemeClr w14:val="tx1"/>
                  </w14:solidFill>
                </w14:textFill>
              </w:rPr>
              <w:t>）</w:t>
            </w:r>
            <w:r>
              <w:rPr>
                <w:color w:val="000000" w:themeColor="text1"/>
                <w:sz w:val="24"/>
                <w:szCs w:val="22"/>
                <w14:textFill>
                  <w14:solidFill>
                    <w14:schemeClr w14:val="tx1"/>
                  </w14:solidFill>
                </w14:textFill>
              </w:rPr>
              <w:t>，本评价对危险废物管理提出以下要求：</w:t>
            </w:r>
          </w:p>
          <w:p w14:paraId="74532CE6">
            <w:pPr>
              <w:adjustRightInd w:val="0"/>
              <w:snapToGrid w:val="0"/>
              <w:spacing w:line="440" w:lineRule="exact"/>
              <w:ind w:firstLine="480" w:firstLineChars="200"/>
              <w:rPr>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①</w:t>
            </w:r>
            <w:r>
              <w:rPr>
                <w:color w:val="000000" w:themeColor="text1"/>
                <w:sz w:val="24"/>
                <w:szCs w:val="22"/>
                <w14:textFill>
                  <w14:solidFill>
                    <w14:schemeClr w14:val="tx1"/>
                  </w14:solidFill>
                </w14:textFill>
              </w:rPr>
              <w:t>收集、运输废铅蓄电池应根据废铅蓄电池的特性而设计，其所用材料能有效地防止渗漏、扩散，并耐酸腐蚀。废铅蓄电池运输工具需满足防雨、防渗漏和防遗撒要求</w:t>
            </w:r>
            <w:r>
              <w:rPr>
                <w:rFonts w:hint="eastAsia"/>
                <w:color w:val="000000" w:themeColor="text1"/>
                <w:sz w:val="24"/>
                <w:szCs w:val="22"/>
                <w14:textFill>
                  <w14:solidFill>
                    <w14:schemeClr w14:val="tx1"/>
                  </w14:solidFill>
                </w14:textFill>
              </w:rPr>
              <w:t>。</w:t>
            </w:r>
          </w:p>
          <w:p w14:paraId="784A0B4C">
            <w:pPr>
              <w:adjustRightInd w:val="0"/>
              <w:snapToGrid w:val="0"/>
              <w:spacing w:line="440" w:lineRule="exact"/>
              <w:ind w:firstLine="480" w:firstLineChars="200"/>
              <w:rPr>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②</w:t>
            </w:r>
            <w:r>
              <w:rPr>
                <w:color w:val="000000" w:themeColor="text1"/>
                <w:sz w:val="24"/>
                <w:szCs w:val="22"/>
                <w14:textFill>
                  <w14:solidFill>
                    <w14:schemeClr w14:val="tx1"/>
                  </w14:solidFill>
                </w14:textFill>
              </w:rPr>
              <w:t>装有废铅蓄电池的容器必须粘贴符合相关要求的危险废物标签；转移废铅蓄电池的，应执行《危险废物转移联单管理办法》有关规定，禁止在转移过程中擅自拆解、破碎、丢弃废铅蓄电池</w:t>
            </w:r>
            <w:r>
              <w:rPr>
                <w:rFonts w:hint="eastAsia"/>
                <w:color w:val="000000" w:themeColor="text1"/>
                <w:sz w:val="24"/>
                <w:szCs w:val="22"/>
                <w14:textFill>
                  <w14:solidFill>
                    <w14:schemeClr w14:val="tx1"/>
                  </w14:solidFill>
                </w14:textFill>
              </w:rPr>
              <w:t>。</w:t>
            </w:r>
          </w:p>
          <w:p w14:paraId="562CE3C4">
            <w:pPr>
              <w:adjustRightInd w:val="0"/>
              <w:snapToGrid w:val="0"/>
              <w:spacing w:line="440" w:lineRule="exact"/>
              <w:ind w:firstLine="480" w:firstLineChars="200"/>
              <w:rPr>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③</w:t>
            </w:r>
            <w:r>
              <w:rPr>
                <w:color w:val="000000" w:themeColor="text1"/>
                <w:sz w:val="24"/>
                <w:szCs w:val="22"/>
                <w14:textFill>
                  <w14:solidFill>
                    <w14:schemeClr w14:val="tx1"/>
                  </w14:solidFill>
                </w14:textFill>
              </w:rPr>
              <w:t>废铅蓄电池的收集和运输人员应配备必要的个人防护装备，如耐酸工作服、专用眼镜、耐酸手套等，防止收集和运输过程中对人体健康可能产生的潜在影响</w:t>
            </w:r>
            <w:r>
              <w:rPr>
                <w:rFonts w:hint="eastAsia"/>
                <w:color w:val="000000" w:themeColor="text1"/>
                <w:sz w:val="24"/>
                <w:szCs w:val="22"/>
                <w14:textFill>
                  <w14:solidFill>
                    <w14:schemeClr w14:val="tx1"/>
                  </w14:solidFill>
                </w14:textFill>
              </w:rPr>
              <w:t>。</w:t>
            </w:r>
          </w:p>
          <w:p w14:paraId="141BFED4">
            <w:pPr>
              <w:adjustRightInd w:val="0"/>
              <w:snapToGrid w:val="0"/>
              <w:spacing w:line="440" w:lineRule="exact"/>
              <w:ind w:firstLine="480" w:firstLineChars="200"/>
              <w:rPr>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④</w:t>
            </w:r>
            <w:r>
              <w:rPr>
                <w:color w:val="000000" w:themeColor="text1"/>
                <w:sz w:val="24"/>
                <w:szCs w:val="22"/>
                <w14:textFill>
                  <w14:solidFill>
                    <w14:schemeClr w14:val="tx1"/>
                  </w14:solidFill>
                </w14:textFill>
              </w:rPr>
              <w:t>废铅蓄电池收集过程中应以环境无害化的方式运行，避免可能引起人身的环境危害的事故发生，采取措施如下：a、废铅蓄电池运输前，产生者应当自行或者委托有关单位进行合理包装，防治运输过程出现泄漏，不得擅自倾倒、丢弃废铅蓄电池中的电解液；b、废铅蓄电池有电解渗漏的，其渗漏液应贮存在耐酸容器中；c、拆装后的铅材料应包装后收集。</w:t>
            </w:r>
          </w:p>
          <w:p w14:paraId="4024C0EF">
            <w:pPr>
              <w:adjustRightInd w:val="0"/>
              <w:snapToGrid w:val="0"/>
              <w:spacing w:line="440" w:lineRule="exact"/>
              <w:ind w:firstLine="480" w:firstLineChars="200"/>
              <w:outlineLvl w:val="2"/>
              <w:rPr>
                <w:color w:val="000000" w:themeColor="text1"/>
                <w:sz w:val="24"/>
                <w:szCs w:val="22"/>
                <w14:textFill>
                  <w14:solidFill>
                    <w14:schemeClr w14:val="tx1"/>
                  </w14:solidFill>
                </w14:textFill>
              </w:rPr>
            </w:pPr>
            <w:r>
              <w:rPr>
                <w:color w:val="000000" w:themeColor="text1"/>
                <w:sz w:val="24"/>
                <w:szCs w:val="22"/>
                <w14:textFill>
                  <w14:solidFill>
                    <w14:schemeClr w14:val="tx1"/>
                  </w14:solidFill>
                </w14:textFill>
              </w:rPr>
              <w:t>综上，项目产生的固体废物全部妥善处理，不会对周围环境产生明显影响。</w:t>
            </w:r>
          </w:p>
          <w:p w14:paraId="286FBC6E">
            <w:pPr>
              <w:adjustRightInd w:val="0"/>
              <w:snapToGrid w:val="0"/>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5、地下水及土壤环境影响分析</w:t>
            </w:r>
          </w:p>
          <w:p w14:paraId="6FD08578">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w:t>
            </w:r>
            <w:r>
              <w:rPr>
                <w:rFonts w:hint="eastAsia"/>
                <w:color w:val="000000" w:themeColor="text1"/>
                <w:sz w:val="24"/>
                <w14:textFill>
                  <w14:solidFill>
                    <w14:schemeClr w14:val="tx1"/>
                  </w14:solidFill>
                </w14:textFill>
              </w:rPr>
              <w:t>用水主要是光伏组件清洗用水和升压站生活用水，光伏组件清洗用水水质简单，用于灌溉农田，升压站生活用水经污水一体化设施，经处理后，排入蓄水池，统一处理，处理后的出水可用于绿化灌溉。</w:t>
            </w:r>
            <w:r>
              <w:rPr>
                <w:color w:val="000000" w:themeColor="text1"/>
                <w:sz w:val="24"/>
                <w14:textFill>
                  <w14:solidFill>
                    <w14:schemeClr w14:val="tx1"/>
                  </w14:solidFill>
                </w14:textFill>
              </w:rPr>
              <w:t>不涉及可能对地下水及土壤产生影响的污染源，无需进行分析。</w:t>
            </w:r>
          </w:p>
          <w:p w14:paraId="4B7B9E3E">
            <w:pPr>
              <w:adjustRightInd w:val="0"/>
              <w:snapToGrid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w:t>
            </w:r>
            <w:r>
              <w:rPr>
                <w:b/>
                <w:bCs/>
                <w:color w:val="000000" w:themeColor="text1"/>
                <w:sz w:val="24"/>
                <w14:textFill>
                  <w14:solidFill>
                    <w14:schemeClr w14:val="tx1"/>
                  </w14:solidFill>
                </w14:textFill>
              </w:rPr>
              <w:t>、生态环境影响分析</w:t>
            </w:r>
          </w:p>
          <w:p w14:paraId="1373B744">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（1）对占地情况影响分析</w:t>
            </w:r>
          </w:p>
          <w:p w14:paraId="55CC6EA1">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永久占用土地自施工期就已开始，并在整个运行期内一直持续，对土地利用的影响是永久性的，即对土地利用产生不可逆的影响，将使乔木林地、灌木林地、草地、果园变为建设用地。但这部分占地面积很小，对当地的土地利用影响相对而言比较小；在施工结束后进行绿化，对周边景观影响较小。</w:t>
            </w:r>
          </w:p>
          <w:p w14:paraId="22BE0F2C">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施工期临时道路和施工厂区占地是临时用地，由于施工时间较短，施工完毕后，在施工结束后该地段土地利用可恢复为原利用状态。</w:t>
            </w:r>
          </w:p>
          <w:p w14:paraId="708C6F4E">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一般情况下，地埋电缆地段可以种植根系不发达的草本植物，以改善景观、防止水土流失。因此从用地类型看对林地用地有一定的影响，使得原有土地利用方式发生改变，但并没有影响土地利用性质。本工程临时占用乔木林地、灌木林地、草地、园地用地等用地类型，均可恢复原状，对土地利用性质影响不大。</w:t>
            </w:r>
          </w:p>
          <w:p w14:paraId="072EFB86">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缆敷设采用直埋和架空相结合的方式。地埋施工活动将破坏地表植被、扰动土壤结构，造成植物生物量损失，将在施工结束后一段时间内影响土地生产能力；项目建设的临时占地在一段时间内对扰动系统产生的影响，可逐渐消失，永久占地将改变原土地利用性质。架空方式无需破坏地表植被，对生态环境影响较小。</w:t>
            </w:r>
          </w:p>
          <w:p w14:paraId="32D0ADED">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在施工期间，由于开挖填埋、机械与车辆碾压、人员践踏等影响，将使施工带内土壤受到扰动，土壤结构造到破坏，土壤养分降低，即改变了植物原赖以生长的土壤环境，最终将表现为对农业产量的影响。</w:t>
            </w:r>
          </w:p>
          <w:p w14:paraId="749D5367">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施工活动将破坏植被，扰动土层，施工结束后，没有及时恢复植被并采取有效的水工保护措施，会加剧水土流失。</w:t>
            </w:r>
          </w:p>
          <w:p w14:paraId="510B0AAC">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根据现状调查结果，电缆沿线均为广布种和常见种，因此，尽管施工活动会使原有植被遭到局部破坏，但不会使电缆沿线所经地区植物群落的种类组成发生变化，也不会造成某一物种的消失。</w:t>
            </w:r>
          </w:p>
          <w:p w14:paraId="68360038">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（2）对植被的影响分析</w:t>
            </w:r>
          </w:p>
          <w:p w14:paraId="3E2F038B">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根据工程分析，本工程施工期间的污染主要来自于扬尘，各种机械、车辆排放的废气，以及施工过程中排放的施工和生活垃圾等固体废物。</w:t>
            </w:r>
          </w:p>
          <w:p w14:paraId="79AB80FD">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①扬尘、废气对植被的影响</w:t>
            </w:r>
          </w:p>
          <w:p w14:paraId="11BC1731">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工程建设中的扬尘、废气是对植被生长产生影响的因素之一，而以扬尘产生的影响为主，扬尘产生的颗粒物质在植物地表以上器官(叶、茎、花和果实)的沉降将对植物产生直接影响。沉降物在植物表面的扬尘以干粉尘、泥膜等形式累积，造成植物表面气孔阻塞，导致气体交换减少，叶片温度升高，光合作用下降，叶片黄化干缩，植物干物质生产受到影响。</w:t>
            </w:r>
          </w:p>
          <w:p w14:paraId="13118A3E">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一般情况下，大范围内较低浓度的颗粒物慢性沉降不至于对自然生态系统产生不利影响，只有当颗粒物的沉降速率很高时才会造成生态问题，扬尘过程对植物的伤害程度取决于空气中颗粒物浓度、沉降速率以及所处的环境和地形。项目建设过程施工时间短、施工点分散，因此在正常情况下扬尘浓度低，持续时间短，对植被的影响不大。</w:t>
            </w:r>
          </w:p>
          <w:p w14:paraId="67B62409">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②施工废物对植被的影响</w:t>
            </w:r>
          </w:p>
          <w:p w14:paraId="4ADE0432">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在施工工程中，施工废物和塑料袋、矿泉水瓶等生活垃圾胡乱丢弃会造成白色污染而影响土壤，在大风季节塑料袋被吹挂在植物体上，不仅影响景观，也会影响植物生长；需要加强施工过程管理和对施工人员的环保宣传与教育，减少对环境的影响。</w:t>
            </w:r>
          </w:p>
          <w:p w14:paraId="7971FD2C">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（3）对植物生物量的影响分析</w:t>
            </w:r>
          </w:p>
          <w:p w14:paraId="14459B42">
            <w:pPr>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本工程除永久占地外，其余占地在采取人工措施后均可以恢复。由于地埋电缆施工范围内禁止种植深根植物，因此管线所经过的林地需改种恢复为草地。工程建设将造成一定的生物量和生产力损失。经计算，工</w:t>
            </w:r>
            <w:r>
              <w:rPr>
                <w:color w:val="000000" w:themeColor="text1"/>
                <w:sz w:val="24"/>
                <w14:textFill>
                  <w14:solidFill>
                    <w14:schemeClr w14:val="tx1"/>
                  </w14:solidFill>
                </w14:textFill>
              </w:rPr>
              <w:t>程建设后，生物量总计将减少1285.27t，占评价范围内总生物量的1.39%。因此，工程对自然体系生产能力影响较小，评价区自然体系基本可以恢复稳定状态。</w:t>
            </w:r>
          </w:p>
          <w:p w14:paraId="18328BAC">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（4）对野生动物影响分析</w:t>
            </w:r>
          </w:p>
          <w:p w14:paraId="00F8D995">
            <w:pPr>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t>对两栖类物种的影响</w:t>
            </w:r>
          </w:p>
          <w:p w14:paraId="3F0C3923">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两栖动物的防御、扩散、迁移的能力弱，对环境依赖性大，它们大多昼伏夜出，白天多隐蔽，黄昏至黎明时活动频繁，酷热或严寒时以夏蛰或冬眠方式度过。它们主要分布在沿线的农田生境，因此，陆缆施工过程对它们产生一定的驱赶作用，但不会对它们的取食以及繁殖造成影响。同时，这种影响随着施工的结束而结束。</w:t>
            </w:r>
          </w:p>
          <w:p w14:paraId="4269D56A">
            <w:pPr>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对爬行类物种的影响</w:t>
            </w:r>
          </w:p>
          <w:p w14:paraId="5B7A4B56">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爬行类动物常出没于生境较好的树林、灌丛中。同时，它们基本都属于个体较小的种类。因此，在林地施工期间，沟槽开挖等活动对它们将产生轻微的影响，同时由于它们扩散、迁移能力较两栖类要强，因此，它们受到的影响较小。</w:t>
            </w:r>
          </w:p>
          <w:p w14:paraId="4B4615B8">
            <w:pPr>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对哺乳类物种的影响</w:t>
            </w:r>
          </w:p>
          <w:p w14:paraId="73E162D3">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项目沿线哺乳动物相对较少，多为鼠类，鼠类主要分布在沿线的农田生境，鼠类的适应能力较强，陆缆的施工对它们的生存基本不会造成影响。</w:t>
            </w:r>
          </w:p>
          <w:p w14:paraId="2EB32A7F">
            <w:pPr>
              <w:spacing w:line="440" w:lineRule="exact"/>
              <w:ind w:firstLine="482"/>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w:t>
            </w:r>
            <w:r>
              <w:rPr>
                <w:color w:val="000000" w:themeColor="text1"/>
                <w:sz w:val="24"/>
                <w14:textFill>
                  <w14:solidFill>
                    <w14:schemeClr w14:val="tx1"/>
                  </w14:solidFill>
                </w14:textFill>
              </w:rPr>
              <w:t>对鸟类物种的影响</w:t>
            </w:r>
          </w:p>
          <w:p w14:paraId="05714B63">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在施工区域活动的鸟类多以常见鸟类为主，诸如麻雀、喜鹊等。施工过程中，将会在一定程度上破坏他们栖息的生境，影响它们的正常取食活动，但由于鸟类的迁移能力较强，它们在受到干扰后，能迁移到周边相对较好的生境，因此，项目施工对其影响较小。</w:t>
            </w:r>
          </w:p>
          <w:p w14:paraId="164617C8">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（5）对土壤环境的影响分析</w:t>
            </w:r>
          </w:p>
          <w:p w14:paraId="54D5921F">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各种施工活动，如施工带平整、开挖等工程，对实施区域的土壤环境造成局部性破坏和暂时性干扰，不同程度地破坏了区域土壤结构，扰乱地表土壤层，将使受干扰点土壤的有机质和粘粒含量减少，影响土壤结构，降低土壤养份含量，从而影响植物生长。此外，施工中机械碾压、人员践踏、土体翻出堆放地表等，也会造成一定区域内的土壤板结，使土壤生产能力降低。施工回填后剩余的土方造成土壤松散，易引起水土流失，导致土壤中养份的损失，根据类比调查及有关研究资料，这些活动将使该区域的土壤有机质降低30%左右，土壤的质地粗砂成分增加，易导致土壤风蚀沙化，从而影响植物正常生长。因此，建设中要尽量缩小施工范围，减少人为干扰。施工完毕，应及时整理施工现场，平整土地，恢复植被。</w:t>
            </w:r>
          </w:p>
          <w:p w14:paraId="36A15167">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施工过程中，各种机械设备和车辆排放的废气与油污、丢弃的固体废物、施工机具车辆的洗污水和冷却水等，也将对土壤环境产生一定的影响。但这类影响是暂时的，待施工完成后，将在较短时间内消失。</w:t>
            </w:r>
          </w:p>
          <w:p w14:paraId="147BDFA9">
            <w:pPr>
              <w:spacing w:line="440" w:lineRule="exact"/>
              <w:ind w:firstLine="472" w:firstLineChars="200"/>
              <w:rPr>
                <w:color w:val="000000" w:themeColor="text1"/>
                <w:kern w:val="0"/>
                <w:sz w:val="24"/>
                <w14:textFill>
                  <w14:solidFill>
                    <w14:schemeClr w14:val="tx1"/>
                  </w14:solidFill>
                </w14:textFill>
              </w:rPr>
            </w:pPr>
            <w:r>
              <w:rPr>
                <w:color w:val="000000" w:themeColor="text1"/>
                <w:spacing w:val="-2"/>
                <w:sz w:val="24"/>
                <w14:textFill>
                  <w14:solidFill>
                    <w14:schemeClr w14:val="tx1"/>
                  </w14:solidFill>
                </w14:textFill>
              </w:rPr>
              <w:t>项目施工</w:t>
            </w:r>
            <w:r>
              <w:rPr>
                <w:color w:val="000000" w:themeColor="text1"/>
                <w:spacing w:val="-1"/>
                <w:sz w:val="24"/>
                <w14:textFill>
                  <w14:solidFill>
                    <w14:schemeClr w14:val="tx1"/>
                  </w14:solidFill>
                </w14:textFill>
              </w:rPr>
              <w:t>不可避免地对项目区内的植</w:t>
            </w:r>
            <w:r>
              <w:rPr>
                <w:color w:val="000000" w:themeColor="text1"/>
                <w:kern w:val="0"/>
                <w:sz w:val="24"/>
                <w14:textFill>
                  <w14:solidFill>
                    <w14:schemeClr w14:val="tx1"/>
                  </w14:solidFill>
                </w14:textFill>
              </w:rPr>
              <w:t>被及土壤造成一定的影响。</w:t>
            </w:r>
          </w:p>
          <w:p w14:paraId="33052B4A">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①</w:t>
            </w:r>
            <w:r>
              <w:rPr>
                <w:color w:val="000000" w:themeColor="text1"/>
                <w:kern w:val="0"/>
                <w:sz w:val="24"/>
                <w14:textFill>
                  <w14:solidFill>
                    <w14:schemeClr w14:val="tx1"/>
                  </w14:solidFill>
                </w14:textFill>
              </w:rPr>
              <w:t>从施工活动的直接影响来看，这些活动会破坏施工场地附近的原有植被，包括林地、草地等，从而降低植被覆盖度。这种破坏不仅影响了植物的生长环境，还可能导致项目区内植被数量和种类的减少，不利于维持生态系统的平衡性。</w:t>
            </w:r>
          </w:p>
          <w:p w14:paraId="6E67C659">
            <w:pPr>
              <w:spacing w:line="440" w:lineRule="exact"/>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②</w:t>
            </w:r>
            <w:r>
              <w:rPr>
                <w:color w:val="000000" w:themeColor="text1"/>
                <w:kern w:val="0"/>
                <w:sz w:val="24"/>
                <w14:textFill>
                  <w14:solidFill>
                    <w14:schemeClr w14:val="tx1"/>
                  </w14:solidFill>
                </w14:textFill>
              </w:rPr>
              <w:t>施工活动还会间接影响植被覆盖度。例如，施工场地清理会扰动地表，可能导致水土流失，从而影响植被的生长。此外，施工机械噪声和施工废气的排放也可能对施工区周边环境质量造成负面影响，进一步影响植被的健康和生长。</w:t>
            </w:r>
          </w:p>
          <w:p w14:paraId="15600A4C">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本工程施工过程中扰动面积较</w:t>
            </w:r>
            <w:r>
              <w:rPr>
                <w:rFonts w:hint="eastAsia"/>
                <w:color w:val="000000" w:themeColor="text1"/>
                <w:kern w:val="0"/>
                <w:sz w:val="24"/>
                <w14:textFill>
                  <w14:solidFill>
                    <w14:schemeClr w14:val="tx1"/>
                  </w14:solidFill>
                </w14:textFill>
              </w:rPr>
              <w:t>大</w:t>
            </w:r>
            <w:r>
              <w:rPr>
                <w:color w:val="000000" w:themeColor="text1"/>
                <w:kern w:val="0"/>
                <w:sz w:val="24"/>
                <w14:textFill>
                  <w14:solidFill>
                    <w14:schemeClr w14:val="tx1"/>
                  </w14:solidFill>
                </w14:textFill>
              </w:rPr>
              <w:t>，施工结束对临时占地面积进行恢复，对植被覆盖度影响较</w:t>
            </w:r>
            <w:r>
              <w:rPr>
                <w:rFonts w:hint="eastAsia"/>
                <w:color w:val="000000" w:themeColor="text1"/>
                <w:kern w:val="0"/>
                <w:sz w:val="24"/>
                <w14:textFill>
                  <w14:solidFill>
                    <w14:schemeClr w14:val="tx1"/>
                  </w14:solidFill>
                </w14:textFill>
              </w:rPr>
              <w:t>大</w:t>
            </w:r>
            <w:r>
              <w:rPr>
                <w:color w:val="000000" w:themeColor="text1"/>
                <w:kern w:val="0"/>
                <w:sz w:val="24"/>
                <w14:textFill>
                  <w14:solidFill>
                    <w14:schemeClr w14:val="tx1"/>
                  </w14:solidFill>
                </w14:textFill>
              </w:rPr>
              <w:t>，会使评价区植被覆盖度发生较大变化。</w:t>
            </w:r>
          </w:p>
          <w:p w14:paraId="4A18BF68">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（6）对生态保护红线的影响分析</w:t>
            </w:r>
          </w:p>
          <w:p w14:paraId="3AF8CB7B">
            <w:pPr>
              <w:spacing w:line="440" w:lineRule="exact"/>
              <w:ind w:firstLine="472" w:firstLineChars="200"/>
              <w:rPr>
                <w:color w:val="000000" w:themeColor="text1"/>
                <w:spacing w:val="-2"/>
                <w:sz w:val="24"/>
                <w14:textFill>
                  <w14:solidFill>
                    <w14:schemeClr w14:val="tx1"/>
                  </w14:solidFill>
                </w14:textFill>
              </w:rPr>
            </w:pPr>
            <w:r>
              <w:rPr>
                <w:color w:val="000000" w:themeColor="text1"/>
                <w:spacing w:val="-2"/>
                <w:sz w:val="24"/>
                <w14:textFill>
                  <w14:solidFill>
                    <w14:schemeClr w14:val="tx1"/>
                  </w14:solidFill>
                </w14:textFill>
              </w:rPr>
              <w:t>工程的建设对生态保护红线的影响主要表现在施工期，项目采用架空方式穿越生态红线区，无永久占地，施工范围较小，对生态保护红线影响较小。</w:t>
            </w:r>
          </w:p>
          <w:p w14:paraId="0B7080D1">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综上，本项目完成后能产生较好的环境效益、经济效益和社会效益，对电力发展和环境保护具有积极意义。</w:t>
            </w:r>
          </w:p>
          <w:p w14:paraId="75A1AF65">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因此，项目不会对区域生态环境产生明显影响。</w:t>
            </w:r>
          </w:p>
          <w:p w14:paraId="0E0CD79A">
            <w:pPr>
              <w:adjustRightInd w:val="0"/>
              <w:snapToGrid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7</w:t>
            </w:r>
            <w:r>
              <w:rPr>
                <w:b/>
                <w:bCs/>
                <w:color w:val="000000" w:themeColor="text1"/>
                <w:sz w:val="24"/>
                <w14:textFill>
                  <w14:solidFill>
                    <w14:schemeClr w14:val="tx1"/>
                  </w14:solidFill>
                </w14:textFill>
              </w:rPr>
              <w:t>、环境风险分析</w:t>
            </w:r>
          </w:p>
          <w:p w14:paraId="02B96C18">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（1）风险识别与调查</w:t>
            </w:r>
          </w:p>
          <w:p w14:paraId="72CD1AB1">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根据导则规定，风险识别包括物质危险性识别、生产系统危险性识别、危险物质向环境转移的途径识别等。</w:t>
            </w:r>
          </w:p>
          <w:p w14:paraId="56E33754">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项目主要环境风险为主变压器发生事故时，变压器和其它电气设备会立即排出其外壳的冷却油。防渗事故油池收集变压器事故漏油，收集的事故漏油为油水混合物属于危险废物，最终送至资质单位进行处置。</w:t>
            </w:r>
          </w:p>
          <w:p w14:paraId="1DE5F351">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变压器油是石油的一种分馏产物，从天然石油中经过蒸馏、精炼而获得的一种矿物油，是石油中的润滑油馏份经酸碱精制处理得到纯净稳定、粘度小、绝缘性好、冷却性好的液体天然碳氢化合物的混合物。它的主要成分是烷烃，环烷族饱和烃，芳香族不饱和烃等化合物，俗称方棚油。</w:t>
            </w:r>
          </w:p>
          <w:p w14:paraId="4C03355D">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涉及的环境风险物质为主变压器及箱式变压器中变压器油，环境风险主要为运行期环境风险，主要包括：火灾风险、升压站事故漏油等。</w:t>
            </w:r>
          </w:p>
          <w:p w14:paraId="28F8585D">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①火灾风险</w:t>
            </w:r>
          </w:p>
          <w:p w14:paraId="0D588F81">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光伏场区各种电气设备在外部火源移近、过负荷、短路、过电压、绝缘层严重过热、老化、损坏等情况下，均可能引发电气火灾，进而污染周边环境</w:t>
            </w:r>
          </w:p>
          <w:p w14:paraId="27ED5DA7">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②升压站事故漏油</w:t>
            </w:r>
          </w:p>
          <w:p w14:paraId="51F2984D">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升压站发生故障时，可能造成变压器油泄漏，污染地下水和土壤。</w:t>
            </w:r>
          </w:p>
          <w:p w14:paraId="5DC0D2B9">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③箱式变压器事故漏油</w:t>
            </w:r>
          </w:p>
          <w:p w14:paraId="2889915C">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箱式变压器发生故障时，可能造成变压器油泄漏，污染地下水和土壤。</w:t>
            </w:r>
          </w:p>
          <w:p w14:paraId="2151FF2C">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（2）环境风险分析</w:t>
            </w:r>
          </w:p>
          <w:p w14:paraId="1F780894">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①大气环境</w:t>
            </w:r>
          </w:p>
          <w:p w14:paraId="56BBB072">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变压器油、废变压器油发生火灾时，未完全燃烧的危险物质在高温下会迅速挥发释放至大气环境，燃烧过程中产生的伴生/次生污染物也会释放至大气环境，在短时间内对周围大气环境造成不利影响。</w:t>
            </w:r>
          </w:p>
          <w:p w14:paraId="67553FF2">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②地表水</w:t>
            </w:r>
          </w:p>
          <w:p w14:paraId="41297793">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变压器油、废变压器油泄漏，有毒有害物质进入水体，对地表水环境造成不利影响。</w:t>
            </w:r>
          </w:p>
          <w:p w14:paraId="0F5DC713">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③地下水</w:t>
            </w:r>
          </w:p>
          <w:p w14:paraId="75CEFBFD">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事故油池防渗层破裂，变压器油、废变压器油泄漏，有毒有害物质通过包气带进入地下水，对地下水环境造成不利影响。</w:t>
            </w:r>
          </w:p>
          <w:p w14:paraId="5D6605F8">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④土壤</w:t>
            </w:r>
          </w:p>
          <w:p w14:paraId="6787117C">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事故油池防渗层破裂，变压器油、废变压器油泄漏，有毒有害物质进入土壤，对土壤环境造成不利影响。</w:t>
            </w:r>
          </w:p>
          <w:p w14:paraId="3C895BCB">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⑤生态环境</w:t>
            </w:r>
          </w:p>
          <w:p w14:paraId="05E24D12">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变压器油、废变压器油发生火灾，如火灾蔓延到周边，对周边植被和生态系统造成破坏；上述物质泄漏，有毒有害物质进入土壤及水体，对植物生长造成不利影响。</w:t>
            </w:r>
          </w:p>
          <w:p w14:paraId="638B7E68">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（3）风险防范措施</w:t>
            </w:r>
          </w:p>
          <w:p w14:paraId="01FCEDA4">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本项目可能产生的环境风险是变压器发生事故时的漏油。事故漏油发生的概率很小，是小概率事件。针对本项目有可能发生的漏油风险，提出如下措施：</w:t>
            </w:r>
          </w:p>
          <w:p w14:paraId="4FE6ECCB">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①建设完善的漏油监测系统，建立事故防范和处理应对制度，建设容纳变压器事故最大泄漏变压器油的设施设备，确保废变压器油不外排，主变压器收集的废变压器油暂存于事故油池中，箱式变压器产生的废变压器油暂存于事故油池中，委托有资质单位处理处置；</w:t>
            </w:r>
          </w:p>
          <w:p w14:paraId="28874F43">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②定期或不定期对主变进行检查，及时发现及时采取措施；</w:t>
            </w:r>
          </w:p>
          <w:p w14:paraId="429BE3C5">
            <w:pPr>
              <w:adjustRightInd w:val="0"/>
              <w:snapToGrid w:val="0"/>
              <w:spacing w:line="44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③在日常营运过程中应加强宣传和对员工的风险防范意识，以使其能够在日常工作中做到安全操作、规范操作；</w:t>
            </w:r>
          </w:p>
          <w:p w14:paraId="76AD2652">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④</w:t>
            </w:r>
            <w:r>
              <w:rPr>
                <w:rFonts w:ascii="宋体" w:hAnsi="宋体"/>
                <w:color w:val="000000" w:themeColor="text1"/>
                <w:sz w:val="24"/>
                <w14:textFill>
                  <w14:solidFill>
                    <w14:schemeClr w14:val="tx1"/>
                  </w14:solidFill>
                </w14:textFill>
              </w:rPr>
              <w:t>根据《输变电建设项目环境保护技术要求》</w:t>
            </w:r>
            <w:r>
              <w:rPr>
                <w:color w:val="000000" w:themeColor="text1"/>
                <w:sz w:val="24"/>
                <w14:textFill>
                  <w14:solidFill>
                    <w14:schemeClr w14:val="tx1"/>
                  </w14:solidFill>
                </w14:textFill>
              </w:rPr>
              <w:t>（HJ1113-2020）第6.1.4 条</w:t>
            </w:r>
            <w:r>
              <w:rPr>
                <w:rFonts w:ascii="宋体" w:hAnsi="宋体"/>
                <w:color w:val="000000" w:themeColor="text1"/>
                <w:sz w:val="24"/>
                <w14:textFill>
                  <w14:solidFill>
                    <w14:schemeClr w14:val="tx1"/>
                  </w14:solidFill>
                </w14:textFill>
              </w:rPr>
              <w:t>要求，“变电工程设置足够容量的事故油池及其配套的拦截、防雨、防渗等措施和设施。一旦发生泄漏，能及时进行拦截和处理，确保油及油水混合物全部收集、不外排。</w:t>
            </w:r>
            <w:r>
              <w:rPr>
                <w:color w:val="000000" w:themeColor="text1"/>
                <w:sz w:val="24"/>
                <w14:textFill>
                  <w14:solidFill>
                    <w14:schemeClr w14:val="tx1"/>
                  </w14:solidFill>
                </w14:textFill>
              </w:rPr>
              <w:t>项目设置1座</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事故油池，升压站出现事故时，变压器和其它电气设备会立即排出其外壳的冷却油依据《火力发电厂与变电站设计防火标准》（GB50229-2019）中第6.7.8条规定</w:t>
            </w:r>
            <w:r>
              <w:rPr>
                <w:rFonts w:ascii="宋体" w:hAnsi="宋体"/>
                <w:color w:val="000000" w:themeColor="text1"/>
                <w:sz w:val="24"/>
                <w14:textFill>
                  <w14:solidFill>
                    <w14:schemeClr w14:val="tx1"/>
                  </w14:solidFill>
                </w14:textFill>
              </w:rPr>
              <w:t>“总事故贮</w:t>
            </w:r>
            <w:r>
              <w:rPr>
                <w:color w:val="000000" w:themeColor="text1"/>
                <w:sz w:val="24"/>
                <w14:textFill>
                  <w14:solidFill>
                    <w14:schemeClr w14:val="tx1"/>
                  </w14:solidFill>
                </w14:textFill>
              </w:rPr>
              <w:t>油池的容量应按其接入的油量最大的单台设备确定，并设置油水分离装置”，根据设计单位提供资料，项目建设完成后，变压器油最大量为16.3t，相对密度为0.895t/m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 xml:space="preserve"> ，经计算，可知20m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即</w:t>
            </w:r>
            <w:r>
              <w:rPr>
                <w:rFonts w:hint="eastAsia"/>
                <w:color w:val="000000" w:themeColor="text1"/>
                <w:sz w:val="24"/>
                <w14:textFill>
                  <w14:solidFill>
                    <w14:schemeClr w14:val="tx1"/>
                  </w14:solidFill>
                </w14:textFill>
              </w:rPr>
              <w:t>可满足</w:t>
            </w:r>
            <w:r>
              <w:rPr>
                <w:color w:val="000000" w:themeColor="text1"/>
                <w:sz w:val="24"/>
                <w14:textFill>
                  <w14:solidFill>
                    <w14:schemeClr w14:val="tx1"/>
                  </w14:solidFill>
                </w14:textFill>
              </w:rPr>
              <w:t>要求。项目事故油池容积约为30m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，因此本项目事故油池设计合理，满足《输变电建设项目环境保护技术要求》（HJ1113-2020）第6.1.4条要求。事故油池池底及四周进行防渗，渗透系数≤10</w:t>
            </w:r>
            <w:r>
              <w:rPr>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cm/s。突发事故时废油收集清理，最终由有资质单位处理，对周围环境基本无影响。</w:t>
            </w:r>
          </w:p>
          <w:p w14:paraId="5C812930">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⑤采用电子地磅、电子标签、电子管理台账等技术手段对危险废物贮存过程进行信息化管理，确保数据完整、真实、准确；采用视频监控的应确保监控画面清晰，视频记录保存时间至少为3个月。</w:t>
            </w:r>
          </w:p>
          <w:p w14:paraId="27162D36">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⑥</w:t>
            </w:r>
            <w:r>
              <w:rPr>
                <w:color w:val="000000" w:themeColor="text1"/>
                <w:sz w:val="24"/>
                <w14:textFill>
                  <w14:solidFill>
                    <w14:schemeClr w14:val="tx1"/>
                  </w14:solidFill>
                </w14:textFill>
              </w:rPr>
              <w:t>建设单位应制定突发环境事件应急预案，制定环境监测、固体废物处置等制度，加强对事故油池的完好情况的检查，确保无渗漏、无溢流，按照相关要求对固体废物进行处置，降低对周围环境的风险影响。</w:t>
            </w:r>
          </w:p>
          <w:p w14:paraId="185A7A7C">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综上所述，由于本项目事故风险因素小，危险程度低，只要加强管理，建立健全相应的防范应急措施，项目的环境风险水平可以接受。</w:t>
            </w:r>
          </w:p>
          <w:p w14:paraId="4F7117B8">
            <w:pPr>
              <w:adjustRightInd w:val="0"/>
              <w:snapToGrid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光污染影响</w:t>
            </w:r>
            <w:r>
              <w:rPr>
                <w:b/>
                <w:bCs/>
                <w:color w:val="000000" w:themeColor="text1"/>
                <w:sz w:val="24"/>
                <w14:textFill>
                  <w14:solidFill>
                    <w14:schemeClr w14:val="tx1"/>
                  </w14:solidFill>
                </w14:textFill>
              </w:rPr>
              <w:t>分析</w:t>
            </w:r>
          </w:p>
          <w:p w14:paraId="3A3D362C">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光伏玻璃只有在跟太阳几乎呈平行关系时才呈现高反射率，而这种情况下，观察者为正对阳光的，即逆光观察。逆光时玻璃的存在，无论反光与否，对于观察者来说，本身就可以忽略。与普通平板玻璃相比，太阳能超白玻璃要求铁含量低，一般在120ppm以下，太阳能玻璃生产中要严格控制玻璃成分中着色氧化物的含量，使玻璃中Fe</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控制在0.015%以下，在300～2500μm光谱范围内，折合3mm标准厚度的太阳光直接透射比达到91%以上，以提高玻璃的透光率。</w:t>
            </w:r>
          </w:p>
          <w:p w14:paraId="0FE8F403">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以上论述可知，太阳能电池板表面超白玻璃的透射比远大于反射比，而且反射的光线主要以漫反射形式存在，造成的平行光反射导致的刺眼现象完全不存在。对于高空的观察者，无论阳光强度如何，从何角度观察，地面上的光伏方阵都呈暗淡的深色，与普通深色建筑瓦片效果相当。本项目光伏电池组件内晶硅片表面涂覆有防反射涂层，封装玻璃表面也经过特殊处理，太阳能电池组件对阳光的反射以散射为主，其总反射率低于玻璃幕墙，无眩光。</w:t>
            </w:r>
          </w:p>
          <w:p w14:paraId="0CF5C67F">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（1）对公路上行驶车辆的影响</w:t>
            </w:r>
          </w:p>
          <w:p w14:paraId="5FD3ECD7">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光伏阵列的反射光极少。附近有县乡级道路，但是本项目光伏组件倾角向上且光伏板朝向不会正对道路，因此不会使县乡级道路上正在行驶的车辆的驾驶员产生眩晕感，不会影响交通安全。</w:t>
            </w:r>
          </w:p>
          <w:p w14:paraId="4CD6E7B2">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（2）对村庄村民的影响</w:t>
            </w:r>
          </w:p>
          <w:p w14:paraId="64A9B3C7">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光伏组件布置在荒山荒坡，不会正对着村庄，因此，本项目产生的光污染对周边居民基本无影响。</w:t>
            </w:r>
          </w:p>
          <w:p w14:paraId="6EC6FC05">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（3）对附近动物的影响</w:t>
            </w:r>
          </w:p>
          <w:p w14:paraId="59BA336C">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光伏阵列采用低度倾角，放射角度指向天空，主要反射面朝天，不会吸引地面上的小动物。此外，光伏电池组件内的晶硅板片表面涂覆有一层防反射涂层，同时封装玻璃表面也经过特殊处理，因此太阳能电池组件对阳光的反射以散射为主，不会反射出光芒吸引鸟类，因此不会对当地动物产生影响。</w:t>
            </w:r>
          </w:p>
          <w:p w14:paraId="5AB8364E">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综上，本项目产生的光污染对周边居民、道路系统及周边动物不会造成不利影响。</w:t>
            </w:r>
          </w:p>
          <w:p w14:paraId="48E1AB98">
            <w:pPr>
              <w:adjustRightInd w:val="0"/>
              <w:snapToGrid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9</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景观影响</w:t>
            </w:r>
            <w:r>
              <w:rPr>
                <w:b/>
                <w:bCs/>
                <w:color w:val="000000" w:themeColor="text1"/>
                <w:sz w:val="24"/>
                <w14:textFill>
                  <w14:solidFill>
                    <w14:schemeClr w14:val="tx1"/>
                  </w14:solidFill>
                </w14:textFill>
              </w:rPr>
              <w:t>分析</w:t>
            </w:r>
          </w:p>
          <w:p w14:paraId="7B969DB7">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实施后，将安装大量的太阳能电池组件，占地面积较大，且颜色、样式单一，改变了原有的生态景观，将造成区域视觉景观单一化。本电站在设计光伏组件的布局时，在满足设计要求的同时，将尽量依山势布置，加上太阳能光伏板朝向天空，安装倾角不会面向地面，在视觉上不面向人眼，光伏板不会反光，以减少对景观在形态上的影响。</w:t>
            </w:r>
          </w:p>
          <w:p w14:paraId="0B456AEA">
            <w:pPr>
              <w:spacing w:line="440" w:lineRule="exact"/>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由于本项目位于山区，处于山顶，低海拔处有较多林地和山体遮挡，本项目光伏阵列区不在高速公路、国道、省道等最重要交通干线直视范围，公路上行驶的司乘人员看不见光伏板，且项目区域无特殊景点，故光伏建设对区域景观影响较小。</w:t>
            </w:r>
          </w:p>
        </w:tc>
      </w:tr>
      <w:tr w14:paraId="4AB3A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02" w:type="pct"/>
            <w:vAlign w:val="center"/>
          </w:tcPr>
          <w:p w14:paraId="55AEE12E">
            <w:pPr>
              <w:pStyle w:val="61"/>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bCs/>
                <w:color w:val="000000" w:themeColor="text1"/>
                <w:kern w:val="2"/>
                <w14:textFill>
                  <w14:solidFill>
                    <w14:schemeClr w14:val="tx1"/>
                  </w14:solidFill>
                </w14:textFill>
              </w:rPr>
              <w:t>选址选线环境合理性分析</w:t>
            </w:r>
          </w:p>
        </w:tc>
        <w:tc>
          <w:tcPr>
            <w:tcW w:w="4597" w:type="pct"/>
          </w:tcPr>
          <w:p w14:paraId="168B693B">
            <w:pPr>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1、工程选址合理性分析</w:t>
            </w:r>
          </w:p>
          <w:p w14:paraId="0B67BFF7">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遵化市属温带半湿润季风气候。全年日照2608.2小时，根据统计资料显示，当地的年水平面总辐照量为 1418.9kWh/m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左右，是唐山市光照时间很丰富的地区之一，为全国B类地区。属于太阳能资源很丰富地区，适合建设太阳能光伏发电项目。项目区地质稳定，无活动性断裂通过，地基承载力满足设计要求，适合于本项目光伏组件的布设。</w:t>
            </w:r>
          </w:p>
          <w:p w14:paraId="42287244">
            <w:pPr>
              <w:spacing w:line="440" w:lineRule="exact"/>
              <w:ind w:left="420" w:left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2环境合理性分析</w:t>
            </w:r>
          </w:p>
          <w:p w14:paraId="2905E7A3">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（1）政府部门相关意见</w:t>
            </w:r>
          </w:p>
          <w:p w14:paraId="0525E7C1">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选址已取得遵化市自然资源和规划局选址意见（选址意见编号：1302812023XS0004S01号），同意项目选线方案。项目线路路径避开了城镇发展区域，不影响当地土地利用规划和城镇发展规划。同时输电线路不涉及居民集中区、文教区、自然保护区、风景名胜区、世界文化和自然遗产地、饮用水水源保护区环境敏感区，减少了项目的环境影响。线路评价范围内不存在自然保护区、饮用水水源保护区等环境敏感区，符合输变电建设项目选址选线应符合生态保护红线管控要求，避让自然保护区、饮用水水源保护区等环境敏感区。</w:t>
            </w:r>
          </w:p>
          <w:p w14:paraId="20D2D139">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（2）项目选址环境敏感性分析</w:t>
            </w:r>
          </w:p>
          <w:p w14:paraId="394FC059">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充分考虑了国家相关用地政策、光伏规划、环保要求，不占用生态保护红线、永久基本农田、自然保护区、风景名胜区，也不涉及国家公园、森林公园、重要湿地、世界文化遗产地、种质资源保护区、饮用水水源保护区等环境敏感区。工程主要选取园地、少量草地及其他土地进行建设，为光伏项目允许用地，不涉及生态保护红线、耕地（含永久基本农田）、城镇开发边界、天然林、采矿权、耕地林地后备资源等区域；用地区域现状无珍稀濒危保护植物、狭域特有物种、名木古树等分布，现有植被类型较为单一、生物多样性一般，现有分布的野生动物种类及种群数量均较为贫乏。项目建设产生的污染物很少，均得到有效管控，对周围环境影响小。项目建设符合国家能源产业发展战略，符合我省新能源发展政策，能促进当地经济发展，有利于节能减排，是落实国家实施碳达峰、碳中和目标的具体工程，因此项目建设选址合理。</w:t>
            </w:r>
          </w:p>
          <w:p w14:paraId="317879F2">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（3）升压站选址合理性分析</w:t>
            </w:r>
          </w:p>
          <w:p w14:paraId="22E8706D">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站址处地质条件相对较好，不存在山洪泥石流危害，地形相对较平缓，该站址选址无比选方案，不存在用地制约。</w:t>
            </w:r>
          </w:p>
          <w:p w14:paraId="2DEC1700">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升压站不涉及自然保护区、风景名胜区、森林公园、饮用水水源保护区及生态保护红线等环境敏感区。项目设计过程中已落实工程区周边国家和省级公益林、永久基本农田、生态保护红线、有林地、未成林造林地、稳定耕地等限制开发区域，本次选址场址范围已避开上述区域，工程选址与当地的土地利用规划不冲突。</w:t>
            </w:r>
          </w:p>
          <w:p w14:paraId="288017BE">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升压站占地植被类型为果园园地及其他草地，无国家和地方重点保护野生植物分布，项目建设对当地植物资源的数量及利用方式产生影响小。经调查，距升压站直线距离最近敏感目标的为升压站南面255m的佟庄村，工程建设对其环境空气和声环境影响较小，不会造成噪声、扬尘等影响。升压站区施工期生产生活废污水量较小，经处理后全部回用不外排，运行期生活污水经处理后全部回用不外排，对地表水环境影响小。</w:t>
            </w:r>
          </w:p>
          <w:p w14:paraId="45EB04BB">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该站址从环境影响角度分析具有下列特点：</w:t>
            </w:r>
          </w:p>
          <w:p w14:paraId="2FDBD583">
            <w:pPr>
              <w:numPr>
                <w:ilvl w:val="0"/>
                <w:numId w:val="12"/>
              </w:num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升压站声环境评价范围内无环境敏感目标分布，周围居民距站址较远，升压站对周围居民影响较小；</w:t>
            </w:r>
          </w:p>
          <w:p w14:paraId="6BD14210">
            <w:pPr>
              <w:numPr>
                <w:ilvl w:val="0"/>
                <w:numId w:val="12"/>
              </w:num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站址不涉及声环境0类功能区；</w:t>
            </w:r>
          </w:p>
          <w:p w14:paraId="72056F5E">
            <w:pPr>
              <w:numPr>
                <w:ilvl w:val="0"/>
                <w:numId w:val="12"/>
              </w:num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通过预测分析，升压站投运后产生的声环境影响均满足相应评价标准要求；</w:t>
            </w:r>
          </w:p>
          <w:p w14:paraId="6C432739">
            <w:pPr>
              <w:numPr>
                <w:ilvl w:val="0"/>
                <w:numId w:val="12"/>
              </w:num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从环境制约因素和环境影响程度分析，该升压站站址选址合理。</w:t>
            </w:r>
          </w:p>
          <w:p w14:paraId="4AE3A1EF">
            <w:pPr>
              <w:spacing w:line="440" w:lineRule="exact"/>
              <w:ind w:firstLine="240" w:firstLineChars="1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（4）方阵区道路选址选线合理性分析</w:t>
            </w:r>
          </w:p>
          <w:p w14:paraId="5437EF49">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方阵区道路设置是基于区域现有土路布设，充分依托利用现有路径，减少新的开挖破坏；场内引接新建时，路径主要选择于地形较缓处沿等高线布设，并尽量以较短的路径兼顾各方阵，减小道路工程量及由此带来的植被破坏和水土流失等。根据主体工程设计资料，场内道路无比选方案。经现场调查和向当地主管部门核实，场内道路占地范围内不涉及国家公园、自然保护区、风景名胜区、世界文化和自然遗产地等环境敏感区，也不涉及生态红线和省级公益林。</w:t>
            </w:r>
          </w:p>
          <w:p w14:paraId="4D754CD7">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（5）集电线路选址选线合理性分析</w:t>
            </w:r>
          </w:p>
          <w:p w14:paraId="2B58F45E">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通过7回35kV电缆埋地敷设及架空线的方式输送至220kV升压站，集电线路工程线路走向布置已收集项目区周边用地规划、生态红线保护区、省级公益林、基本农田等相关资料，对各保护区、敏感区域进行有效避让后进行工程布置，工程选线无比选方案。根据现场调查及叠图分析，集电线路各塔基占地不涉及国家公园、自然保护区等环境敏感区，未占用景东生态保护红线、未占用省级公益林，不会对生态保护红线产生影响。集电线路走向均布置在现有道路沿线两侧不远处，避免额外的施工便道修建，施工过程中严格控制施工作业带，施工临建设施远离生态红线和省级公益林布设，施工过程中塔基采用现浇结构施工，尽量少采用支架、移动模架等，运行期对生境的非实质性切割，可最大程度减缓施工和运行期对省级公益林的不良环境影响。</w:t>
            </w:r>
          </w:p>
          <w:p w14:paraId="1B34FDE1">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（6）施工“三场”布局及选址的环境合理性分析</w:t>
            </w:r>
          </w:p>
          <w:p w14:paraId="323586D0">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本项目不单独设置石料场及砂场；不设置专门取土场；施工期挖填平衡，不产生弃渣，不设置弃渣场。</w:t>
            </w:r>
          </w:p>
          <w:p w14:paraId="28F34EE5">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拟在升压站西侧设置1个施工生产生活区，场地内设置有1个施工生活区、1个综合加工厂、1个综合仓库，施工生产生活区位于征地范围内，占地类型为其他草地，下游无饮用水源保护区等环境敏感区，区域地质环境稳定。因此，从环境保护角度分析施工生产生活区的选址是合理的。</w:t>
            </w:r>
          </w:p>
          <w:p w14:paraId="07118563">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项目场外道路依托现有乡村道路。场内道路建设选择于植被和地形较缓处施工，大部分利用现有的农耕道路，场内道路全部在征地范围内，不存在重大环境制约因素。</w:t>
            </w:r>
          </w:p>
          <w:p w14:paraId="06480E60">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综上，在工程选址、选线时，充分体现了以人为本、保护环境的意识，在经济合理的情况下，尽量减轻本工程对自然和社会环境的不利影响。因此，本工程站址及路径可行。</w:t>
            </w:r>
          </w:p>
          <w:p w14:paraId="52E7F6AB">
            <w:pPr>
              <w:pStyle w:val="2"/>
              <w:spacing w:line="440" w:lineRule="exact"/>
              <w:ind w:firstLine="0" w:firstLineChars="0"/>
              <w:rPr>
                <w:rFonts w:cs="Times New Roman"/>
                <w:color w:val="000000" w:themeColor="text1"/>
                <w:sz w:val="24"/>
                <w:szCs w:val="24"/>
                <w14:textFill>
                  <w14:solidFill>
                    <w14:schemeClr w14:val="tx1"/>
                  </w14:solidFill>
                </w14:textFill>
              </w:rPr>
            </w:pPr>
          </w:p>
        </w:tc>
      </w:tr>
    </w:tbl>
    <w:p w14:paraId="22D0089C">
      <w:pPr>
        <w:pStyle w:val="61"/>
        <w:ind w:firstLine="720"/>
        <w:jc w:val="center"/>
        <w:rPr>
          <w:rFonts w:ascii="Times New Roman" w:hAnsi="Times New Roman"/>
          <w:snapToGrid w:val="0"/>
          <w:color w:val="000000" w:themeColor="text1"/>
          <w:sz w:val="36"/>
          <w:szCs w:val="36"/>
          <w14:textFill>
            <w14:solidFill>
              <w14:schemeClr w14:val="tx1"/>
            </w14:solidFill>
          </w14:textFill>
        </w:rPr>
        <w:sectPr>
          <w:pgSz w:w="11906" w:h="16838"/>
          <w:pgMar w:top="1701" w:right="1531" w:bottom="1701" w:left="1531" w:header="851" w:footer="1077" w:gutter="0"/>
          <w:cols w:space="720" w:num="1"/>
          <w:docGrid w:linePitch="312" w:charSpace="0"/>
        </w:sectPr>
      </w:pPr>
    </w:p>
    <w:p w14:paraId="724C3AE1">
      <w:pPr>
        <w:pStyle w:val="61"/>
        <w:adjustRightInd w:val="0"/>
        <w:snapToGrid w:val="0"/>
        <w:spacing w:before="0" w:beforeAutospacing="0" w:after="0" w:afterAutospacing="0" w:line="15" w:lineRule="auto"/>
        <w:ind w:firstLine="600"/>
        <w:jc w:val="center"/>
        <w:rPr>
          <w:rFonts w:ascii="Times New Roman" w:hAnsi="Times New Roman"/>
          <w:snapToGrid w:val="0"/>
          <w:color w:val="000000" w:themeColor="text1"/>
          <w:sz w:val="30"/>
          <w:szCs w:val="30"/>
          <w14:textFill>
            <w14:solidFill>
              <w14:schemeClr w14:val="tx1"/>
            </w14:solidFill>
          </w14:textFill>
        </w:rPr>
      </w:pPr>
    </w:p>
    <w:p w14:paraId="367969D8">
      <w:pPr>
        <w:pStyle w:val="61"/>
        <w:ind w:firstLine="600"/>
        <w:jc w:val="center"/>
        <w:outlineLvl w:val="0"/>
        <w:rPr>
          <w:rFonts w:ascii="黑体" w:hAnsi="黑体" w:eastAsia="黑体"/>
          <w:snapToGrid w:val="0"/>
          <w:color w:val="000000" w:themeColor="text1"/>
          <w:sz w:val="30"/>
          <w:szCs w:val="30"/>
          <w14:textFill>
            <w14:solidFill>
              <w14:schemeClr w14:val="tx1"/>
            </w14:solidFill>
          </w14:textFill>
        </w:rPr>
      </w:pPr>
      <w:bookmarkStart w:id="24" w:name="_Toc4856"/>
      <w:bookmarkStart w:id="25" w:name="_Toc15120"/>
      <w:r>
        <w:rPr>
          <w:rFonts w:ascii="黑体" w:hAnsi="黑体" w:eastAsia="黑体"/>
          <w:snapToGrid w:val="0"/>
          <w:color w:val="000000" w:themeColor="text1"/>
          <w:sz w:val="30"/>
          <w:szCs w:val="30"/>
          <w14:textFill>
            <w14:solidFill>
              <w14:schemeClr w14:val="tx1"/>
            </w14:solidFill>
          </w14:textFill>
        </w:rPr>
        <w:t>五、主要生态环境保护措施</w:t>
      </w:r>
      <w:bookmarkEnd w:id="24"/>
      <w:bookmarkEnd w:id="25"/>
    </w:p>
    <w:tbl>
      <w:tblPr>
        <w:tblStyle w:val="66"/>
        <w:tblW w:w="513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8466"/>
      </w:tblGrid>
      <w:tr w14:paraId="5F823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0" w:type="pct"/>
            <w:tcMar>
              <w:left w:w="28" w:type="dxa"/>
              <w:right w:w="28" w:type="dxa"/>
            </w:tcMar>
            <w:vAlign w:val="center"/>
          </w:tcPr>
          <w:p w14:paraId="15E27646">
            <w:pPr>
              <w:adjustRightInd w:val="0"/>
              <w:snapToGrid w:val="0"/>
              <w:jc w:val="center"/>
              <w:rPr>
                <w:bCs/>
                <w:color w:val="000000" w:themeColor="text1"/>
                <w:szCs w:val="21"/>
                <w14:textFill>
                  <w14:solidFill>
                    <w14:schemeClr w14:val="tx1"/>
                  </w14:solidFill>
                </w14:textFill>
              </w:rPr>
            </w:pPr>
            <w:r>
              <w:rPr>
                <w:bCs/>
                <w:color w:val="000000" w:themeColor="text1"/>
                <w:spacing w:val="10"/>
                <w:sz w:val="24"/>
                <w14:textFill>
                  <w14:solidFill>
                    <w14:schemeClr w14:val="tx1"/>
                  </w14:solidFill>
                </w14:textFill>
              </w:rPr>
              <w:t>施工期生态环境保护措施</w:t>
            </w:r>
          </w:p>
        </w:tc>
        <w:tc>
          <w:tcPr>
            <w:tcW w:w="4589" w:type="pct"/>
          </w:tcPr>
          <w:p w14:paraId="21ECAFC0">
            <w:pPr>
              <w:adjustRightInd w:val="0"/>
              <w:snapToGrid w:val="0"/>
              <w:spacing w:line="44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一、环境保护措施</w:t>
            </w:r>
          </w:p>
          <w:p w14:paraId="4E4C2BDB">
            <w:pPr>
              <w:adjustRightInd w:val="0"/>
              <w:snapToGrid w:val="0"/>
              <w:spacing w:line="44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 生态环境保护措施</w:t>
            </w:r>
          </w:p>
          <w:p w14:paraId="5A8827E9">
            <w:pPr>
              <w:spacing w:line="440" w:lineRule="exact"/>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1.1</w:t>
            </w:r>
            <w:r>
              <w:rPr>
                <w:rFonts w:hint="eastAsia"/>
                <w:b/>
                <w:bCs/>
                <w:color w:val="000000" w:themeColor="text1"/>
                <w:sz w:val="24"/>
                <w14:textFill>
                  <w14:solidFill>
                    <w14:schemeClr w14:val="tx1"/>
                  </w14:solidFill>
                </w14:textFill>
              </w:rPr>
              <w:t xml:space="preserve"> 一般管理措施</w:t>
            </w:r>
          </w:p>
          <w:p w14:paraId="5110F95E">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（1）强化施工阶段的环境管理</w:t>
            </w:r>
          </w:p>
          <w:p w14:paraId="14C7B0C3">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在施工期间，为保证施工质量，除了由质量监理部门派人进行监督，保证环境保护措施得到落实，还应建立环境监督制度，监督指导施工单位落实生态保护的施工措施。</w:t>
            </w:r>
          </w:p>
          <w:p w14:paraId="5B75B04D">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（2）加强施工队伍职工环境保护思想教育，规范施工人员行为</w:t>
            </w:r>
          </w:p>
          <w:p w14:paraId="5D919D4D">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教育职工爱护环境，保护施工场所周围的一草一木，不随意摘花损木，严禁砍伐、破坏施工带以外的作物和树木。不准乱挖，乱采野生植物，不准随便破坏动物巢穴，严禁捕杀野生动物。约束其在非施工期间的活动范围。</w:t>
            </w:r>
          </w:p>
          <w:p w14:paraId="2C1E9AF7">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（3）严格控制施工作业范围</w:t>
            </w:r>
          </w:p>
          <w:p w14:paraId="65C4F105">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过程中应严格划定施工作业范围，并使用显著标志(如彩旗或彩色条带)加以界定，严格限制施工人员及施工机械活动范围。在保证施工顺利进行的前提下，尽量减少占地面积。穿越林地时，尽量缩短施工作业宽度。严禁施工材料乱堆乱放，减少施工占地。严格控制临时占地，不得随意扩大用地范围。</w:t>
            </w:r>
          </w:p>
          <w:p w14:paraId="55F53C46">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（4）做好施工组织安排</w:t>
            </w:r>
          </w:p>
          <w:p w14:paraId="6E8C4E08">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施工中要分段施工，做到随挖、随运、随铺、随压，减少裸地的暴露时间，不留疏松地面。</w:t>
            </w:r>
          </w:p>
          <w:p w14:paraId="0FE3AA0F">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（5）尽量减少夜间作业，避免灯光、噪声对夜间动物活动的惊扰。</w:t>
            </w:r>
          </w:p>
          <w:p w14:paraId="42062621">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（6）妥善处理施工期产生的各类污染物，防止对生态环境造成污染。</w:t>
            </w:r>
          </w:p>
          <w:p w14:paraId="582B2CA0">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7）电缆地埋施工执行分层开挖、分层回填的操作制度。电缆沟挖掘时，表层土(一般30cm)与底层土分开堆放；电缆沟填埋时，底土回填在下，表土回填在上，尽可能保持植物生长原有的生活环境。回填时，还应留足适宜的堆积层，防止因降水、径流造成地表下陷和水土流失。回填后多余的土应平铺在田间或作为田埂，不得随意丢弃。</w:t>
            </w:r>
          </w:p>
          <w:p w14:paraId="38DCE313">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（8）保护好表层土</w:t>
            </w:r>
          </w:p>
          <w:p w14:paraId="0712BE79">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对施工扰动区进行表土剥离，剥离表土可以采用编织袋装填用作挖填边坡坡脚的临时挡墙；在施工便道有来水的一侧或路堑边坡下方道路一侧布设临时排水沟，排水沟末端设置沉沙池；对施工过程中产生的裸露边坡遇到降雨采用防雨布覆盖；施工结束后，对施工便道进行土地整治，原是耕地的则恢复为耕地，其他地类采取植被恢复措施。</w:t>
            </w:r>
          </w:p>
          <w:p w14:paraId="6FBFE793">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（9）做好施工后的恢复工作</w:t>
            </w:r>
          </w:p>
          <w:p w14:paraId="7FA63C03">
            <w:pPr>
              <w:spacing w:line="44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施工结束后，施工单位应负责清理现场。凡受到施工车辆、机械破坏的地方都要及时修整，恢复原貌。</w:t>
            </w:r>
          </w:p>
          <w:p w14:paraId="6735EAFE">
            <w:pPr>
              <w:spacing w:line="440" w:lineRule="exact"/>
              <w:textAlignment w:val="baseline"/>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1.2</w:t>
            </w:r>
            <w:r>
              <w:rPr>
                <w:rFonts w:hint="eastAsia"/>
                <w:b/>
                <w:bCs/>
                <w:color w:val="000000" w:themeColor="text1"/>
                <w:sz w:val="24"/>
                <w14:textFill>
                  <w14:solidFill>
                    <w14:schemeClr w14:val="tx1"/>
                  </w14:solidFill>
                </w14:textFill>
              </w:rPr>
              <w:t xml:space="preserve"> 植物生态保护措施</w:t>
            </w:r>
          </w:p>
          <w:p w14:paraId="7FB2A6A7">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（1）避让措施</w:t>
            </w:r>
          </w:p>
          <w:p w14:paraId="7BE9AF22">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优化工程布置和施工方案，工程选址应尽量避免占用林地或是植被丰富的区域，尽量选择</w:t>
            </w:r>
            <w:r>
              <w:rPr>
                <w:rFonts w:hint="eastAsia"/>
                <w:color w:val="000000" w:themeColor="text1"/>
                <w:sz w:val="24"/>
                <w:lang w:val="en-US" w:eastAsia="zh-CN"/>
                <w14:textFill>
                  <w14:solidFill>
                    <w14:schemeClr w14:val="tx1"/>
                  </w14:solidFill>
                </w14:textFill>
              </w:rPr>
              <w:t>荒山荒坡</w:t>
            </w:r>
            <w:r>
              <w:rPr>
                <w:color w:val="000000" w:themeColor="text1"/>
                <w:sz w:val="24"/>
                <w14:textFill>
                  <w14:solidFill>
                    <w14:schemeClr w14:val="tx1"/>
                  </w14:solidFill>
                </w14:textFill>
              </w:rPr>
              <w:t>，减少对区域自然生态和植被的破坏，保护生物多样性。</w:t>
            </w:r>
          </w:p>
          <w:p w14:paraId="537F3960">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（2）减缓措施</w:t>
            </w:r>
          </w:p>
          <w:p w14:paraId="5DA1049A">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①加强施工过程管理，设置警示标志。施工期间，在主要施工区域和施工作业带沿线多处设置生态保护警示牌，起到时时提醒的作用。</w:t>
            </w:r>
          </w:p>
          <w:p w14:paraId="7B50728E">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②严格控制施工作业范围，严禁施工人员和机械对超出施工区域的植被、植物物种造成破坏。</w:t>
            </w:r>
          </w:p>
          <w:p w14:paraId="02B48C9C">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③加强管理，施工中尽量减少开挖，保持原生态系统的稳定性和完整性。</w:t>
            </w:r>
          </w:p>
          <w:p w14:paraId="3259DA41">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④施工结束后，应尽快进行生态恢复，尽量减少施工对植物和植被类型的破坏。生态恢复时采用当地品种进行恢复，减少外来植物入侵的风险。</w:t>
            </w:r>
          </w:p>
          <w:p w14:paraId="5E0144A7">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（3）生态恢复措施</w:t>
            </w:r>
          </w:p>
          <w:p w14:paraId="3D2189D0">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根据不同恢复区的特点和植被现状，对每个恢复区实行不同的恢复方案；各区域生态恢复措施详见表</w:t>
            </w:r>
            <w:r>
              <w:rPr>
                <w:rFonts w:hint="eastAsia"/>
                <w:color w:val="000000" w:themeColor="text1"/>
                <w:sz w:val="24"/>
                <w14:textFill>
                  <w14:solidFill>
                    <w14:schemeClr w14:val="tx1"/>
                  </w14:solidFill>
                </w14:textFill>
              </w:rPr>
              <w:t>1-1</w:t>
            </w:r>
            <w:r>
              <w:rPr>
                <w:color w:val="000000" w:themeColor="text1"/>
                <w:sz w:val="24"/>
                <w14:textFill>
                  <w14:solidFill>
                    <w14:schemeClr w14:val="tx1"/>
                  </w14:solidFill>
                </w14:textFill>
              </w:rPr>
              <w:t>。</w:t>
            </w:r>
          </w:p>
          <w:p w14:paraId="10BBECDD">
            <w:pPr>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1-1</w:t>
            </w:r>
            <w:r>
              <w:rPr>
                <w:b/>
                <w:bCs/>
                <w:color w:val="000000" w:themeColor="text1"/>
                <w:sz w:val="24"/>
                <w14:textFill>
                  <w14:solidFill>
                    <w14:schemeClr w14:val="tx1"/>
                  </w14:solidFill>
                </w14:textFill>
              </w:rPr>
              <w:t xml:space="preserve">    植被生态恢复措施一览</w:t>
            </w:r>
          </w:p>
          <w:tbl>
            <w:tblPr>
              <w:tblStyle w:val="611"/>
              <w:tblpPr w:leftFromText="180" w:rightFromText="180" w:vertAnchor="text" w:tblpXSpec="center" w:tblpY="1"/>
              <w:tblOverlap w:val="never"/>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77"/>
              <w:gridCol w:w="1898"/>
              <w:gridCol w:w="5881"/>
            </w:tblGrid>
            <w:tr w14:paraId="567B5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1438" w:type="pct"/>
                  <w:gridSpan w:val="2"/>
                  <w:tcBorders>
                    <w:tl2br w:val="nil"/>
                    <w:tr2bl w:val="nil"/>
                  </w:tcBorders>
                  <w:vAlign w:val="center"/>
                </w:tcPr>
                <w:p w14:paraId="0B61F21D">
                  <w:pPr>
                    <w:pStyle w:val="615"/>
                    <w:spacing w:line="36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7"/>
                      <w:sz w:val="21"/>
                      <w:szCs w:val="21"/>
                      <w14:textFill>
                        <w14:solidFill>
                          <w14:schemeClr w14:val="tx1"/>
                        </w14:solidFill>
                      </w14:textFill>
                    </w:rPr>
                    <w:t>施工区域</w:t>
                  </w:r>
                </w:p>
              </w:tc>
              <w:tc>
                <w:tcPr>
                  <w:tcW w:w="3561" w:type="pct"/>
                  <w:tcBorders>
                    <w:tl2br w:val="nil"/>
                    <w:tr2bl w:val="nil"/>
                  </w:tcBorders>
                  <w:vAlign w:val="center"/>
                </w:tcPr>
                <w:p w14:paraId="2DD1CC3C">
                  <w:pPr>
                    <w:pStyle w:val="615"/>
                    <w:spacing w:line="360" w:lineRule="exact"/>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4"/>
                      <w:sz w:val="21"/>
                      <w:szCs w:val="21"/>
                      <w14:textFill>
                        <w14:solidFill>
                          <w14:schemeClr w14:val="tx1"/>
                        </w14:solidFill>
                      </w14:textFill>
                    </w:rPr>
                    <w:t>措施</w:t>
                  </w:r>
                </w:p>
              </w:tc>
            </w:tr>
            <w:tr w14:paraId="6479F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289" w:type="pct"/>
                  <w:tcBorders>
                    <w:tl2br w:val="nil"/>
                    <w:tr2bl w:val="nil"/>
                  </w:tcBorders>
                  <w:vAlign w:val="center"/>
                </w:tcPr>
                <w:p w14:paraId="0E690BA4">
                  <w:pPr>
                    <w:pStyle w:val="615"/>
                    <w:spacing w:line="360" w:lineRule="exact"/>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6"/>
                      <w:sz w:val="21"/>
                      <w:szCs w:val="21"/>
                      <w14:textFill>
                        <w14:solidFill>
                          <w14:schemeClr w14:val="tx1"/>
                        </w14:solidFill>
                      </w14:textFill>
                    </w:rPr>
                    <w:t>永久占地</w:t>
                  </w:r>
                </w:p>
              </w:tc>
              <w:tc>
                <w:tcPr>
                  <w:tcW w:w="1148" w:type="pct"/>
                  <w:tcBorders>
                    <w:tl2br w:val="nil"/>
                    <w:tr2bl w:val="nil"/>
                  </w:tcBorders>
                  <w:vAlign w:val="center"/>
                </w:tcPr>
                <w:p w14:paraId="2F13407B">
                  <w:pPr>
                    <w:pStyle w:val="615"/>
                    <w:spacing w:line="360" w:lineRule="exact"/>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升压站、</w:t>
                  </w:r>
                  <w:r>
                    <w:rPr>
                      <w:rFonts w:ascii="Times New Roman" w:hAnsi="Times New Roman" w:cs="Times New Roman"/>
                      <w:color w:val="000000" w:themeColor="text1"/>
                      <w:spacing w:val="8"/>
                      <w:sz w:val="21"/>
                      <w:szCs w:val="21"/>
                      <w:lang w:eastAsia="zh-CN"/>
                      <w14:textFill>
                        <w14:solidFill>
                          <w14:schemeClr w14:val="tx1"/>
                        </w14:solidFill>
                      </w14:textFill>
                    </w:rPr>
                    <w:t>光伏板</w:t>
                  </w:r>
                  <w:r>
                    <w:rPr>
                      <w:rFonts w:ascii="Times New Roman" w:hAnsi="Times New Roman" w:cs="Times New Roman"/>
                      <w:color w:val="000000" w:themeColor="text1"/>
                      <w:sz w:val="21"/>
                      <w:szCs w:val="21"/>
                      <w:lang w:eastAsia="zh-CN"/>
                      <w14:textFill>
                        <w14:solidFill>
                          <w14:schemeClr w14:val="tx1"/>
                        </w14:solidFill>
                      </w14:textFill>
                    </w:rPr>
                    <w:t>、塔基</w:t>
                  </w:r>
                </w:p>
              </w:tc>
              <w:tc>
                <w:tcPr>
                  <w:tcW w:w="3561" w:type="pct"/>
                  <w:tcBorders>
                    <w:tl2br w:val="nil"/>
                    <w:tr2bl w:val="nil"/>
                  </w:tcBorders>
                  <w:vAlign w:val="center"/>
                </w:tcPr>
                <w:p w14:paraId="50BDC203">
                  <w:pPr>
                    <w:pStyle w:val="615"/>
                    <w:spacing w:line="360" w:lineRule="exact"/>
                    <w:ind w:right="185" w:hanging="17"/>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10"/>
                      <w:sz w:val="21"/>
                      <w:szCs w:val="21"/>
                      <w:lang w:eastAsia="zh-CN"/>
                      <w14:textFill>
                        <w14:solidFill>
                          <w14:schemeClr w14:val="tx1"/>
                        </w14:solidFill>
                      </w14:textFill>
                    </w:rPr>
                    <w:t>施工前进行表土剥离，分层堆放；施工结束</w:t>
                  </w:r>
                  <w:r>
                    <w:rPr>
                      <w:rFonts w:ascii="Times New Roman" w:hAnsi="Times New Roman" w:cs="Times New Roman"/>
                      <w:color w:val="000000" w:themeColor="text1"/>
                      <w:spacing w:val="9"/>
                      <w:sz w:val="21"/>
                      <w:szCs w:val="21"/>
                      <w:lang w:eastAsia="zh-CN"/>
                      <w14:textFill>
                        <w14:solidFill>
                          <w14:schemeClr w14:val="tx1"/>
                        </w14:solidFill>
                      </w14:textFill>
                    </w:rPr>
                    <w:t>后这些表土用于项目绿化</w:t>
                  </w:r>
                  <w:r>
                    <w:rPr>
                      <w:rFonts w:ascii="Times New Roman" w:hAnsi="Times New Roman" w:cs="Times New Roman"/>
                      <w:color w:val="000000" w:themeColor="text1"/>
                      <w:spacing w:val="8"/>
                      <w:sz w:val="21"/>
                      <w:szCs w:val="21"/>
                      <w:lang w:eastAsia="zh-CN"/>
                      <w14:textFill>
                        <w14:solidFill>
                          <w14:schemeClr w14:val="tx1"/>
                        </w14:solidFill>
                      </w14:textFill>
                    </w:rPr>
                    <w:t>或其他需要土壤改良的区域。</w:t>
                  </w:r>
                </w:p>
              </w:tc>
            </w:tr>
            <w:tr w14:paraId="049B7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89" w:type="pct"/>
                  <w:tcBorders>
                    <w:tl2br w:val="nil"/>
                    <w:tr2bl w:val="nil"/>
                  </w:tcBorders>
                  <w:vAlign w:val="center"/>
                </w:tcPr>
                <w:p w14:paraId="46F5E00E">
                  <w:pPr>
                    <w:pStyle w:val="615"/>
                    <w:spacing w:line="360" w:lineRule="exact"/>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pacing w:val="4"/>
                      <w:sz w:val="21"/>
                      <w:szCs w:val="21"/>
                      <w14:textFill>
                        <w14:solidFill>
                          <w14:schemeClr w14:val="tx1"/>
                        </w14:solidFill>
                      </w14:textFill>
                    </w:rPr>
                    <w:t>临时占地</w:t>
                  </w:r>
                </w:p>
              </w:tc>
              <w:tc>
                <w:tcPr>
                  <w:tcW w:w="1148" w:type="pct"/>
                  <w:tcBorders>
                    <w:tl2br w:val="nil"/>
                    <w:tr2bl w:val="nil"/>
                  </w:tcBorders>
                  <w:vAlign w:val="center"/>
                </w:tcPr>
                <w:p w14:paraId="5797E932">
                  <w:pPr>
                    <w:pStyle w:val="615"/>
                    <w:spacing w:line="360" w:lineRule="exact"/>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施工期临时道路和施工厂区占地</w:t>
                  </w:r>
                </w:p>
              </w:tc>
              <w:tc>
                <w:tcPr>
                  <w:tcW w:w="3561" w:type="pct"/>
                  <w:tcBorders>
                    <w:tl2br w:val="nil"/>
                    <w:tr2bl w:val="nil"/>
                  </w:tcBorders>
                  <w:vAlign w:val="center"/>
                </w:tcPr>
                <w:p w14:paraId="5A955CE1">
                  <w:pPr>
                    <w:pStyle w:val="615"/>
                    <w:spacing w:line="360" w:lineRule="exact"/>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7"/>
                      <w:sz w:val="21"/>
                      <w:szCs w:val="21"/>
                      <w:lang w:eastAsia="zh-CN"/>
                      <w14:textFill>
                        <w14:solidFill>
                          <w14:schemeClr w14:val="tx1"/>
                        </w14:solidFill>
                      </w14:textFill>
                    </w:rPr>
                    <w:t>施工结束及时进行植被恢复，采取播撒草籽、灌木等措施</w:t>
                  </w:r>
                  <w:r>
                    <w:rPr>
                      <w:rFonts w:ascii="Times New Roman" w:hAnsi="Times New Roman" w:cs="Times New Roman"/>
                      <w:color w:val="000000" w:themeColor="text1"/>
                      <w:spacing w:val="8"/>
                      <w:sz w:val="21"/>
                      <w:szCs w:val="21"/>
                      <w:lang w:eastAsia="zh-CN"/>
                      <w14:textFill>
                        <w14:solidFill>
                          <w14:schemeClr w14:val="tx1"/>
                        </w14:solidFill>
                      </w14:textFill>
                    </w:rPr>
                    <w:t>。</w:t>
                  </w:r>
                </w:p>
              </w:tc>
            </w:tr>
          </w:tbl>
          <w:p w14:paraId="6D1CC8BB">
            <w:pPr>
              <w:spacing w:line="440" w:lineRule="exact"/>
              <w:textAlignment w:val="baseline"/>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1.3 陆生动物保护措施</w:t>
            </w:r>
          </w:p>
          <w:p w14:paraId="483EABFA">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（1）避让与减缓措施</w:t>
            </w:r>
          </w:p>
          <w:p w14:paraId="041F5CA2">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在施工区域附近设置生态保护警示牌，警示牌上标明工程施工区范围，施工活动不得超越征地范围。禁止越界施工占地或砍伐林木、禁止捕猎野生动物，减少占地造成的植被损失和对野生动物的伤害，以最大限度减缓对野生动物正常栖息的影响。</w:t>
            </w:r>
          </w:p>
          <w:p w14:paraId="54204ED4">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优化施工时段，采用分时、分段施工方式，以减少对野生动物的影响。</w:t>
            </w:r>
          </w:p>
          <w:p w14:paraId="12CEBE4E">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在施工前组织施工人员学习野生动物保护知识，介绍工程区分布的重点保护动物，学习国家相应法律法规，提高保护野生动物的法律意识，严禁施工人员非法猎捕野生动物。在施工中遇到的幼兽、幼鸟及鸟蛋等，应交给林业局的专业人员，不得擅自处理。</w:t>
            </w:r>
          </w:p>
          <w:p w14:paraId="63076777">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（2）修复与补偿措施</w:t>
            </w:r>
          </w:p>
          <w:p w14:paraId="46A8C2E1">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工程施工期结合施工情况，边施工边恢复植被，确保生境连通性的尽快修复，植被恢复过程中优先选用本地土著植物，并减少人为活动的痕迹，从而使该地区的动物尽快恢复到施工前的种群状态</w:t>
            </w:r>
          </w:p>
          <w:p w14:paraId="3A2054DC">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（3）管理措施</w:t>
            </w:r>
          </w:p>
          <w:p w14:paraId="01C406CA">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建立完善的施工制度，有序管理施工活动。制订施工原则，划定施工范围，限定施工时间。施工过程严格按照划定的施工范围进行施工，尽量避免对动物生境造成不良影响；按照规定的施工时间进行施工，以减缓对动物栖息与繁殖的不利影响。</w:t>
            </w:r>
          </w:p>
          <w:p w14:paraId="3C61A547">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加强对施工人员的管理，定期开展有关动物保护的宣传教育。可组织专业人员通过宣传视频、讲座或印发图册等形式，强化施工人员动物保护意识；开展相关野生动物保护法律法规教育，提高法律意识，保证依法施工。</w:t>
            </w:r>
          </w:p>
          <w:p w14:paraId="440E777B">
            <w:pPr>
              <w:spacing w:line="440" w:lineRule="exact"/>
              <w:ind w:firstLine="482"/>
              <w:rPr>
                <w:color w:val="000000" w:themeColor="text1"/>
                <w:sz w:val="24"/>
                <w:lang w:val="zh-CN"/>
                <w14:textFill>
                  <w14:solidFill>
                    <w14:schemeClr w14:val="tx1"/>
                  </w14:solidFill>
                </w14:textFill>
              </w:rPr>
            </w:pPr>
            <w:r>
              <w:rPr>
                <w:color w:val="000000" w:themeColor="text1"/>
                <w:sz w:val="24"/>
                <w14:textFill>
                  <w14:solidFill>
                    <w14:schemeClr w14:val="tx1"/>
                  </w14:solidFill>
                </w14:textFill>
              </w:rPr>
              <w:t>加强与当地林草部门和各敏感区管理部门的联系工作，施工过程中若发现有受伤的野生保护动物，可及时联系有关部门进行相关救助。</w:t>
            </w:r>
          </w:p>
          <w:p w14:paraId="7D6ADEF2">
            <w:pPr>
              <w:adjustRightInd w:val="0"/>
              <w:snapToGrid w:val="0"/>
              <w:spacing w:line="440" w:lineRule="exact"/>
              <w:rPr>
                <w:b/>
                <w:bCs/>
                <w:color w:val="000000" w:themeColor="text1"/>
                <w:sz w:val="24"/>
                <w:lang w:val="zh-CN"/>
                <w14:textFill>
                  <w14:solidFill>
                    <w14:schemeClr w14:val="tx1"/>
                  </w14:solidFill>
                </w14:textFill>
              </w:rPr>
            </w:pPr>
            <w:r>
              <w:rPr>
                <w:rFonts w:hint="eastAsia"/>
                <w:b/>
                <w:bCs/>
                <w:color w:val="000000" w:themeColor="text1"/>
                <w:sz w:val="24"/>
                <w14:textFill>
                  <w14:solidFill>
                    <w14:schemeClr w14:val="tx1"/>
                  </w14:solidFill>
                </w14:textFill>
              </w:rPr>
              <w:t>1.4</w:t>
            </w:r>
            <w:bookmarkStart w:id="26" w:name="_Toc444534415"/>
            <w:bookmarkStart w:id="27" w:name="_Toc437114787"/>
            <w:bookmarkStart w:id="28" w:name="_Toc437590504"/>
            <w:bookmarkStart w:id="29" w:name="_Toc421819576"/>
            <w:bookmarkStart w:id="30" w:name="_Toc5439"/>
            <w:bookmarkStart w:id="31" w:name="_Toc437291435"/>
            <w:r>
              <w:rPr>
                <w:rFonts w:hint="eastAsia"/>
                <w:b/>
                <w:bCs/>
                <w:color w:val="000000" w:themeColor="text1"/>
                <w:sz w:val="24"/>
                <w14:textFill>
                  <w14:solidFill>
                    <w14:schemeClr w14:val="tx1"/>
                  </w14:solidFill>
                </w14:textFill>
              </w:rPr>
              <w:t xml:space="preserve"> 生态保护红线</w:t>
            </w:r>
            <w:r>
              <w:rPr>
                <w:rFonts w:hint="eastAsia"/>
                <w:b/>
                <w:bCs/>
                <w:color w:val="000000" w:themeColor="text1"/>
                <w:sz w:val="24"/>
                <w:lang w:val="zh-CN"/>
                <w14:textFill>
                  <w14:solidFill>
                    <w14:schemeClr w14:val="tx1"/>
                  </w14:solidFill>
                </w14:textFill>
              </w:rPr>
              <w:t>保护措施</w:t>
            </w:r>
            <w:bookmarkEnd w:id="26"/>
            <w:bookmarkEnd w:id="27"/>
            <w:bookmarkEnd w:id="28"/>
            <w:bookmarkEnd w:id="29"/>
            <w:bookmarkEnd w:id="30"/>
            <w:bookmarkEnd w:id="31"/>
          </w:p>
          <w:p w14:paraId="26A4F487">
            <w:pPr>
              <w:spacing w:line="440" w:lineRule="exact"/>
              <w:ind w:firstLine="482"/>
              <w:rPr>
                <w:color w:val="000000" w:themeColor="text1"/>
                <w:sz w:val="24"/>
                <w14:textFill>
                  <w14:solidFill>
                    <w14:schemeClr w14:val="tx1"/>
                  </w14:solidFill>
                </w14:textFill>
              </w:rPr>
            </w:pPr>
            <w:r>
              <w:rPr>
                <w:color w:val="000000" w:themeColor="text1"/>
                <w:sz w:val="24"/>
                <w14:textFill>
                  <w14:solidFill>
                    <w14:schemeClr w14:val="tx1"/>
                  </w14:solidFill>
                </w14:textFill>
              </w:rPr>
              <w:t>合理规划施工布置，优化施工占地和扰动范围，合理安排施工时间，尽可能减少对生态保护红线区域的占用，尽可能缩短施工活动对生态保护红线的扰动时间。</w:t>
            </w:r>
          </w:p>
          <w:p w14:paraId="021E1D3F">
            <w:pPr>
              <w:adjustRightInd w:val="0"/>
              <w:snapToGrid w:val="0"/>
              <w:spacing w:line="440" w:lineRule="exac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t xml:space="preserve"> 水土保持措施</w:t>
            </w:r>
          </w:p>
          <w:p w14:paraId="5F9B0B9E">
            <w:pPr>
              <w:spacing w:line="440" w:lineRule="exact"/>
              <w:ind w:firstLine="360" w:firstLineChars="15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可研报告及企业提供资料</w:t>
            </w:r>
            <w:r>
              <w:rPr>
                <w:color w:val="000000" w:themeColor="text1"/>
                <w:sz w:val="24"/>
                <w14:textFill>
                  <w14:solidFill>
                    <w14:schemeClr w14:val="tx1"/>
                  </w14:solidFill>
                </w14:textFill>
              </w:rPr>
              <w:t>：水土保持措施为：</w:t>
            </w:r>
          </w:p>
          <w:p w14:paraId="301D77BD">
            <w:pPr>
              <w:adjustRightInd w:val="0"/>
              <w:snapToGrid w:val="0"/>
              <w:spacing w:line="440" w:lineRule="exact"/>
              <w:ind w:firstLine="496" w:firstLineChars="200"/>
              <w:textAlignment w:val="baseline"/>
              <w:rPr>
                <w:color w:val="000000" w:themeColor="text1"/>
                <w:spacing w:val="4"/>
                <w:sz w:val="24"/>
                <w:szCs w:val="28"/>
                <w14:textFill>
                  <w14:solidFill>
                    <w14:schemeClr w14:val="tx1"/>
                  </w14:solidFill>
                </w14:textFill>
              </w:rPr>
            </w:pPr>
            <w:r>
              <w:rPr>
                <w:rFonts w:hint="eastAsia"/>
                <w:color w:val="000000" w:themeColor="text1"/>
                <w:spacing w:val="4"/>
                <w:sz w:val="24"/>
                <w:szCs w:val="28"/>
                <w14:textFill>
                  <w14:solidFill>
                    <w14:schemeClr w14:val="tx1"/>
                  </w14:solidFill>
                </w14:textFill>
              </w:rPr>
              <w:t>1、主体设计</w:t>
            </w:r>
          </w:p>
          <w:p w14:paraId="6BAC5770">
            <w:pPr>
              <w:adjustRightInd w:val="0"/>
              <w:snapToGrid w:val="0"/>
              <w:spacing w:line="440" w:lineRule="exact"/>
              <w:ind w:firstLine="480" w:firstLineChars="200"/>
              <w:textAlignment w:val="baseline"/>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主体工程设计具有水土保持功能措施为光伏板阵列绿化169.46万</w:t>
            </w:r>
            <w:r>
              <w:rPr>
                <w:color w:val="000000" w:themeColor="text1"/>
                <w:sz w:val="24"/>
                <w:szCs w:val="28"/>
                <w14:textFill>
                  <w14:solidFill>
                    <w14:schemeClr w14:val="tx1"/>
                  </w14:solidFill>
                </w14:textFill>
              </w:rPr>
              <w:t>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。其中光伏阵区底层绿化169.46hm</w:t>
            </w:r>
            <w:r>
              <w:rPr>
                <w:rFonts w:hint="eastAsia"/>
                <w:color w:val="000000" w:themeColor="text1"/>
                <w:sz w:val="24"/>
                <w:szCs w:val="28"/>
                <w:vertAlign w:val="superscript"/>
                <w14:textFill>
                  <w14:solidFill>
                    <w14:schemeClr w14:val="tx1"/>
                  </w14:solidFill>
                </w14:textFill>
              </w:rPr>
              <w:t>2</w:t>
            </w:r>
            <w:r>
              <w:rPr>
                <w:rFonts w:hint="eastAsia"/>
                <w:color w:val="000000" w:themeColor="text1"/>
                <w:sz w:val="24"/>
                <w:szCs w:val="28"/>
                <w14:textFill>
                  <w14:solidFill>
                    <w14:schemeClr w14:val="tx1"/>
                  </w14:solidFill>
                </w14:textFill>
              </w:rPr>
              <w:t>；交通道路区土质排水沟2583</w:t>
            </w:r>
            <w:r>
              <w:rPr>
                <w:color w:val="000000" w:themeColor="text1"/>
                <w:sz w:val="24"/>
                <w:szCs w:val="28"/>
                <w14:textFill>
                  <w14:solidFill>
                    <w14:schemeClr w14:val="tx1"/>
                  </w14:solidFill>
                </w14:textFill>
              </w:rPr>
              <w:t>m</w:t>
            </w:r>
            <w:r>
              <w:rPr>
                <w:rFonts w:hint="eastAsia"/>
                <w:color w:val="000000" w:themeColor="text1"/>
                <w:sz w:val="24"/>
                <w:szCs w:val="28"/>
                <w14:textFill>
                  <w14:solidFill>
                    <w14:schemeClr w14:val="tx1"/>
                  </w14:solidFill>
                </w14:textFill>
              </w:rPr>
              <w:t>。</w:t>
            </w:r>
          </w:p>
          <w:p w14:paraId="07D10F32">
            <w:pPr>
              <w:adjustRightInd w:val="0"/>
              <w:snapToGrid w:val="0"/>
              <w:spacing w:line="440" w:lineRule="exact"/>
              <w:ind w:firstLine="480" w:firstLineChars="200"/>
              <w:textAlignment w:val="baseline"/>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2、</w:t>
            </w:r>
            <w:r>
              <w:rPr>
                <w:color w:val="000000" w:themeColor="text1"/>
                <w:sz w:val="24"/>
                <w:szCs w:val="28"/>
                <w14:textFill>
                  <w14:solidFill>
                    <w14:schemeClr w14:val="tx1"/>
                  </w14:solidFill>
                </w14:textFill>
              </w:rPr>
              <w:t>方案新增</w:t>
            </w:r>
          </w:p>
          <w:p w14:paraId="5829A845">
            <w:pPr>
              <w:adjustRightInd w:val="0"/>
              <w:snapToGrid w:val="0"/>
              <w:spacing w:line="440" w:lineRule="exact"/>
              <w:ind w:firstLine="480" w:firstLineChars="20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除主体工程已考虑和设计的各种具有水土保持功能的措施外，本方案主要针对建设过程中的水土流失状况，对各防治分区进行了水土保持措施设计。经统计，</w:t>
            </w:r>
            <w:r>
              <w:rPr>
                <w:rFonts w:hint="eastAsia"/>
                <w:color w:val="000000" w:themeColor="text1"/>
                <w:sz w:val="24"/>
                <w:szCs w:val="28"/>
                <w14:textFill>
                  <w14:solidFill>
                    <w14:schemeClr w14:val="tx1"/>
                  </w14:solidFill>
                </w14:textFill>
              </w:rPr>
              <w:t>水保</w:t>
            </w:r>
            <w:r>
              <w:rPr>
                <w:color w:val="000000" w:themeColor="text1"/>
                <w:sz w:val="24"/>
                <w:szCs w:val="28"/>
                <w14:textFill>
                  <w14:solidFill>
                    <w14:schemeClr w14:val="tx1"/>
                  </w14:solidFill>
                </w14:textFill>
              </w:rPr>
              <w:t>新增的水土保持措施如下：</w:t>
            </w:r>
          </w:p>
          <w:p w14:paraId="08091C4A">
            <w:pPr>
              <w:adjustRightInd w:val="0"/>
              <w:snapToGrid w:val="0"/>
              <w:spacing w:line="440" w:lineRule="exact"/>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工程措施：：光伏阵列区、生产办公区、施工生产生活区进行表土清理，施工结束后进行覆土平整。</w:t>
            </w:r>
          </w:p>
          <w:p w14:paraId="63A49B66">
            <w:pPr>
              <w:adjustRightInd w:val="0"/>
              <w:snapToGrid w:val="0"/>
              <w:spacing w:line="440" w:lineRule="exact"/>
              <w:ind w:firstLine="480" w:firstLineChars="20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植物措施</w:t>
            </w:r>
            <w:r>
              <w:rPr>
                <w:rFonts w:hint="eastAsia"/>
                <w:color w:val="000000" w:themeColor="text1"/>
                <w:sz w:val="24"/>
                <w:szCs w:val="28"/>
                <w14:textFill>
                  <w14:solidFill>
                    <w14:schemeClr w14:val="tx1"/>
                  </w14:solidFill>
                </w14:textFill>
              </w:rPr>
              <w:t>：在电站场区内播撒耐旱草籽，加大绿化面积；对建筑物周围进行绿化，灌、乔、草结合种植。</w:t>
            </w:r>
          </w:p>
          <w:p w14:paraId="68B5FD2B">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临时措施：</w:t>
            </w:r>
            <w:r>
              <w:rPr>
                <w:rFonts w:hint="eastAsia"/>
                <w:color w:val="000000" w:themeColor="text1"/>
                <w:sz w:val="24"/>
                <w14:textFill>
                  <w14:solidFill>
                    <w14:schemeClr w14:val="tx1"/>
                  </w14:solidFill>
                </w14:textFill>
              </w:rPr>
              <w:t>主体施工过程中，特别是下雨或刮风期施工时，为防止开挖填垫后的场地水蚀和风蚀，对生产办公区、光伏阵列区、施工生产生活区等部位布设排水、拦挡和遮盖等临时防护措施，考虑临时工程的短时效性，选择有效、简单易行、易于拆除且投资小的措施。</w:t>
            </w:r>
          </w:p>
          <w:p w14:paraId="6FA4D113">
            <w:pPr>
              <w:adjustRightInd w:val="0"/>
              <w:snapToGrid w:val="0"/>
              <w:spacing w:line="440" w:lineRule="exact"/>
              <w:ind w:firstLine="480" w:firstLineChars="2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管理措施：道路路面要定期洒水，临时堆放的土石料和运输车辆应遮盖；定期对施工生产生活区空地洒水降尘等</w:t>
            </w:r>
          </w:p>
          <w:p w14:paraId="18362EFF">
            <w:pPr>
              <w:adjustRightInd w:val="0"/>
              <w:snapToGrid w:val="0"/>
              <w:spacing w:line="440" w:lineRule="exact"/>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1</w:t>
            </w:r>
            <w:r>
              <w:rPr>
                <w:rFonts w:hint="eastAsia"/>
                <w:color w:val="000000" w:themeColor="text1"/>
                <w:kern w:val="0"/>
                <w:sz w:val="24"/>
                <w:lang w:bidi="ar"/>
                <w14:textFill>
                  <w14:solidFill>
                    <w14:schemeClr w14:val="tx1"/>
                  </w14:solidFill>
                </w14:textFill>
              </w:rPr>
              <w:t>）施工前应加强对施工人员的管理和培训，由施工监理人员负责对施工人员进行监督，并制定相关管理和考核措施。</w:t>
            </w:r>
          </w:p>
          <w:p w14:paraId="0A2C53BC">
            <w:pPr>
              <w:adjustRightInd w:val="0"/>
              <w:snapToGrid w:val="0"/>
              <w:spacing w:line="440" w:lineRule="exact"/>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2</w:t>
            </w:r>
            <w:r>
              <w:rPr>
                <w:rFonts w:hint="eastAsia"/>
                <w:color w:val="000000" w:themeColor="text1"/>
                <w:kern w:val="0"/>
                <w:sz w:val="24"/>
                <w:lang w:bidi="ar"/>
                <w14:textFill>
                  <w14:solidFill>
                    <w14:schemeClr w14:val="tx1"/>
                  </w14:solidFill>
                </w14:textFill>
              </w:rPr>
              <w:t>）施工建设前应制定施工组织方案，加强施工管理，优化施工时序，尽量避开暴雨期进行挖填施工作业，防止施工产生的土方随地表径流进入水体；根据现场情况进行电缆沟，减少土石方开挖，同时开挖的土方应做好防护措施，减少水土流失量。施工单位在水源保护区内集电线路建设时，必须严格落实各项环境保护措施，杜绝施工废水、废渣乱排乱放现象，确保饮用水水源安全。</w:t>
            </w:r>
          </w:p>
          <w:p w14:paraId="4D6AB762">
            <w:pPr>
              <w:adjustRightInd w:val="0"/>
              <w:snapToGrid w:val="0"/>
              <w:spacing w:line="440" w:lineRule="exact"/>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（3）施工前在周边设置围栏屏障，防止水土流失和施工扬尘进入水体；</w:t>
            </w:r>
          </w:p>
          <w:p w14:paraId="61A8D17D">
            <w:pPr>
              <w:adjustRightInd w:val="0"/>
              <w:snapToGrid w:val="0"/>
              <w:spacing w:line="440" w:lineRule="exact"/>
              <w:ind w:firstLine="480" w:firstLineChars="200"/>
              <w:rPr>
                <w:color w:val="000000" w:themeColor="text1"/>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w:t>
            </w:r>
            <w:r>
              <w:rPr>
                <w:rFonts w:hint="eastAsia"/>
                <w:color w:val="000000" w:themeColor="text1"/>
                <w:kern w:val="0"/>
                <w:sz w:val="24"/>
                <w:lang w:bidi="ar"/>
                <w14:textFill>
                  <w14:solidFill>
                    <w14:schemeClr w14:val="tx1"/>
                  </w14:solidFill>
                </w14:textFill>
              </w:rPr>
              <w:t>4</w:t>
            </w:r>
            <w:r>
              <w:rPr>
                <w:rFonts w:hint="eastAsia" w:ascii="宋体" w:hAnsi="宋体" w:cs="宋体"/>
                <w:color w:val="000000" w:themeColor="text1"/>
                <w:kern w:val="0"/>
                <w:sz w:val="24"/>
                <w:lang w:bidi="ar"/>
                <w14:textFill>
                  <w14:solidFill>
                    <w14:schemeClr w14:val="tx1"/>
                  </w14:solidFill>
                </w14:textFill>
              </w:rPr>
              <w:t>）设立警示牌，加强施工管理，规范施工行为，严禁在水源保护区范围内乱扔建筑垃圾、塑料袋等生活垃圾；禁止在饮用水源地内设置堆料场、弃渣场及施工生活区。</w:t>
            </w:r>
          </w:p>
          <w:p w14:paraId="31ABC7C1">
            <w:pPr>
              <w:adjustRightInd w:val="0"/>
              <w:snapToGrid w:val="0"/>
              <w:spacing w:line="440" w:lineRule="exact"/>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（5）加强施工管理，严禁排放施工废水和固体废物。少量</w:t>
            </w:r>
            <w:r>
              <w:rPr>
                <w:color w:val="000000" w:themeColor="text1"/>
                <w:kern w:val="0"/>
                <w:sz w:val="24"/>
                <w:lang w:bidi="ar"/>
                <w14:textFill>
                  <w14:solidFill>
                    <w14:schemeClr w14:val="tx1"/>
                  </w14:solidFill>
                </w14:textFill>
              </w:rPr>
              <w:t>施工废水采用沉淀池收集、澄清，全部回用于场地洒水降尘、建筑材料冲洗等施工环节，不外排</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施工临时场地</w:t>
            </w:r>
            <w:r>
              <w:rPr>
                <w:rFonts w:hint="eastAsia"/>
                <w:color w:val="000000" w:themeColor="text1"/>
                <w:kern w:val="0"/>
                <w:sz w:val="24"/>
                <w:lang w:bidi="ar"/>
                <w14:textFill>
                  <w14:solidFill>
                    <w14:schemeClr w14:val="tx1"/>
                  </w14:solidFill>
                </w14:textFill>
              </w:rPr>
              <w:t>中</w:t>
            </w:r>
            <w:r>
              <w:rPr>
                <w:color w:val="000000" w:themeColor="text1"/>
                <w:kern w:val="0"/>
                <w:sz w:val="24"/>
                <w:lang w:bidi="ar"/>
                <w14:textFill>
                  <w14:solidFill>
                    <w14:schemeClr w14:val="tx1"/>
                  </w14:solidFill>
                </w14:textFill>
              </w:rPr>
              <w:t>生活废水一起进入</w:t>
            </w:r>
            <w:r>
              <w:rPr>
                <w:rFonts w:hint="eastAsia"/>
                <w:color w:val="000000" w:themeColor="text1"/>
                <w:kern w:val="0"/>
                <w:sz w:val="24"/>
                <w:lang w:bidi="ar"/>
                <w14:textFill>
                  <w14:solidFill>
                    <w14:schemeClr w14:val="tx1"/>
                  </w14:solidFill>
                </w14:textFill>
              </w:rPr>
              <w:t>临时</w:t>
            </w:r>
            <w:r>
              <w:rPr>
                <w:color w:val="000000" w:themeColor="text1"/>
                <w:kern w:val="0"/>
                <w:sz w:val="24"/>
                <w:lang w:bidi="ar"/>
                <w14:textFill>
                  <w14:solidFill>
                    <w14:schemeClr w14:val="tx1"/>
                  </w14:solidFill>
                </w14:textFill>
              </w:rPr>
              <w:t>旱厕，旱厕内的含水粪渣定期由当地农户清掏作为肥料</w:t>
            </w:r>
            <w:r>
              <w:rPr>
                <w:rFonts w:hint="eastAsia"/>
                <w:color w:val="000000" w:themeColor="text1"/>
                <w:kern w:val="0"/>
                <w:sz w:val="24"/>
                <w:lang w:bidi="ar"/>
                <w14:textFill>
                  <w14:solidFill>
                    <w14:schemeClr w14:val="tx1"/>
                  </w14:solidFill>
                </w14:textFill>
              </w:rPr>
              <w:t>还</w:t>
            </w:r>
            <w:r>
              <w:rPr>
                <w:color w:val="000000" w:themeColor="text1"/>
                <w:kern w:val="0"/>
                <w:sz w:val="24"/>
                <w:lang w:bidi="ar"/>
                <w14:textFill>
                  <w14:solidFill>
                    <w14:schemeClr w14:val="tx1"/>
                  </w14:solidFill>
                </w14:textFill>
              </w:rPr>
              <w:t>田，不外排</w:t>
            </w:r>
            <w:r>
              <w:rPr>
                <w:rFonts w:hint="eastAsia"/>
                <w:color w:val="000000" w:themeColor="text1"/>
                <w:kern w:val="0"/>
                <w:sz w:val="24"/>
                <w:lang w:bidi="ar"/>
                <w14:textFill>
                  <w14:solidFill>
                    <w14:schemeClr w14:val="tx1"/>
                  </w14:solidFill>
                </w14:textFill>
              </w:rPr>
              <w:t>。</w:t>
            </w:r>
          </w:p>
          <w:p w14:paraId="777ABFD7">
            <w:pPr>
              <w:adjustRightInd w:val="0"/>
              <w:snapToGrid w:val="0"/>
              <w:spacing w:line="440" w:lineRule="exact"/>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（6）在易产生水土流失的区域设置临时排水沟，弃土及时进行回填，多余弃土及时清运。</w:t>
            </w:r>
          </w:p>
          <w:p w14:paraId="4B0211F9">
            <w:pPr>
              <w:adjustRightInd w:val="0"/>
              <w:snapToGrid w:val="0"/>
              <w:spacing w:line="440" w:lineRule="exact"/>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（7）根据需要对裸露地表临时进行土地硬化，对临时堆放的土方进行遮挡、苫盖，防止水土流失和施工扬尘进入水体。</w:t>
            </w:r>
          </w:p>
          <w:p w14:paraId="32A32F1D">
            <w:pPr>
              <w:adjustRightInd w:val="0"/>
              <w:snapToGrid w:val="0"/>
              <w:spacing w:line="440" w:lineRule="exact"/>
              <w:ind w:firstLine="480" w:firstLineChars="200"/>
              <w:rPr>
                <w:color w:val="000000" w:themeColor="text1"/>
                <w:kern w:val="0"/>
                <w:sz w:val="24"/>
                <w:lang w:bidi="ar"/>
                <w14:textFill>
                  <w14:solidFill>
                    <w14:schemeClr w14:val="tx1"/>
                  </w14:solidFill>
                </w14:textFill>
              </w:rPr>
            </w:pPr>
            <w:r>
              <w:rPr>
                <w:rFonts w:hint="eastAsia"/>
                <w:color w:val="000000" w:themeColor="text1"/>
                <w:kern w:val="0"/>
                <w:sz w:val="24"/>
                <w:lang w:bidi="ar"/>
                <w14:textFill>
                  <w14:solidFill>
                    <w14:schemeClr w14:val="tx1"/>
                  </w14:solidFill>
                </w14:textFill>
              </w:rPr>
              <w:t>（8）施工结束后，恢复临时占地植被，对裸露地表进行绿化。</w:t>
            </w:r>
          </w:p>
          <w:p w14:paraId="1D72B421">
            <w:pPr>
              <w:adjustRightInd w:val="0"/>
              <w:snapToGrid w:val="0"/>
              <w:spacing w:line="440" w:lineRule="exact"/>
              <w:rPr>
                <w:b/>
                <w:color w:val="000000" w:themeColor="text1"/>
                <w:sz w:val="24"/>
                <w14:textFill>
                  <w14:solidFill>
                    <w14:schemeClr w14:val="tx1"/>
                  </w14:solidFill>
                </w14:textFill>
              </w:rPr>
            </w:pPr>
            <w:r>
              <w:rPr>
                <w:b/>
                <w:color w:val="000000" w:themeColor="text1"/>
                <w:sz w:val="24"/>
                <w14:textFill>
                  <w14:solidFill>
                    <w14:schemeClr w14:val="tx1"/>
                  </w14:solidFill>
                </w14:textFill>
              </w:rPr>
              <w:t>2 施工期水污染防治措施</w:t>
            </w:r>
          </w:p>
          <w:p w14:paraId="7E7F3879">
            <w:pPr>
              <w:adjustRightInd w:val="0"/>
              <w:snapToGrid w:val="0"/>
              <w:spacing w:line="440" w:lineRule="exact"/>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项目施工过程中产生的废水主要为施工人员正常生活产生的生活污水及施工车辆冲洗废水，施工期间在施工生产生活区设计临时防渗旱厕，定期清掏不外排；施工车辆冲洗废水经过沉淀、隔油处理后排放或者重复回用于冲洗等工序，不会对当地水环境产生不良影响。</w:t>
            </w:r>
          </w:p>
          <w:p w14:paraId="44498234">
            <w:pPr>
              <w:adjustRightInd w:val="0"/>
              <w:snapToGrid w:val="0"/>
              <w:spacing w:line="440" w:lineRule="exact"/>
              <w:rPr>
                <w:b/>
                <w:color w:val="000000" w:themeColor="text1"/>
                <w:sz w:val="24"/>
                <w14:textFill>
                  <w14:solidFill>
                    <w14:schemeClr w14:val="tx1"/>
                  </w14:solidFill>
                </w14:textFill>
              </w:rPr>
            </w:pPr>
            <w:r>
              <w:rPr>
                <w:b/>
                <w:color w:val="000000" w:themeColor="text1"/>
                <w:sz w:val="24"/>
                <w14:textFill>
                  <w14:solidFill>
                    <w14:schemeClr w14:val="tx1"/>
                  </w14:solidFill>
                </w14:textFill>
              </w:rPr>
              <w:t>3 施工期废气污染防治措施</w:t>
            </w:r>
          </w:p>
          <w:p w14:paraId="2447D565">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（1）施工期间，根据《建设工程现场管理规定》的规定设置现场平面布置图、工程概况牌、安全生产牌、消防保卫牌、文明施工牌、环境保护牌、管理人员名单及监督电话牌等标志牌。</w:t>
            </w:r>
          </w:p>
          <w:p w14:paraId="2FDC2F22">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）施工场地和汽车行驶的路面应坚持采取洒水降尘措施，每日约4~5次，遇大风起尘天气，还应增加洒水频率。</w:t>
            </w:r>
          </w:p>
          <w:p w14:paraId="65CABBAA">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）施工期间剥离表土、开挖产生的待运土石方及工地内的散体材料应采取集中堆存、土工布覆盖等防护措施，防止施工中产生的尘土飞扬及废弃物、杂物飘散。</w:t>
            </w:r>
          </w:p>
          <w:p w14:paraId="485925B9">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）场区地处山坡位置，风速较大，在晴天容易产生尘土飞扬。为抑制尘土飞扬和降尘，晴天利用水管对堆积表面进行喷洒，以保护环境。</w:t>
            </w:r>
          </w:p>
          <w:p w14:paraId="6019337F">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）施工场地应设专职人员负责扬尘控制措施的实施和监督，负责逸散性材料、渣土、裸露地面的遮蔽、覆盖和洒水作业。</w:t>
            </w:r>
          </w:p>
          <w:p w14:paraId="15A7AC11">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严格控制施工期间运输车辆的装载量，避免超载运输；运输车辆的车厢应当确保牢固、严密，严禁在装运过程中沿途抛、洒、滴、漏。运输车辆经过沿途居民点时注意控制车速，减速慢行，防止高速行车时产生大量扬尘。</w:t>
            </w:r>
          </w:p>
          <w:p w14:paraId="3377EB45">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）施工方应当加强对施工人员的环保教育，提高全体施工人员的环保意识，坚持文明科学施工。</w:t>
            </w:r>
          </w:p>
          <w:p w14:paraId="68C0AAF8">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（8）加强施工场地洒水降尘，用土工布覆盖易产尘材料、</w:t>
            </w:r>
            <w:r>
              <w:rPr>
                <w:rFonts w:hint="eastAsia"/>
                <w:color w:val="000000" w:themeColor="text1"/>
                <w:sz w:val="24"/>
                <w:lang w:val="zh-CN"/>
                <w14:textFill>
                  <w14:solidFill>
                    <w14:schemeClr w14:val="tx1"/>
                  </w14:solidFill>
                </w14:textFill>
              </w:rPr>
              <w:t>土石方及时回填压实</w:t>
            </w:r>
            <w:r>
              <w:rPr>
                <w:rFonts w:hint="eastAsia"/>
                <w:color w:val="000000" w:themeColor="text1"/>
                <w:sz w:val="24"/>
                <w14:textFill>
                  <w14:solidFill>
                    <w14:schemeClr w14:val="tx1"/>
                  </w14:solidFill>
                </w14:textFill>
              </w:rPr>
              <w:t>等措施。</w:t>
            </w:r>
          </w:p>
          <w:p w14:paraId="7EF43A49">
            <w:pPr>
              <w:adjustRightInd w:val="0"/>
              <w:snapToGrid w:val="0"/>
              <w:spacing w:line="440" w:lineRule="exact"/>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（9）施工期禁止大开挖、推平台等作业方式进行光伏打桩作业。</w:t>
            </w:r>
          </w:p>
          <w:p w14:paraId="0BDA387F">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）建设工程完工后，施工单位应当在1个月内拆除工地围挡、安全防护设施和其他临时设施，并将工地及四周环境清理整洁，做到工完、料净、场地洁。</w:t>
            </w:r>
          </w:p>
          <w:p w14:paraId="209E46BF">
            <w:pPr>
              <w:adjustRightInd w:val="0"/>
              <w:snapToGrid w:val="0"/>
              <w:spacing w:line="440" w:lineRule="exact"/>
              <w:rPr>
                <w:b/>
                <w:color w:val="000000" w:themeColor="text1"/>
                <w:sz w:val="24"/>
                <w14:textFill>
                  <w14:solidFill>
                    <w14:schemeClr w14:val="tx1"/>
                  </w14:solidFill>
                </w14:textFill>
              </w:rPr>
            </w:pPr>
            <w:r>
              <w:rPr>
                <w:b/>
                <w:color w:val="000000" w:themeColor="text1"/>
                <w:sz w:val="24"/>
                <w14:textFill>
                  <w14:solidFill>
                    <w14:schemeClr w14:val="tx1"/>
                  </w14:solidFill>
                </w14:textFill>
              </w:rPr>
              <w:t>4 施工噪声污染防治措施</w:t>
            </w:r>
          </w:p>
          <w:p w14:paraId="36F75466">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合理安排施工计划和施工机械设备组合以及施工时间，降低施工机械同时使用的频次，尽可能采用交互作业，减少施工时间。施工期间禁止在夜间（22时至次日6时）进行建筑施工作业，但抢修、抢险作业和因混凝土浇灌、桩基冲孔、钻孔桩成型等生产工艺需要连续作业的除外。</w:t>
            </w:r>
            <w:r>
              <w:rPr>
                <w:rFonts w:hint="eastAsia"/>
                <w:color w:val="000000" w:themeColor="text1"/>
                <w:sz w:val="24"/>
                <w14:textFill>
                  <w14:solidFill>
                    <w14:schemeClr w14:val="tx1"/>
                  </w14:solidFill>
                </w14:textFill>
              </w:rPr>
              <w:t>确需夜间施工的，须办理相关手续，并公告周边居民。</w:t>
            </w:r>
          </w:p>
          <w:p w14:paraId="7E1088F7">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施工单位应充分考虑周围环境的敏感性，在施工操作上加强环保措施，选用低噪声施工设备，对产生高噪声的施工设备采取有效的减振、隔声等防护措施，如安装在经隔声处理的构筑物内。</w:t>
            </w:r>
          </w:p>
          <w:p w14:paraId="79DDCD2F">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合理布置机械设备，高噪作业设备应根据作业半径及现场条件，优先设置于远离场界的部位；移动式高噪设备应尽量安排优先完成场界近点作业，避免长期作业。</w:t>
            </w:r>
          </w:p>
          <w:p w14:paraId="5004D1C7">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整体设备应安放稳固，并与地面保持良好接触，施工期加强检查、维护和保养机械设备，保持润滑，紧固各部件，减少运行震动噪声，保证运输车辆及施工机械处于良好的工作状态。整体设备应安放稳固，并与地面保持良好接触，有条件的应使用减振机座，降低噪声。</w:t>
            </w:r>
          </w:p>
          <w:p w14:paraId="2C0A9763">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（5）在村庄或住户周边100m范围内</w:t>
            </w:r>
            <w:r>
              <w:rPr>
                <w:color w:val="000000" w:themeColor="text1"/>
                <w:sz w:val="24"/>
                <w14:textFill>
                  <w14:solidFill>
                    <w14:schemeClr w14:val="tx1"/>
                  </w14:solidFill>
                </w14:textFill>
              </w:rPr>
              <w:t>光伏阵列</w:t>
            </w:r>
            <w:r>
              <w:rPr>
                <w:rFonts w:hint="eastAsia"/>
                <w:color w:val="000000" w:themeColor="text1"/>
                <w:sz w:val="24"/>
                <w14:textFill>
                  <w14:solidFill>
                    <w14:schemeClr w14:val="tx1"/>
                  </w14:solidFill>
                </w14:textFill>
              </w:rPr>
              <w:t>施工区</w:t>
            </w:r>
            <w:r>
              <w:rPr>
                <w:rFonts w:hint="eastAsia" w:ascii="宋体" w:hAnsi="宋体" w:cs="宋体"/>
                <w:color w:val="000000" w:themeColor="text1"/>
                <w:kern w:val="0"/>
                <w:sz w:val="24"/>
                <w:lang w:bidi="ar"/>
                <w14:textFill>
                  <w14:solidFill>
                    <w14:schemeClr w14:val="tx1"/>
                  </w14:solidFill>
                </w14:textFill>
              </w:rPr>
              <w:t>设置</w:t>
            </w:r>
            <w:r>
              <w:rPr>
                <w:rFonts w:hint="eastAsia"/>
                <w:color w:val="000000" w:themeColor="text1"/>
                <w:sz w:val="24"/>
                <w14:textFill>
                  <w14:solidFill>
                    <w14:schemeClr w14:val="tx1"/>
                  </w14:solidFill>
                </w14:textFill>
              </w:rPr>
              <w:t>移动隔声屏障措施</w:t>
            </w:r>
            <w:r>
              <w:rPr>
                <w:rFonts w:hint="eastAsia" w:ascii="宋体" w:hAnsi="宋体" w:cs="宋体"/>
                <w:color w:val="000000" w:themeColor="text1"/>
                <w:kern w:val="0"/>
                <w:sz w:val="24"/>
                <w:lang w:bidi="ar"/>
                <w14:textFill>
                  <w14:solidFill>
                    <w14:schemeClr w14:val="tx1"/>
                  </w14:solidFill>
                </w14:textFill>
              </w:rPr>
              <w:t>、合理规划施工时间及施工时序，夜间项目不施工，靠近居民点位置的光伏阵区支架或集电线路施工采用人工开挖基础等措施</w:t>
            </w:r>
            <w:r>
              <w:rPr>
                <w:color w:val="000000" w:themeColor="text1"/>
                <w:sz w:val="24"/>
                <w14:textFill>
                  <w14:solidFill>
                    <w14:schemeClr w14:val="tx1"/>
                  </w14:solidFill>
                </w14:textFill>
              </w:rPr>
              <w:t>。</w:t>
            </w:r>
          </w:p>
          <w:p w14:paraId="7618C9B7">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运输车辆在通过村庄路段时要减慢车速，禁止鸣笛，同时禁止在夜间运输材料。</w:t>
            </w:r>
          </w:p>
          <w:p w14:paraId="6132C314">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文明施工，建立健全现场噪声管理责任制，加强对施工人员的素质培养、尽量减少人为的大声喧哗，增强全体施工人员防噪声扰民的意识。</w:t>
            </w:r>
          </w:p>
          <w:p w14:paraId="3C932612">
            <w:pPr>
              <w:adjustRightInd w:val="0"/>
              <w:snapToGrid w:val="0"/>
              <w:spacing w:line="440" w:lineRule="exact"/>
              <w:rPr>
                <w:b/>
                <w:color w:val="000000" w:themeColor="text1"/>
                <w:sz w:val="24"/>
                <w14:textFill>
                  <w14:solidFill>
                    <w14:schemeClr w14:val="tx1"/>
                  </w14:solidFill>
                </w14:textFill>
              </w:rPr>
            </w:pPr>
            <w:r>
              <w:rPr>
                <w:b/>
                <w:color w:val="000000" w:themeColor="text1"/>
                <w:sz w:val="24"/>
                <w14:textFill>
                  <w14:solidFill>
                    <w14:schemeClr w14:val="tx1"/>
                  </w14:solidFill>
                </w14:textFill>
              </w:rPr>
              <w:t>5 施工期固体废弃物处置措施</w:t>
            </w:r>
          </w:p>
          <w:p w14:paraId="26AA1929">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）施工期间产生的废土石不得随意弃置或堆放，建设单位应按照建设部</w:t>
            </w:r>
            <w:r>
              <w:rPr>
                <w:color w:val="000000" w:themeColor="text1"/>
                <w:sz w:val="24"/>
                <w14:textFill>
                  <w14:solidFill>
                    <w14:schemeClr w14:val="tx1"/>
                  </w14:solidFill>
                </w14:textFill>
              </w:rPr>
              <w:t>139</w:t>
            </w:r>
            <w:r>
              <w:rPr>
                <w:rFonts w:hint="eastAsia"/>
                <w:color w:val="000000" w:themeColor="text1"/>
                <w:sz w:val="24"/>
                <w14:textFill>
                  <w14:solidFill>
                    <w14:schemeClr w14:val="tx1"/>
                  </w14:solidFill>
                </w14:textFill>
              </w:rPr>
              <w:t>号令《城市建筑垃圾管理规定》委托具备资质的渣土承运企业将</w:t>
            </w:r>
            <w:r>
              <w:rPr>
                <w:rFonts w:hint="eastAsia" w:hAnsi="新宋体" w:eastAsia="新宋体"/>
                <w:color w:val="000000" w:themeColor="text1"/>
                <w:sz w:val="24"/>
                <w14:textFill>
                  <w14:solidFill>
                    <w14:schemeClr w14:val="tx1"/>
                  </w14:solidFill>
                </w14:textFill>
              </w:rPr>
              <w:t>其</w:t>
            </w:r>
            <w:r>
              <w:rPr>
                <w:rFonts w:hint="eastAsia"/>
                <w:color w:val="000000" w:themeColor="text1"/>
                <w:sz w:val="24"/>
                <w14:textFill>
                  <w14:solidFill>
                    <w14:schemeClr w14:val="tx1"/>
                  </w14:solidFill>
                </w14:textFill>
              </w:rPr>
              <w:t>运输至工程规划布置的1个弃渣场进行堆弃。表土暂存后应全部用于后期的植被恢复覆土。</w:t>
            </w:r>
          </w:p>
          <w:p w14:paraId="0CB55A59">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①出渣必须严格按水土保持方案和后续设计指定的渣场集中堆放，不得随意倾倒；</w:t>
            </w:r>
          </w:p>
          <w:p w14:paraId="31A5C533">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②在弃渣前完成拦挡和排水措施，严格遵照“先拦后弃”的原则，完善拦挡措施和排水设施，防止堆渣过程对渣场下游的影响；</w:t>
            </w:r>
          </w:p>
          <w:p w14:paraId="5FEE3A86">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③弃渣运到渣场指定地点应及时完成摊铺、碾压，对渣体边坡进行修整；</w:t>
            </w:r>
          </w:p>
          <w:p w14:paraId="76D739BF">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④弃土结束后，马上进行覆土和植物恢复措施的施工，避免坡面场面长时间裸露。</w:t>
            </w:r>
          </w:p>
          <w:p w14:paraId="7855FD13">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（2）建筑垃圾在可再生利用部分回收后，不可回收利用的委托有资质单位处置；</w:t>
            </w:r>
            <w:r>
              <w:rPr>
                <w:rFonts w:hint="eastAsia" w:ascii="宋体" w:hAnsi="宋体" w:cs="宋体"/>
                <w:color w:val="000000" w:themeColor="text1"/>
                <w:kern w:val="0"/>
                <w:sz w:val="24"/>
                <w:lang w:bidi="ar"/>
                <w14:textFill>
                  <w14:solidFill>
                    <w14:schemeClr w14:val="tx1"/>
                  </w14:solidFill>
                </w14:textFill>
              </w:rPr>
              <w:t>加强对施工承包商的管理，对施工期间产生的包装袋等建筑垃圾，要求施工单位及时回收，清运。</w:t>
            </w:r>
          </w:p>
          <w:p w14:paraId="13BE868A">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（3）在施工场地设置垃圾收集桶，产生的生活垃圾经收集后运至</w:t>
            </w:r>
            <w:r>
              <w:rPr>
                <w:rFonts w:hint="eastAsia"/>
                <w:color w:val="000000" w:themeColor="text1"/>
                <w:sz w:val="24"/>
                <w14:textFill>
                  <w14:solidFill>
                    <w14:schemeClr w14:val="tx1"/>
                  </w14:solidFill>
                </w14:textFill>
              </w:rPr>
              <w:t>当地</w:t>
            </w:r>
            <w:r>
              <w:rPr>
                <w:color w:val="000000" w:themeColor="text1"/>
                <w:sz w:val="24"/>
                <w14:textFill>
                  <w14:solidFill>
                    <w14:schemeClr w14:val="tx1"/>
                  </w14:solidFill>
                </w14:textFill>
              </w:rPr>
              <w:t>垃圾收集点处置。</w:t>
            </w:r>
          </w:p>
          <w:p w14:paraId="6DEA9240">
            <w:pPr>
              <w:adjustRightInd w:val="0"/>
              <w:snapToGrid w:val="0"/>
              <w:spacing w:line="440" w:lineRule="exact"/>
              <w:ind w:firstLine="480" w:firstLineChars="200"/>
              <w:rPr>
                <w:color w:val="000000" w:themeColor="text1"/>
                <w:kern w:val="24"/>
                <w:sz w:val="24"/>
                <w14:textFill>
                  <w14:solidFill>
                    <w14:schemeClr w14:val="tx1"/>
                  </w14:solidFill>
                </w14:textFill>
              </w:rPr>
            </w:pPr>
            <w:r>
              <w:rPr>
                <w:color w:val="000000" w:themeColor="text1"/>
                <w:sz w:val="24"/>
                <w14:textFill>
                  <w14:solidFill>
                    <w14:schemeClr w14:val="tx1"/>
                  </w14:solidFill>
                </w14:textFill>
              </w:rPr>
              <w:t>（4）旱厕定期委托周围农户定期清掏</w:t>
            </w:r>
            <w:r>
              <w:rPr>
                <w:rFonts w:hint="eastAsia"/>
                <w:color w:val="000000" w:themeColor="text1"/>
                <w:sz w:val="24"/>
                <w14:textFill>
                  <w14:solidFill>
                    <w14:schemeClr w14:val="tx1"/>
                  </w14:solidFill>
                </w14:textFill>
              </w:rPr>
              <w:t>。</w:t>
            </w:r>
          </w:p>
        </w:tc>
      </w:tr>
      <w:tr w14:paraId="7EE79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10" w:type="pct"/>
            <w:tcMar>
              <w:left w:w="28" w:type="dxa"/>
              <w:right w:w="28" w:type="dxa"/>
            </w:tcMar>
            <w:vAlign w:val="center"/>
          </w:tcPr>
          <w:p w14:paraId="1A09E0ED">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 w:val="24"/>
                <w14:textFill>
                  <w14:solidFill>
                    <w14:schemeClr w14:val="tx1"/>
                  </w14:solidFill>
                </w14:textFill>
              </w:rPr>
              <w:t>运营期生态环境保护措施</w:t>
            </w:r>
          </w:p>
        </w:tc>
        <w:tc>
          <w:tcPr>
            <w:tcW w:w="4589" w:type="pct"/>
          </w:tcPr>
          <w:p w14:paraId="6097E059">
            <w:pPr>
              <w:spacing w:line="440" w:lineRule="exact"/>
              <w:ind w:firstLine="482" w:firstLineChars="200"/>
              <w:rPr>
                <w:b/>
                <w:bCs/>
                <w:color w:val="000000" w:themeColor="text1"/>
                <w:sz w:val="24"/>
                <w:szCs w:val="20"/>
                <w14:textFill>
                  <w14:solidFill>
                    <w14:schemeClr w14:val="tx1"/>
                  </w14:solidFill>
                </w14:textFill>
              </w:rPr>
            </w:pPr>
            <w:r>
              <w:rPr>
                <w:rFonts w:hint="eastAsia"/>
                <w:b/>
                <w:bCs/>
                <w:color w:val="000000" w:themeColor="text1"/>
                <w:sz w:val="24"/>
                <w:szCs w:val="20"/>
                <w14:textFill>
                  <w14:solidFill>
                    <w14:schemeClr w14:val="tx1"/>
                  </w14:solidFill>
                </w14:textFill>
              </w:rPr>
              <w:t>1、大气环境污染防治措施</w:t>
            </w:r>
          </w:p>
          <w:p w14:paraId="66F06D63">
            <w:pPr>
              <w:spacing w:line="440" w:lineRule="exact"/>
              <w:ind w:firstLine="480" w:firstLineChars="200"/>
              <w:rPr>
                <w:b/>
                <w:bCs/>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本项目在升压站内建设1座一体化污水处理站，污水站运行过程中会产生少量的恶臭气体，主要为硫化氢、氨及臭气浓度，污水站为一体化设备，整体封闭设计，且废水产生量少，故恶臭气体产生量较少，能够满足《恶臭污染物排放标准》（GB14554-93）表1浓度限值要求。</w:t>
            </w:r>
          </w:p>
          <w:p w14:paraId="5CE36B98">
            <w:pPr>
              <w:spacing w:line="440" w:lineRule="exact"/>
              <w:ind w:firstLine="482" w:firstLineChars="200"/>
              <w:rPr>
                <w:b/>
                <w:bCs/>
                <w:color w:val="000000" w:themeColor="text1"/>
                <w:sz w:val="24"/>
                <w:szCs w:val="20"/>
                <w14:textFill>
                  <w14:solidFill>
                    <w14:schemeClr w14:val="tx1"/>
                  </w14:solidFill>
                </w14:textFill>
              </w:rPr>
            </w:pPr>
            <w:r>
              <w:rPr>
                <w:rFonts w:hint="eastAsia"/>
                <w:b/>
                <w:bCs/>
                <w:color w:val="000000" w:themeColor="text1"/>
                <w:sz w:val="24"/>
                <w:szCs w:val="20"/>
                <w14:textFill>
                  <w14:solidFill>
                    <w14:schemeClr w14:val="tx1"/>
                  </w14:solidFill>
                </w14:textFill>
              </w:rPr>
              <w:t>2、声环境保护措施</w:t>
            </w:r>
          </w:p>
          <w:p w14:paraId="0F61E6B2">
            <w:pPr>
              <w:spacing w:line="44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升压站及光伏场区声环境保护措施</w:t>
            </w:r>
          </w:p>
          <w:p w14:paraId="59016536">
            <w:pPr>
              <w:spacing w:line="44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运行期做好环境保护设施的维护和运行管理，加强巡查和检查，保障发挥环境保护作用，定期开展环境监测，确保噪声达标排放。主要声源设备大修前后，应对变电工程厂界排放噪声和周围声环境敏感目标环境噪声进行监测，监测结果向社会公开。</w:t>
            </w:r>
          </w:p>
          <w:p w14:paraId="3336D26E">
            <w:pPr>
              <w:spacing w:line="440" w:lineRule="exact"/>
              <w:ind w:firstLine="482" w:firstLineChars="200"/>
              <w:rPr>
                <w:b/>
                <w:bCs/>
                <w:color w:val="000000" w:themeColor="text1"/>
                <w:sz w:val="24"/>
                <w:szCs w:val="20"/>
                <w14:textFill>
                  <w14:solidFill>
                    <w14:schemeClr w14:val="tx1"/>
                  </w14:solidFill>
                </w14:textFill>
              </w:rPr>
            </w:pPr>
            <w:r>
              <w:rPr>
                <w:rFonts w:hint="eastAsia"/>
                <w:b/>
                <w:bCs/>
                <w:color w:val="000000" w:themeColor="text1"/>
                <w:sz w:val="24"/>
                <w:szCs w:val="20"/>
                <w14:textFill>
                  <w14:solidFill>
                    <w14:schemeClr w14:val="tx1"/>
                  </w14:solidFill>
                </w14:textFill>
              </w:rPr>
              <w:t>3、水环境保护措施</w:t>
            </w:r>
          </w:p>
          <w:p w14:paraId="7B13E686">
            <w:pPr>
              <w:spacing w:line="44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营运期光伏板冲洗为局部间断性冲洗，冲洗排水无有害物质，按照冲洗排水直接排至光伏板下地面灌溉农作物考虑，不进行收集，职工生活污水经化粪池初步处理后进入生活污水一体化处理设施，处理后合格水用于站区地面冲洗、绿化。</w:t>
            </w:r>
          </w:p>
          <w:p w14:paraId="361B182B">
            <w:pPr>
              <w:spacing w:line="440" w:lineRule="exact"/>
              <w:ind w:firstLine="482" w:firstLineChars="200"/>
              <w:rPr>
                <w:b/>
                <w:bCs/>
                <w:color w:val="000000" w:themeColor="text1"/>
                <w:sz w:val="24"/>
                <w:szCs w:val="20"/>
                <w14:textFill>
                  <w14:solidFill>
                    <w14:schemeClr w14:val="tx1"/>
                  </w14:solidFill>
                </w14:textFill>
              </w:rPr>
            </w:pPr>
            <w:r>
              <w:rPr>
                <w:rFonts w:hint="eastAsia"/>
                <w:b/>
                <w:bCs/>
                <w:color w:val="000000" w:themeColor="text1"/>
                <w:sz w:val="24"/>
                <w:szCs w:val="20"/>
                <w14:textFill>
                  <w14:solidFill>
                    <w14:schemeClr w14:val="tx1"/>
                  </w14:solidFill>
                </w14:textFill>
              </w:rPr>
              <w:t>4、固体废物处置</w:t>
            </w:r>
          </w:p>
          <w:p w14:paraId="591D2215">
            <w:pPr>
              <w:spacing w:line="44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废磷酸铁锂电池定期更换由厂家回收；光伏组件破损产生的废弃物应设置专用收集箱，定期由厂家回收或运至具有相关资质处置单位进行处理。升压站内变压器设置事故油池，事故油</w:t>
            </w:r>
            <w:r>
              <w:rPr>
                <w:rFonts w:hint="eastAsia"/>
                <w:color w:val="000000" w:themeColor="text1"/>
                <w:sz w:val="24"/>
                <w:szCs w:val="20"/>
                <w:lang w:val="en-US" w:eastAsia="zh-CN"/>
                <w14:textFill>
                  <w14:solidFill>
                    <w14:schemeClr w14:val="tx1"/>
                  </w14:solidFill>
                </w14:textFill>
              </w:rPr>
              <w:t>产生后及时</w:t>
            </w:r>
            <w:r>
              <w:rPr>
                <w:rFonts w:hint="eastAsia"/>
                <w:color w:val="000000" w:themeColor="text1"/>
                <w:sz w:val="24"/>
                <w:szCs w:val="20"/>
                <w14:textFill>
                  <w14:solidFill>
                    <w14:schemeClr w14:val="tx1"/>
                  </w14:solidFill>
                </w14:textFill>
              </w:rPr>
              <w:t>交由具有相关资质的单位处置回收，升压站直流电源产生的废旧蓄电池</w:t>
            </w:r>
            <w:r>
              <w:rPr>
                <w:rFonts w:hint="eastAsia"/>
                <w:color w:val="000000" w:themeColor="text1"/>
                <w:sz w:val="24"/>
                <w:szCs w:val="20"/>
                <w:lang w:val="en-US" w:eastAsia="zh-CN"/>
                <w14:textFill>
                  <w14:solidFill>
                    <w14:schemeClr w14:val="tx1"/>
                  </w14:solidFill>
                </w14:textFill>
              </w:rPr>
              <w:t>产生后及时</w:t>
            </w:r>
            <w:r>
              <w:rPr>
                <w:rFonts w:hint="eastAsia"/>
                <w:color w:val="000000" w:themeColor="text1"/>
                <w:sz w:val="24"/>
                <w:szCs w:val="20"/>
                <w14:textFill>
                  <w14:solidFill>
                    <w14:schemeClr w14:val="tx1"/>
                  </w14:solidFill>
                </w14:textFill>
              </w:rPr>
              <w:t>交由厂家或相关资质单位回收。生产人员日常生活垃圾统一收集至站内的垃圾箱，定期</w:t>
            </w:r>
            <w:r>
              <w:rPr>
                <w:rFonts w:hint="eastAsia"/>
                <w:color w:val="000000" w:themeColor="text1"/>
                <w:sz w:val="24"/>
                <w:szCs w:val="20"/>
                <w:lang w:val="en-US" w:eastAsia="zh-CN"/>
                <w14:textFill>
                  <w14:solidFill>
                    <w14:schemeClr w14:val="tx1"/>
                  </w14:solidFill>
                </w14:textFill>
              </w:rPr>
              <w:t>由环卫部门</w:t>
            </w:r>
            <w:r>
              <w:rPr>
                <w:rFonts w:hint="eastAsia"/>
                <w:color w:val="000000" w:themeColor="text1"/>
                <w:sz w:val="24"/>
                <w:szCs w:val="20"/>
                <w14:textFill>
                  <w14:solidFill>
                    <w14:schemeClr w14:val="tx1"/>
                  </w14:solidFill>
                </w14:textFill>
              </w:rPr>
              <w:t>处置。满足《输变电建设项目环境保护技术要求》要求。</w:t>
            </w:r>
          </w:p>
          <w:p w14:paraId="7DFC472D">
            <w:pPr>
              <w:spacing w:line="440" w:lineRule="exact"/>
              <w:ind w:firstLine="482" w:firstLineChars="200"/>
              <w:rPr>
                <w:b/>
                <w:bCs/>
                <w:color w:val="000000" w:themeColor="text1"/>
                <w:sz w:val="24"/>
                <w:szCs w:val="20"/>
                <w14:textFill>
                  <w14:solidFill>
                    <w14:schemeClr w14:val="tx1"/>
                  </w14:solidFill>
                </w14:textFill>
              </w:rPr>
            </w:pPr>
            <w:r>
              <w:rPr>
                <w:rFonts w:hint="eastAsia"/>
                <w:b/>
                <w:bCs/>
                <w:color w:val="000000" w:themeColor="text1"/>
                <w:sz w:val="24"/>
                <w:szCs w:val="20"/>
                <w14:textFill>
                  <w14:solidFill>
                    <w14:schemeClr w14:val="tx1"/>
                  </w14:solidFill>
                </w14:textFill>
              </w:rPr>
              <w:t>5、环境风险防范措施</w:t>
            </w:r>
          </w:p>
          <w:p w14:paraId="2C63B4F6">
            <w:pPr>
              <w:spacing w:line="44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工程在运营过程中可能引发的环境风险事故隐患主要是变压器油外泄。变电站内设置事故油池。变电站在事故状态下，变压器油外漏进入事故油池内，然后由有资质的单位处置。建设单位采取以下保护措施：</w:t>
            </w:r>
          </w:p>
          <w:p w14:paraId="05B4C7D9">
            <w:pPr>
              <w:spacing w:line="440" w:lineRule="exact"/>
              <w:ind w:firstLine="480"/>
              <w:rPr>
                <w:color w:val="000000" w:themeColor="text1"/>
                <w:sz w:val="24"/>
                <w14:textFill>
                  <w14:solidFill>
                    <w14:schemeClr w14:val="tx1"/>
                  </w14:solidFill>
                </w14:textFill>
              </w:rPr>
            </w:pPr>
            <w:r>
              <w:rPr>
                <w:rFonts w:hint="eastAsia"/>
                <w:color w:val="000000" w:themeColor="text1"/>
                <w:sz w:val="24"/>
                <w:szCs w:val="20"/>
                <w14:textFill>
                  <w14:solidFill>
                    <w14:schemeClr w14:val="tx1"/>
                  </w14:solidFill>
                </w14:textFill>
              </w:rPr>
              <w:t>①运</w:t>
            </w:r>
            <w:r>
              <w:rPr>
                <w:rFonts w:hint="eastAsia"/>
                <w:color w:val="000000" w:themeColor="text1"/>
                <w:sz w:val="24"/>
                <w14:textFill>
                  <w14:solidFill>
                    <w14:schemeClr w14:val="tx1"/>
                  </w14:solidFill>
                </w14:textFill>
              </w:rPr>
              <w:t>行期对事故油池的完好情况进行检查，确保无渗漏、无溢流；</w:t>
            </w:r>
          </w:p>
          <w:p w14:paraId="595C66F1">
            <w:pPr>
              <w:spacing w:line="44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②废变压器油和废铅酸蓄电池作为危险废物交由有资质的单位处理，严禁随意丢弃；</w:t>
            </w:r>
          </w:p>
          <w:p w14:paraId="329C8DA2">
            <w:pPr>
              <w:spacing w:line="44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③按照《建设项目环境风险评价技术导则》（HJ169-2018）等国家有关规定制定突发环境事件应急预案，并定期演练；</w:t>
            </w:r>
          </w:p>
          <w:p w14:paraId="69A74BDC">
            <w:pPr>
              <w:spacing w:line="44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④变电工程设置足够容量的事故油池及其配套的拦截、防雨、防渗等措施和设施。</w:t>
            </w:r>
          </w:p>
          <w:p w14:paraId="43FAF2F3">
            <w:pPr>
              <w:spacing w:line="44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⑤主变压器底部设有贮油坑，容积为主变压器油量的20﹪，贮油坑的四周设挡油坎，高出地面100mm。坑内铺设厚度为250mm的卵石，卵石粒径为50--80mm，坑底设有排油管，能将事故油及消防废水排至事故油池中，事故油池按照储油池和储水池双格设置，储油池容积按主变油量100%设置。平时雨水进入事故油池的储水池内，并由排水泵升压排至站外。</w:t>
            </w:r>
          </w:p>
          <w:p w14:paraId="541A21C3">
            <w:pPr>
              <w:spacing w:line="440" w:lineRule="exact"/>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⑥光伏厂区内箱式变压器基础型式为混凝土箱形结构，采用天然基础，基础埋深拟为-1.8m，基础采用C30钢筋混凝土现浇。垫层为C20素混凝土；箱变基础外圈增设储油池。</w:t>
            </w:r>
          </w:p>
          <w:p w14:paraId="03A40AAF">
            <w:pPr>
              <w:adjustRightInd w:val="0"/>
              <w:snapToGrid w:val="0"/>
              <w:spacing w:line="44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w:t>
            </w:r>
            <w:r>
              <w:rPr>
                <w:b/>
                <w:bCs/>
                <w:color w:val="000000" w:themeColor="text1"/>
                <w:sz w:val="24"/>
                <w14:textFill>
                  <w14:solidFill>
                    <w14:schemeClr w14:val="tx1"/>
                  </w14:solidFill>
                </w14:textFill>
              </w:rPr>
              <w:t>、环境管理和监测计划</w:t>
            </w:r>
          </w:p>
          <w:p w14:paraId="02F2CAA1">
            <w:pPr>
              <w:adjustRightInd w:val="0"/>
              <w:snapToGrid w:val="0"/>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（1）环境管理</w:t>
            </w:r>
          </w:p>
          <w:p w14:paraId="7F9DB807">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运行期做好环境保护设施的维护和运行管理，加强巡查和检查，保障发挥环境保护作用。定期开展环境监测，确保噪声排放符合《工业企业厂界环境噪声排放标准》（GB12348-2008）等国家标准要求，并及时解决公众合理的环境保护诉求。</w:t>
            </w:r>
          </w:p>
          <w:p w14:paraId="7D60505F">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主要声源设备大修前后，应对厂界排放噪声环境噪声进行监测，并将监测结果向社会公开。</w:t>
            </w:r>
          </w:p>
          <w:p w14:paraId="0FEE42A2">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color w:val="000000" w:themeColor="text1"/>
                <w:sz w:val="24"/>
                <w14:textFill>
                  <w14:solidFill>
                    <w14:schemeClr w14:val="tx1"/>
                  </w14:solidFill>
                </w14:textFill>
              </w:rPr>
              <w:t>运行期应对事故油池的完好情况进行检查，确保无渗漏、无溢流。</w:t>
            </w:r>
          </w:p>
          <w:p w14:paraId="0874DBC8">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color w:val="000000" w:themeColor="text1"/>
                <w:sz w:val="24"/>
                <w14:textFill>
                  <w14:solidFill>
                    <w14:schemeClr w14:val="tx1"/>
                  </w14:solidFill>
                </w14:textFill>
              </w:rPr>
              <w:t>升压站运行过程中产生的废变压器油应进行回收处理。废变压器油和废铅蓄电池作为危险废物应交由有资质的单位回收处理，严禁随意丢弃。</w:t>
            </w:r>
          </w:p>
          <w:p w14:paraId="0472E82D">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color w:val="000000" w:themeColor="text1"/>
                <w:sz w:val="24"/>
                <w14:textFill>
                  <w14:solidFill>
                    <w14:schemeClr w14:val="tx1"/>
                  </w14:solidFill>
                </w14:textFill>
              </w:rPr>
              <w:t>针对升压站站内可能发生的突发环境事件，应按照《建设项目环境风险评价技术导则》（HJ169-2018）等国家有关规定制定突发环境事件应急预案并定期演练。</w:t>
            </w:r>
          </w:p>
          <w:p w14:paraId="7FA2267B">
            <w:pPr>
              <w:adjustRightInd w:val="0"/>
              <w:snapToGrid w:val="0"/>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（2）监测计划</w:t>
            </w:r>
          </w:p>
          <w:p w14:paraId="6E763061">
            <w:pPr>
              <w:adjustRightInd w:val="0"/>
              <w:snapToGrid w:val="0"/>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依据《环境影响评价技术导则  输变电》</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HJ24-2020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，制定项目监测计划，具体内容见表5-1。</w:t>
            </w:r>
          </w:p>
          <w:p w14:paraId="042300F5">
            <w:pPr>
              <w:adjustRightInd w:val="0"/>
              <w:snapToGrid w:val="0"/>
              <w:spacing w:line="440" w:lineRule="exact"/>
              <w:ind w:firstLine="482" w:firstLineChars="200"/>
              <w:rPr>
                <w:b/>
                <w:bCs/>
                <w:color w:val="000000" w:themeColor="text1"/>
                <w:sz w:val="24"/>
                <w:szCs w:val="22"/>
                <w14:textFill>
                  <w14:solidFill>
                    <w14:schemeClr w14:val="tx1"/>
                  </w14:solidFill>
                </w14:textFill>
              </w:rPr>
            </w:pPr>
            <w:r>
              <w:rPr>
                <w:b/>
                <w:bCs/>
                <w:color w:val="000000" w:themeColor="text1"/>
                <w:sz w:val="24"/>
                <w14:textFill>
                  <w14:solidFill>
                    <w14:schemeClr w14:val="tx1"/>
                  </w14:solidFill>
                </w14:textFill>
              </w:rPr>
              <w:t>表5-1   环境监测计划一览表</w:t>
            </w:r>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28"/>
              <w:gridCol w:w="991"/>
              <w:gridCol w:w="2371"/>
              <w:gridCol w:w="1439"/>
              <w:gridCol w:w="2511"/>
            </w:tblGrid>
            <w:tr w14:paraId="3F1D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3" w:type="pct"/>
                  <w:vAlign w:val="center"/>
                </w:tcPr>
                <w:p w14:paraId="52EDF1B3">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类别</w:t>
                  </w:r>
                </w:p>
              </w:tc>
              <w:tc>
                <w:tcPr>
                  <w:tcW w:w="601" w:type="pct"/>
                  <w:vAlign w:val="center"/>
                </w:tcPr>
                <w:p w14:paraId="0E998BE5">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环境要素</w:t>
                  </w:r>
                </w:p>
              </w:tc>
              <w:tc>
                <w:tcPr>
                  <w:tcW w:w="1438" w:type="pct"/>
                  <w:vAlign w:val="center"/>
                </w:tcPr>
                <w:p w14:paraId="370D521D">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监测因子</w:t>
                  </w:r>
                </w:p>
              </w:tc>
              <w:tc>
                <w:tcPr>
                  <w:tcW w:w="873" w:type="pct"/>
                  <w:vAlign w:val="center"/>
                </w:tcPr>
                <w:p w14:paraId="41EEB1AE">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w:t>
                  </w:r>
                </w:p>
              </w:tc>
              <w:tc>
                <w:tcPr>
                  <w:tcW w:w="1523" w:type="pct"/>
                  <w:vAlign w:val="center"/>
                </w:tcPr>
                <w:p w14:paraId="3421C9F1">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监测频次</w:t>
                  </w:r>
                </w:p>
              </w:tc>
            </w:tr>
            <w:tr w14:paraId="24DE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3" w:type="pct"/>
                  <w:vMerge w:val="restart"/>
                  <w:vAlign w:val="center"/>
                </w:tcPr>
                <w:p w14:paraId="01B5AF43">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升压站/光伏场区</w:t>
                  </w:r>
                </w:p>
              </w:tc>
              <w:tc>
                <w:tcPr>
                  <w:tcW w:w="601" w:type="pct"/>
                  <w:vAlign w:val="center"/>
                </w:tcPr>
                <w:p w14:paraId="58E07F62">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438" w:type="pct"/>
                  <w:vAlign w:val="center"/>
                </w:tcPr>
                <w:p w14:paraId="57589535">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等效连续A声级</w:t>
                  </w:r>
                </w:p>
              </w:tc>
              <w:tc>
                <w:tcPr>
                  <w:tcW w:w="873" w:type="pct"/>
                  <w:vAlign w:val="center"/>
                </w:tcPr>
                <w:p w14:paraId="62E78377">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升压站厂界四周各设1处监测点</w:t>
                  </w:r>
                </w:p>
              </w:tc>
              <w:tc>
                <w:tcPr>
                  <w:tcW w:w="1523" w:type="pct"/>
                  <w:vAlign w:val="center"/>
                </w:tcPr>
                <w:p w14:paraId="0FA4407E">
                  <w:pPr>
                    <w:adjustRightInd w:val="0"/>
                    <w:snapToGrid w:val="0"/>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 xml:space="preserve">正常情况：验收监测一次 </w:t>
                  </w:r>
                </w:p>
                <w:p w14:paraId="41235158">
                  <w:pPr>
                    <w:adjustRightInd w:val="0"/>
                    <w:snapToGrid w:val="0"/>
                    <w:spacing w:line="360" w:lineRule="exact"/>
                    <w:rPr>
                      <w:color w:val="000000" w:themeColor="text1"/>
                      <w:szCs w:val="21"/>
                      <w14:textFill>
                        <w14:solidFill>
                          <w14:schemeClr w14:val="tx1"/>
                        </w14:solidFill>
                      </w14:textFill>
                    </w:rPr>
                  </w:pPr>
                  <w:r>
                    <w:rPr>
                      <w:color w:val="000000" w:themeColor="text1"/>
                      <w14:textFill>
                        <w14:solidFill>
                          <w14:schemeClr w14:val="tx1"/>
                        </w14:solidFill>
                      </w14:textFill>
                    </w:rPr>
                    <w:t>特殊情况：突发环境事件时进行监测</w:t>
                  </w:r>
                </w:p>
              </w:tc>
            </w:tr>
            <w:tr w14:paraId="0C63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3" w:type="pct"/>
                  <w:vMerge w:val="continue"/>
                  <w:vAlign w:val="center"/>
                </w:tcPr>
                <w:p w14:paraId="25767241">
                  <w:pPr>
                    <w:adjustRightInd w:val="0"/>
                    <w:snapToGrid w:val="0"/>
                    <w:spacing w:line="360" w:lineRule="exact"/>
                    <w:jc w:val="center"/>
                    <w:rPr>
                      <w:color w:val="000000" w:themeColor="text1"/>
                      <w:szCs w:val="21"/>
                      <w14:textFill>
                        <w14:solidFill>
                          <w14:schemeClr w14:val="tx1"/>
                        </w14:solidFill>
                      </w14:textFill>
                    </w:rPr>
                  </w:pPr>
                </w:p>
              </w:tc>
              <w:tc>
                <w:tcPr>
                  <w:tcW w:w="601" w:type="pct"/>
                  <w:vAlign w:val="center"/>
                </w:tcPr>
                <w:p w14:paraId="1698A7C0">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生态环境</w:t>
                  </w:r>
                </w:p>
              </w:tc>
              <w:tc>
                <w:tcPr>
                  <w:tcW w:w="1438" w:type="pct"/>
                  <w:vAlign w:val="center"/>
                </w:tcPr>
                <w:p w14:paraId="315188E6">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植被种类及结构组成、野生动物种类，生态连通度、植被覆盖度、生物多样性、主导生态功能</w:t>
                  </w:r>
                </w:p>
              </w:tc>
              <w:tc>
                <w:tcPr>
                  <w:tcW w:w="873" w:type="pct"/>
                  <w:vAlign w:val="center"/>
                </w:tcPr>
                <w:p w14:paraId="376F6421">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施工期临时道路和施工厂区占地</w:t>
                  </w:r>
                  <w:r>
                    <w:rPr>
                      <w:rFonts w:hint="eastAsia"/>
                      <w:color w:val="000000" w:themeColor="text1"/>
                      <w:szCs w:val="21"/>
                      <w14:textFill>
                        <w14:solidFill>
                          <w14:schemeClr w14:val="tx1"/>
                        </w14:solidFill>
                      </w14:textFill>
                    </w:rPr>
                    <w:t>等临时占地区</w:t>
                  </w:r>
                </w:p>
              </w:tc>
              <w:tc>
                <w:tcPr>
                  <w:tcW w:w="1523" w:type="pct"/>
                  <w:vAlign w:val="center"/>
                </w:tcPr>
                <w:p w14:paraId="77E1FF71">
                  <w:pPr>
                    <w:adjustRightInd w:val="0"/>
                    <w:snapToGrid w:val="0"/>
                    <w:spacing w:line="360" w:lineRule="exact"/>
                    <w:rPr>
                      <w:color w:val="000000" w:themeColor="text1"/>
                      <w14:textFill>
                        <w14:solidFill>
                          <w14:schemeClr w14:val="tx1"/>
                        </w14:solidFill>
                      </w14:textFill>
                    </w:rPr>
                  </w:pPr>
                  <w:r>
                    <w:rPr>
                      <w:color w:val="000000" w:themeColor="text1"/>
                      <w:szCs w:val="21"/>
                      <w14:textFill>
                        <w14:solidFill>
                          <w14:schemeClr w14:val="tx1"/>
                        </w14:solidFill>
                      </w14:textFill>
                    </w:rPr>
                    <w:t>生态恢复治理完成后监测一次</w:t>
                  </w:r>
                </w:p>
              </w:tc>
            </w:tr>
          </w:tbl>
          <w:p w14:paraId="7BD1FB6C">
            <w:pPr>
              <w:pStyle w:val="46"/>
              <w:rPr>
                <w:bCs/>
                <w:color w:val="000000" w:themeColor="text1"/>
                <w:spacing w:val="10"/>
                <w:szCs w:val="21"/>
                <w14:textFill>
                  <w14:solidFill>
                    <w14:schemeClr w14:val="tx1"/>
                  </w14:solidFill>
                </w14:textFill>
              </w:rPr>
            </w:pPr>
          </w:p>
        </w:tc>
      </w:tr>
      <w:tr w14:paraId="31647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10" w:type="pct"/>
            <w:vAlign w:val="center"/>
          </w:tcPr>
          <w:p w14:paraId="4B80919E">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 w:val="24"/>
                <w14:textFill>
                  <w14:solidFill>
                    <w14:schemeClr w14:val="tx1"/>
                  </w14:solidFill>
                </w14:textFill>
              </w:rPr>
              <w:t>服务期满后</w:t>
            </w:r>
            <w:r>
              <w:rPr>
                <w:bCs/>
                <w:color w:val="000000" w:themeColor="text1"/>
                <w:spacing w:val="10"/>
                <w:sz w:val="24"/>
                <w14:textFill>
                  <w14:solidFill>
                    <w14:schemeClr w14:val="tx1"/>
                  </w14:solidFill>
                </w14:textFill>
              </w:rPr>
              <w:t>生态环境保护措施</w:t>
            </w:r>
          </w:p>
        </w:tc>
        <w:tc>
          <w:tcPr>
            <w:tcW w:w="4589" w:type="pct"/>
            <w:vAlign w:val="center"/>
          </w:tcPr>
          <w:p w14:paraId="49E88668">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光伏区运行期25年左右。服务期满后，应集中对电站内废旧的光伏组件进行妥善处置，届时按照国家的相关政策法规，对上述固废采取专门的回收单位回收利用不得随意丢弃。拆除过程中，应科学设计，严格管理。按照国家各项施工规范和条例进行施工，并教育施工人员明确施工注意事项，文明施工，保证拆除施工质量。</w:t>
            </w:r>
          </w:p>
          <w:p w14:paraId="5A799C59">
            <w:pPr>
              <w:adjustRightInd w:val="0"/>
              <w:snapToGrid w:val="0"/>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（1）拆除施工时，施工单位应合理安排施工时间，禁止夜间施工，并禁止车辆及施工机械高音喇叭鸣叫，尽可能降低声环境影响。</w:t>
            </w:r>
          </w:p>
          <w:p w14:paraId="2C947EF6">
            <w:pPr>
              <w:adjustRightInd w:val="0"/>
              <w:snapToGrid w:val="0"/>
              <w:spacing w:line="440" w:lineRule="exact"/>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（2）施工过程中，由于当地天气干燥多风，且风速大，对施工作业面应适时洒水，增加湿度，抑制扬尘飘逸。另外施工时要避开大风、尘暴等不利气象条件，尽可能降低或避免对当地的扬尘污染。</w:t>
            </w:r>
          </w:p>
        </w:tc>
      </w:tr>
      <w:tr w14:paraId="5F3853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1" w:hRule="atLeast"/>
          <w:jc w:val="center"/>
        </w:trPr>
        <w:tc>
          <w:tcPr>
            <w:tcW w:w="410" w:type="pct"/>
            <w:vAlign w:val="center"/>
          </w:tcPr>
          <w:p w14:paraId="6890C769">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环保投资</w:t>
            </w:r>
          </w:p>
        </w:tc>
        <w:tc>
          <w:tcPr>
            <w:tcW w:w="4589" w:type="pct"/>
            <w:vAlign w:val="center"/>
          </w:tcPr>
          <w:p w14:paraId="69F05777">
            <w:pPr>
              <w:snapToGrid w:val="0"/>
              <w:spacing w:line="440" w:lineRule="exact"/>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w:t>
            </w:r>
            <w:r>
              <w:rPr>
                <w:bCs/>
                <w:color w:val="000000" w:themeColor="text1"/>
                <w:sz w:val="24"/>
                <w14:textFill>
                  <w14:solidFill>
                    <w14:schemeClr w14:val="tx1"/>
                  </w14:solidFill>
                </w14:textFill>
              </w:rPr>
              <w:t>总投资</w:t>
            </w:r>
            <w:r>
              <w:rPr>
                <w:rFonts w:hint="eastAsia"/>
                <w:bCs/>
                <w:color w:val="000000" w:themeColor="text1"/>
                <w:sz w:val="24"/>
                <w14:textFill>
                  <w14:solidFill>
                    <w14:schemeClr w14:val="tx1"/>
                  </w14:solidFill>
                </w14:textFill>
              </w:rPr>
              <w:t>69287万元，其中环保投资798万元，占总投资的1.15%</w:t>
            </w:r>
            <w:r>
              <w:rPr>
                <w:bCs/>
                <w:color w:val="000000" w:themeColor="text1"/>
                <w:sz w:val="24"/>
                <w14:textFill>
                  <w14:solidFill>
                    <w14:schemeClr w14:val="tx1"/>
                  </w14:solidFill>
                </w14:textFill>
              </w:rPr>
              <w:t>，环保投资估算情况见表5-2。</w:t>
            </w:r>
          </w:p>
          <w:p w14:paraId="274467D3">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表5-</w:t>
            </w: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 xml:space="preserve">  </w:t>
            </w:r>
            <w:r>
              <w:rPr>
                <w:rFonts w:hint="eastAsia"/>
                <w:b/>
                <w:color w:val="000000" w:themeColor="text1"/>
                <w:sz w:val="24"/>
                <w14:textFill>
                  <w14:solidFill>
                    <w14:schemeClr w14:val="tx1"/>
                  </w14:solidFill>
                </w14:textFill>
              </w:rPr>
              <w:t xml:space="preserve"> </w:t>
            </w:r>
            <w:r>
              <w:rPr>
                <w:b/>
                <w:color w:val="000000" w:themeColor="text1"/>
                <w:sz w:val="24"/>
                <w14:textFill>
                  <w14:solidFill>
                    <w14:schemeClr w14:val="tx1"/>
                  </w14:solidFill>
                </w14:textFill>
              </w:rPr>
              <w:t xml:space="preserve"> 建设项目环保投资分项估算情况</w:t>
            </w:r>
          </w:p>
          <w:tbl>
            <w:tblPr>
              <w:tblStyle w:val="6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964"/>
              <w:gridCol w:w="4312"/>
              <w:gridCol w:w="2050"/>
            </w:tblGrid>
            <w:tr w14:paraId="2A1C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38" w:type="pct"/>
                  <w:gridSpan w:val="2"/>
                  <w:tcBorders>
                    <w:top w:val="single" w:color="auto" w:sz="4" w:space="0"/>
                    <w:left w:val="single" w:color="auto" w:sz="4" w:space="0"/>
                    <w:bottom w:val="single" w:color="auto" w:sz="4" w:space="0"/>
                    <w:right w:val="single" w:color="auto" w:sz="4" w:space="0"/>
                  </w:tcBorders>
                  <w:vAlign w:val="center"/>
                </w:tcPr>
                <w:p w14:paraId="11632862">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防治对象</w:t>
                  </w:r>
                </w:p>
              </w:tc>
              <w:tc>
                <w:tcPr>
                  <w:tcW w:w="2617" w:type="pct"/>
                  <w:tcBorders>
                    <w:top w:val="single" w:color="auto" w:sz="4" w:space="0"/>
                    <w:left w:val="single" w:color="auto" w:sz="4" w:space="0"/>
                    <w:bottom w:val="single" w:color="auto" w:sz="4" w:space="0"/>
                    <w:right w:val="single" w:color="auto" w:sz="4" w:space="0"/>
                  </w:tcBorders>
                  <w:vAlign w:val="center"/>
                </w:tcPr>
                <w:p w14:paraId="1E547DC7">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投资内容</w:t>
                  </w:r>
                </w:p>
              </w:tc>
              <w:tc>
                <w:tcPr>
                  <w:tcW w:w="1244" w:type="pct"/>
                  <w:tcBorders>
                    <w:top w:val="single" w:color="auto" w:sz="4" w:space="0"/>
                    <w:left w:val="single" w:color="auto" w:sz="4" w:space="0"/>
                    <w:bottom w:val="single" w:color="auto" w:sz="4" w:space="0"/>
                    <w:right w:val="single" w:color="auto" w:sz="4" w:space="0"/>
                  </w:tcBorders>
                  <w:vAlign w:val="center"/>
                </w:tcPr>
                <w:p w14:paraId="53B39F59">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费用</w:t>
                  </w:r>
                  <w:r>
                    <w:rPr>
                      <w:color w:val="000000" w:themeColor="text1"/>
                      <w:szCs w:val="21"/>
                      <w14:textFill>
                        <w14:solidFill>
                          <w14:schemeClr w14:val="tx1"/>
                        </w14:solidFill>
                      </w14:textFill>
                    </w:rPr>
                    <w:t>合计（万元）</w:t>
                  </w:r>
                </w:p>
              </w:tc>
            </w:tr>
            <w:tr w14:paraId="4316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3" w:type="pct"/>
                  <w:vMerge w:val="restart"/>
                  <w:tcBorders>
                    <w:top w:val="single" w:color="auto" w:sz="4" w:space="0"/>
                    <w:left w:val="single" w:color="auto" w:sz="4" w:space="0"/>
                    <w:right w:val="single" w:color="auto" w:sz="4" w:space="0"/>
                  </w:tcBorders>
                  <w:vAlign w:val="center"/>
                </w:tcPr>
                <w:p w14:paraId="40463353">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w:t>
                  </w:r>
                </w:p>
                <w:p w14:paraId="7922E9F7">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w:t>
                  </w:r>
                </w:p>
                <w:p w14:paraId="6428A7E2">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期</w:t>
                  </w:r>
                </w:p>
              </w:tc>
              <w:tc>
                <w:tcPr>
                  <w:tcW w:w="584" w:type="pct"/>
                  <w:tcBorders>
                    <w:top w:val="single" w:color="auto" w:sz="4" w:space="0"/>
                    <w:left w:val="single" w:color="auto" w:sz="4" w:space="0"/>
                    <w:bottom w:val="single" w:color="auto" w:sz="4" w:space="0"/>
                    <w:right w:val="single" w:color="auto" w:sz="4" w:space="0"/>
                  </w:tcBorders>
                  <w:vAlign w:val="center"/>
                </w:tcPr>
                <w:p w14:paraId="7ABA873E">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tc>
              <w:tc>
                <w:tcPr>
                  <w:tcW w:w="2617" w:type="pct"/>
                  <w:tcBorders>
                    <w:top w:val="single" w:color="auto" w:sz="4" w:space="0"/>
                    <w:left w:val="single" w:color="auto" w:sz="4" w:space="0"/>
                    <w:bottom w:val="single" w:color="auto" w:sz="4" w:space="0"/>
                    <w:right w:val="single" w:color="auto" w:sz="4" w:space="0"/>
                  </w:tcBorders>
                  <w:vAlign w:val="center"/>
                </w:tcPr>
                <w:p w14:paraId="563241C7">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洒水抑尘、覆盖防尘篷布等</w:t>
                  </w:r>
                </w:p>
              </w:tc>
              <w:tc>
                <w:tcPr>
                  <w:tcW w:w="1244" w:type="pct"/>
                  <w:tcBorders>
                    <w:top w:val="single" w:color="auto" w:sz="4" w:space="0"/>
                    <w:left w:val="single" w:color="auto" w:sz="4" w:space="0"/>
                    <w:right w:val="single" w:color="auto" w:sz="4" w:space="0"/>
                  </w:tcBorders>
                  <w:vAlign w:val="center"/>
                </w:tcPr>
                <w:p w14:paraId="3C059F8D">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r>
            <w:tr w14:paraId="74A4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3" w:type="pct"/>
                  <w:vMerge w:val="continue"/>
                  <w:tcBorders>
                    <w:left w:val="single" w:color="auto" w:sz="4" w:space="0"/>
                    <w:right w:val="single" w:color="auto" w:sz="4" w:space="0"/>
                  </w:tcBorders>
                  <w:vAlign w:val="center"/>
                </w:tcPr>
                <w:p w14:paraId="11B7964E">
                  <w:pPr>
                    <w:adjustRightInd w:val="0"/>
                    <w:snapToGrid w:val="0"/>
                    <w:spacing w:line="360" w:lineRule="exact"/>
                    <w:jc w:val="center"/>
                    <w:rPr>
                      <w:color w:val="000000" w:themeColor="text1"/>
                      <w:szCs w:val="21"/>
                      <w14:textFill>
                        <w14:solidFill>
                          <w14:schemeClr w14:val="tx1"/>
                        </w14:solidFill>
                      </w14:textFill>
                    </w:rPr>
                  </w:pPr>
                </w:p>
              </w:tc>
              <w:tc>
                <w:tcPr>
                  <w:tcW w:w="584" w:type="pct"/>
                  <w:tcBorders>
                    <w:top w:val="single" w:color="auto" w:sz="4" w:space="0"/>
                    <w:left w:val="single" w:color="auto" w:sz="4" w:space="0"/>
                    <w:bottom w:val="single" w:color="auto" w:sz="4" w:space="0"/>
                    <w:right w:val="single" w:color="auto" w:sz="4" w:space="0"/>
                  </w:tcBorders>
                  <w:vAlign w:val="center"/>
                </w:tcPr>
                <w:p w14:paraId="483794C2">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2617" w:type="pct"/>
                  <w:tcBorders>
                    <w:top w:val="single" w:color="auto" w:sz="4" w:space="0"/>
                    <w:left w:val="single" w:color="auto" w:sz="4" w:space="0"/>
                    <w:bottom w:val="single" w:color="auto" w:sz="4" w:space="0"/>
                    <w:right w:val="single" w:color="auto" w:sz="4" w:space="0"/>
                  </w:tcBorders>
                  <w:vAlign w:val="center"/>
                </w:tcPr>
                <w:p w14:paraId="5B1B2B26">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设备冲洗废水</w:t>
                  </w:r>
                  <w:r>
                    <w:rPr>
                      <w:color w:val="000000" w:themeColor="text1"/>
                      <w:szCs w:val="21"/>
                      <w14:textFill>
                        <w14:solidFill>
                          <w14:schemeClr w14:val="tx1"/>
                        </w14:solidFill>
                      </w14:textFill>
                    </w:rPr>
                    <w:t>经沉淀池沉淀处理后回用于施工降尘</w:t>
                  </w:r>
                </w:p>
              </w:tc>
              <w:tc>
                <w:tcPr>
                  <w:tcW w:w="1244" w:type="pct"/>
                  <w:tcBorders>
                    <w:left w:val="single" w:color="auto" w:sz="4" w:space="0"/>
                    <w:right w:val="single" w:color="auto" w:sz="4" w:space="0"/>
                  </w:tcBorders>
                  <w:vAlign w:val="center"/>
                </w:tcPr>
                <w:p w14:paraId="7DD62209">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r>
            <w:tr w14:paraId="1D6D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3" w:type="pct"/>
                  <w:vMerge w:val="continue"/>
                  <w:tcBorders>
                    <w:left w:val="single" w:color="auto" w:sz="4" w:space="0"/>
                    <w:right w:val="single" w:color="auto" w:sz="4" w:space="0"/>
                  </w:tcBorders>
                  <w:vAlign w:val="center"/>
                </w:tcPr>
                <w:p w14:paraId="1780FE79">
                  <w:pPr>
                    <w:adjustRightInd w:val="0"/>
                    <w:snapToGrid w:val="0"/>
                    <w:spacing w:line="360" w:lineRule="exact"/>
                    <w:jc w:val="center"/>
                    <w:rPr>
                      <w:color w:val="000000" w:themeColor="text1"/>
                      <w:szCs w:val="21"/>
                      <w14:textFill>
                        <w14:solidFill>
                          <w14:schemeClr w14:val="tx1"/>
                        </w14:solidFill>
                      </w14:textFill>
                    </w:rPr>
                  </w:pPr>
                </w:p>
              </w:tc>
              <w:tc>
                <w:tcPr>
                  <w:tcW w:w="584" w:type="pct"/>
                  <w:tcBorders>
                    <w:top w:val="single" w:color="auto" w:sz="4" w:space="0"/>
                    <w:left w:val="single" w:color="auto" w:sz="4" w:space="0"/>
                    <w:right w:val="single" w:color="auto" w:sz="4" w:space="0"/>
                  </w:tcBorders>
                  <w:vAlign w:val="center"/>
                </w:tcPr>
                <w:p w14:paraId="62E53FF1">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2617" w:type="pct"/>
                  <w:tcBorders>
                    <w:top w:val="single" w:color="auto" w:sz="4" w:space="0"/>
                    <w:left w:val="single" w:color="auto" w:sz="4" w:space="0"/>
                    <w:bottom w:val="single" w:color="auto" w:sz="4" w:space="0"/>
                    <w:right w:val="single" w:color="auto" w:sz="4" w:space="0"/>
                  </w:tcBorders>
                  <w:vAlign w:val="center"/>
                </w:tcPr>
                <w:p w14:paraId="0E56034D">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选用低噪声设备；设备隔声减振、消声；加强车辆维修保养；设置临时围挡</w:t>
                  </w:r>
                </w:p>
              </w:tc>
              <w:tc>
                <w:tcPr>
                  <w:tcW w:w="1244" w:type="pct"/>
                  <w:tcBorders>
                    <w:left w:val="single" w:color="auto" w:sz="4" w:space="0"/>
                    <w:right w:val="single" w:color="auto" w:sz="4" w:space="0"/>
                  </w:tcBorders>
                  <w:vAlign w:val="center"/>
                </w:tcPr>
                <w:p w14:paraId="173F1793">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r>
            <w:tr w14:paraId="5485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3" w:type="pct"/>
                  <w:vMerge w:val="continue"/>
                  <w:tcBorders>
                    <w:left w:val="single" w:color="auto" w:sz="4" w:space="0"/>
                    <w:right w:val="single" w:color="auto" w:sz="4" w:space="0"/>
                  </w:tcBorders>
                  <w:vAlign w:val="center"/>
                </w:tcPr>
                <w:p w14:paraId="005AE859">
                  <w:pPr>
                    <w:adjustRightInd w:val="0"/>
                    <w:snapToGrid w:val="0"/>
                    <w:spacing w:line="360" w:lineRule="exact"/>
                    <w:jc w:val="center"/>
                    <w:rPr>
                      <w:color w:val="000000" w:themeColor="text1"/>
                      <w:szCs w:val="21"/>
                      <w14:textFill>
                        <w14:solidFill>
                          <w14:schemeClr w14:val="tx1"/>
                        </w14:solidFill>
                      </w14:textFill>
                    </w:rPr>
                  </w:pPr>
                </w:p>
              </w:tc>
              <w:tc>
                <w:tcPr>
                  <w:tcW w:w="584" w:type="pct"/>
                  <w:tcBorders>
                    <w:left w:val="single" w:color="auto" w:sz="4" w:space="0"/>
                    <w:right w:val="single" w:color="auto" w:sz="4" w:space="0"/>
                  </w:tcBorders>
                  <w:vAlign w:val="center"/>
                </w:tcPr>
                <w:p w14:paraId="241CFEDC">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p>
              </w:tc>
              <w:tc>
                <w:tcPr>
                  <w:tcW w:w="2617" w:type="pct"/>
                  <w:tcBorders>
                    <w:top w:val="single" w:color="auto" w:sz="4" w:space="0"/>
                    <w:left w:val="single" w:color="auto" w:sz="4" w:space="0"/>
                    <w:bottom w:val="single" w:color="auto" w:sz="4" w:space="0"/>
                    <w:right w:val="single" w:color="auto" w:sz="4" w:space="0"/>
                  </w:tcBorders>
                  <w:vAlign w:val="center"/>
                </w:tcPr>
                <w:p w14:paraId="0DCC9556">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设备废包装废边角料</w:t>
                  </w:r>
                  <w:r>
                    <w:rPr>
                      <w:color w:val="000000" w:themeColor="text1"/>
                      <w:szCs w:val="21"/>
                      <w14:textFill>
                        <w14:solidFill>
                          <w14:schemeClr w14:val="tx1"/>
                        </w14:solidFill>
                      </w14:textFill>
                    </w:rPr>
                    <w:t>交由专业资源回收公司处理</w:t>
                  </w:r>
                </w:p>
              </w:tc>
              <w:tc>
                <w:tcPr>
                  <w:tcW w:w="1244" w:type="pct"/>
                  <w:tcBorders>
                    <w:left w:val="single" w:color="auto" w:sz="4" w:space="0"/>
                    <w:right w:val="single" w:color="auto" w:sz="4" w:space="0"/>
                  </w:tcBorders>
                  <w:vAlign w:val="center"/>
                </w:tcPr>
                <w:p w14:paraId="115F86D3">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r>
            <w:tr w14:paraId="2E4C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53" w:type="pct"/>
                  <w:vMerge w:val="continue"/>
                  <w:tcBorders>
                    <w:left w:val="single" w:color="auto" w:sz="4" w:space="0"/>
                    <w:right w:val="single" w:color="auto" w:sz="4" w:space="0"/>
                  </w:tcBorders>
                  <w:vAlign w:val="center"/>
                </w:tcPr>
                <w:p w14:paraId="79067B73">
                  <w:pPr>
                    <w:adjustRightInd w:val="0"/>
                    <w:snapToGrid w:val="0"/>
                    <w:spacing w:line="360" w:lineRule="exact"/>
                    <w:jc w:val="center"/>
                    <w:rPr>
                      <w:color w:val="000000" w:themeColor="text1"/>
                      <w:szCs w:val="21"/>
                      <w14:textFill>
                        <w14:solidFill>
                          <w14:schemeClr w14:val="tx1"/>
                        </w14:solidFill>
                      </w14:textFill>
                    </w:rPr>
                  </w:pPr>
                </w:p>
              </w:tc>
              <w:tc>
                <w:tcPr>
                  <w:tcW w:w="584" w:type="pct"/>
                  <w:tcBorders>
                    <w:left w:val="single" w:color="auto" w:sz="4" w:space="0"/>
                    <w:right w:val="single" w:color="auto" w:sz="4" w:space="0"/>
                  </w:tcBorders>
                  <w:vAlign w:val="center"/>
                </w:tcPr>
                <w:p w14:paraId="3C71D606">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w:t>
                  </w:r>
                </w:p>
              </w:tc>
              <w:tc>
                <w:tcPr>
                  <w:tcW w:w="2617" w:type="pct"/>
                  <w:tcBorders>
                    <w:top w:val="single" w:color="auto" w:sz="4" w:space="0"/>
                    <w:left w:val="single" w:color="auto" w:sz="4" w:space="0"/>
                    <w:bottom w:val="single" w:color="auto" w:sz="4" w:space="0"/>
                    <w:right w:val="single" w:color="auto" w:sz="4" w:space="0"/>
                  </w:tcBorders>
                  <w:vAlign w:val="center"/>
                </w:tcPr>
                <w:p w14:paraId="0D0C034D">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水土流失防护及植被恢复</w:t>
                  </w:r>
                </w:p>
              </w:tc>
              <w:tc>
                <w:tcPr>
                  <w:tcW w:w="1244" w:type="pct"/>
                  <w:tcBorders>
                    <w:left w:val="single" w:color="auto" w:sz="4" w:space="0"/>
                    <w:right w:val="single" w:color="auto" w:sz="4" w:space="0"/>
                  </w:tcBorders>
                  <w:vAlign w:val="center"/>
                </w:tcPr>
                <w:p w14:paraId="6FD5669C">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p>
              </w:tc>
            </w:tr>
            <w:tr w14:paraId="6B82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3" w:type="pct"/>
                  <w:vMerge w:val="restart"/>
                  <w:tcBorders>
                    <w:top w:val="single" w:color="auto" w:sz="4" w:space="0"/>
                    <w:left w:val="single" w:color="auto" w:sz="4" w:space="0"/>
                    <w:right w:val="single" w:color="auto" w:sz="4" w:space="0"/>
                  </w:tcBorders>
                  <w:vAlign w:val="center"/>
                </w:tcPr>
                <w:p w14:paraId="505B2D04">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w:t>
                  </w:r>
                </w:p>
                <w:p w14:paraId="2D7CD6E0">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营</w:t>
                  </w:r>
                </w:p>
                <w:p w14:paraId="4A082CA5">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期</w:t>
                  </w:r>
                </w:p>
              </w:tc>
              <w:tc>
                <w:tcPr>
                  <w:tcW w:w="584" w:type="pct"/>
                  <w:tcBorders>
                    <w:top w:val="single" w:color="auto" w:sz="4" w:space="0"/>
                    <w:left w:val="single" w:color="auto" w:sz="4" w:space="0"/>
                    <w:right w:val="single" w:color="auto" w:sz="4" w:space="0"/>
                  </w:tcBorders>
                  <w:vAlign w:val="center"/>
                </w:tcPr>
                <w:p w14:paraId="5417D41C">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w:t>
                  </w:r>
                </w:p>
              </w:tc>
              <w:tc>
                <w:tcPr>
                  <w:tcW w:w="2617" w:type="pct"/>
                  <w:tcBorders>
                    <w:top w:val="single" w:color="auto" w:sz="4" w:space="0"/>
                    <w:left w:val="single" w:color="auto" w:sz="4" w:space="0"/>
                    <w:right w:val="single" w:color="auto" w:sz="4" w:space="0"/>
                  </w:tcBorders>
                  <w:vAlign w:val="center"/>
                </w:tcPr>
                <w:p w14:paraId="157715FF">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化粪池+一体式污水处理站</w:t>
                  </w:r>
                </w:p>
              </w:tc>
              <w:tc>
                <w:tcPr>
                  <w:tcW w:w="1244" w:type="pct"/>
                  <w:tcBorders>
                    <w:left w:val="single" w:color="auto" w:sz="4" w:space="0"/>
                    <w:right w:val="single" w:color="auto" w:sz="4" w:space="0"/>
                  </w:tcBorders>
                  <w:vAlign w:val="center"/>
                </w:tcPr>
                <w:p w14:paraId="269FCCC4">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14:paraId="4532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3" w:type="pct"/>
                  <w:vMerge w:val="continue"/>
                  <w:tcBorders>
                    <w:left w:val="single" w:color="auto" w:sz="4" w:space="0"/>
                    <w:right w:val="single" w:color="auto" w:sz="4" w:space="0"/>
                  </w:tcBorders>
                  <w:vAlign w:val="center"/>
                </w:tcPr>
                <w:p w14:paraId="380B4C64">
                  <w:pPr>
                    <w:adjustRightInd w:val="0"/>
                    <w:snapToGrid w:val="0"/>
                    <w:spacing w:line="360" w:lineRule="exact"/>
                    <w:jc w:val="center"/>
                    <w:rPr>
                      <w:color w:val="000000" w:themeColor="text1"/>
                      <w:szCs w:val="21"/>
                      <w14:textFill>
                        <w14:solidFill>
                          <w14:schemeClr w14:val="tx1"/>
                        </w14:solidFill>
                      </w14:textFill>
                    </w:rPr>
                  </w:pPr>
                </w:p>
              </w:tc>
              <w:tc>
                <w:tcPr>
                  <w:tcW w:w="584" w:type="pct"/>
                  <w:tcBorders>
                    <w:left w:val="single" w:color="auto" w:sz="4" w:space="0"/>
                    <w:right w:val="single" w:color="auto" w:sz="4" w:space="0"/>
                  </w:tcBorders>
                  <w:vAlign w:val="center"/>
                </w:tcPr>
                <w:p w14:paraId="5BFDA71D">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2617" w:type="pct"/>
                  <w:tcBorders>
                    <w:top w:val="single" w:color="auto" w:sz="4" w:space="0"/>
                    <w:left w:val="single" w:color="auto" w:sz="4" w:space="0"/>
                    <w:right w:val="single" w:color="auto" w:sz="4" w:space="0"/>
                  </w:tcBorders>
                  <w:vAlign w:val="center"/>
                </w:tcPr>
                <w:p w14:paraId="6504F63C">
                  <w:pPr>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w:t>
                  </w:r>
                </w:p>
              </w:tc>
              <w:tc>
                <w:tcPr>
                  <w:tcW w:w="1244" w:type="pct"/>
                  <w:tcBorders>
                    <w:left w:val="single" w:color="auto" w:sz="4" w:space="0"/>
                    <w:right w:val="single" w:color="auto" w:sz="4" w:space="0"/>
                  </w:tcBorders>
                  <w:vAlign w:val="center"/>
                </w:tcPr>
                <w:p w14:paraId="19400D1C">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r>
            <w:tr w14:paraId="5346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3" w:type="pct"/>
                  <w:vMerge w:val="continue"/>
                  <w:tcBorders>
                    <w:left w:val="single" w:color="auto" w:sz="4" w:space="0"/>
                    <w:right w:val="single" w:color="auto" w:sz="4" w:space="0"/>
                  </w:tcBorders>
                  <w:vAlign w:val="center"/>
                </w:tcPr>
                <w:p w14:paraId="167B06C6">
                  <w:pPr>
                    <w:adjustRightInd w:val="0"/>
                    <w:snapToGrid w:val="0"/>
                    <w:spacing w:line="360" w:lineRule="exact"/>
                    <w:jc w:val="center"/>
                    <w:rPr>
                      <w:color w:val="000000" w:themeColor="text1"/>
                      <w:szCs w:val="21"/>
                      <w14:textFill>
                        <w14:solidFill>
                          <w14:schemeClr w14:val="tx1"/>
                        </w14:solidFill>
                      </w14:textFill>
                    </w:rPr>
                  </w:pPr>
                </w:p>
              </w:tc>
              <w:tc>
                <w:tcPr>
                  <w:tcW w:w="584" w:type="pct"/>
                  <w:tcBorders>
                    <w:top w:val="single" w:color="auto" w:sz="4" w:space="0"/>
                    <w:left w:val="single" w:color="auto" w:sz="4" w:space="0"/>
                    <w:bottom w:val="single" w:color="auto" w:sz="4" w:space="0"/>
                    <w:right w:val="single" w:color="auto" w:sz="4" w:space="0"/>
                  </w:tcBorders>
                  <w:vAlign w:val="center"/>
                </w:tcPr>
                <w:p w14:paraId="7C778755">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w:t>
                  </w:r>
                </w:p>
              </w:tc>
              <w:tc>
                <w:tcPr>
                  <w:tcW w:w="2617" w:type="pct"/>
                  <w:tcBorders>
                    <w:top w:val="single" w:color="auto" w:sz="4" w:space="0"/>
                    <w:left w:val="single" w:color="auto" w:sz="4" w:space="0"/>
                    <w:bottom w:val="single" w:color="auto" w:sz="4" w:space="0"/>
                    <w:right w:val="single" w:color="auto" w:sz="4" w:space="0"/>
                  </w:tcBorders>
                  <w:vAlign w:val="center"/>
                </w:tcPr>
                <w:p w14:paraId="460DDED9">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固废处理费用</w:t>
                  </w:r>
                </w:p>
              </w:tc>
              <w:tc>
                <w:tcPr>
                  <w:tcW w:w="1244" w:type="pct"/>
                  <w:tcBorders>
                    <w:left w:val="single" w:color="auto" w:sz="4" w:space="0"/>
                    <w:right w:val="single" w:color="auto" w:sz="4" w:space="0"/>
                  </w:tcBorders>
                  <w:vAlign w:val="center"/>
                </w:tcPr>
                <w:p w14:paraId="4ADA97AD">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r>
            <w:tr w14:paraId="053B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3" w:type="pct"/>
                  <w:vMerge w:val="continue"/>
                  <w:tcBorders>
                    <w:left w:val="single" w:color="auto" w:sz="4" w:space="0"/>
                    <w:right w:val="single" w:color="auto" w:sz="4" w:space="0"/>
                  </w:tcBorders>
                  <w:vAlign w:val="center"/>
                </w:tcPr>
                <w:p w14:paraId="7B4B20B9">
                  <w:pPr>
                    <w:adjustRightInd w:val="0"/>
                    <w:snapToGrid w:val="0"/>
                    <w:spacing w:line="360" w:lineRule="exact"/>
                    <w:jc w:val="center"/>
                    <w:rPr>
                      <w:color w:val="000000" w:themeColor="text1"/>
                      <w:szCs w:val="21"/>
                      <w14:textFill>
                        <w14:solidFill>
                          <w14:schemeClr w14:val="tx1"/>
                        </w14:solidFill>
                      </w14:textFill>
                    </w:rPr>
                  </w:pPr>
                </w:p>
              </w:tc>
              <w:tc>
                <w:tcPr>
                  <w:tcW w:w="584" w:type="pct"/>
                  <w:tcBorders>
                    <w:top w:val="single" w:color="auto" w:sz="4" w:space="0"/>
                    <w:left w:val="single" w:color="auto" w:sz="4" w:space="0"/>
                    <w:right w:val="single" w:color="auto" w:sz="4" w:space="0"/>
                  </w:tcBorders>
                  <w:vAlign w:val="center"/>
                </w:tcPr>
                <w:p w14:paraId="138E3BE3">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w:t>
                  </w:r>
                </w:p>
              </w:tc>
              <w:tc>
                <w:tcPr>
                  <w:tcW w:w="2617" w:type="pct"/>
                  <w:tcBorders>
                    <w:top w:val="single" w:color="auto" w:sz="4" w:space="0"/>
                    <w:left w:val="single" w:color="auto" w:sz="4" w:space="0"/>
                    <w:bottom w:val="single" w:color="auto" w:sz="4" w:space="0"/>
                    <w:right w:val="single" w:color="auto" w:sz="4" w:space="0"/>
                  </w:tcBorders>
                  <w:vAlign w:val="center"/>
                </w:tcPr>
                <w:p w14:paraId="32CD0B8A">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厂区绿化</w:t>
                  </w:r>
                </w:p>
              </w:tc>
              <w:tc>
                <w:tcPr>
                  <w:tcW w:w="1244" w:type="pct"/>
                  <w:tcBorders>
                    <w:left w:val="single" w:color="auto" w:sz="4" w:space="0"/>
                    <w:right w:val="single" w:color="auto" w:sz="4" w:space="0"/>
                  </w:tcBorders>
                  <w:vAlign w:val="center"/>
                </w:tcPr>
                <w:p w14:paraId="564A9097">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r>
            <w:tr w14:paraId="25A9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3" w:type="pct"/>
                  <w:vMerge w:val="continue"/>
                  <w:tcBorders>
                    <w:left w:val="single" w:color="auto" w:sz="4" w:space="0"/>
                    <w:right w:val="single" w:color="auto" w:sz="4" w:space="0"/>
                  </w:tcBorders>
                  <w:vAlign w:val="center"/>
                </w:tcPr>
                <w:p w14:paraId="277EE9CF">
                  <w:pPr>
                    <w:adjustRightInd w:val="0"/>
                    <w:snapToGrid w:val="0"/>
                    <w:spacing w:line="360" w:lineRule="exact"/>
                    <w:jc w:val="center"/>
                    <w:rPr>
                      <w:color w:val="000000" w:themeColor="text1"/>
                      <w:szCs w:val="21"/>
                      <w14:textFill>
                        <w14:solidFill>
                          <w14:schemeClr w14:val="tx1"/>
                        </w14:solidFill>
                      </w14:textFill>
                    </w:rPr>
                  </w:pPr>
                </w:p>
              </w:tc>
              <w:tc>
                <w:tcPr>
                  <w:tcW w:w="584" w:type="pct"/>
                  <w:vMerge w:val="restart"/>
                  <w:tcBorders>
                    <w:top w:val="single" w:color="auto" w:sz="4" w:space="0"/>
                    <w:left w:val="single" w:color="auto" w:sz="4" w:space="0"/>
                    <w:right w:val="single" w:color="auto" w:sz="4" w:space="0"/>
                  </w:tcBorders>
                  <w:vAlign w:val="center"/>
                </w:tcPr>
                <w:p w14:paraId="6595D645">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风险</w:t>
                  </w:r>
                </w:p>
              </w:tc>
              <w:tc>
                <w:tcPr>
                  <w:tcW w:w="2617" w:type="pct"/>
                  <w:tcBorders>
                    <w:top w:val="single" w:color="auto" w:sz="4" w:space="0"/>
                    <w:left w:val="single" w:color="auto" w:sz="4" w:space="0"/>
                    <w:bottom w:val="single" w:color="auto" w:sz="4" w:space="0"/>
                    <w:right w:val="single" w:color="auto" w:sz="4" w:space="0"/>
                  </w:tcBorders>
                  <w:vAlign w:val="center"/>
                </w:tcPr>
                <w:p w14:paraId="3583F146">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事故油池</w:t>
                  </w:r>
                </w:p>
              </w:tc>
              <w:tc>
                <w:tcPr>
                  <w:tcW w:w="1244" w:type="pct"/>
                  <w:tcBorders>
                    <w:left w:val="single" w:color="auto" w:sz="4" w:space="0"/>
                    <w:right w:val="single" w:color="auto" w:sz="4" w:space="0"/>
                  </w:tcBorders>
                  <w:vAlign w:val="center"/>
                </w:tcPr>
                <w:p w14:paraId="20BAF338">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r>
            <w:tr w14:paraId="706B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3" w:type="pct"/>
                  <w:vMerge w:val="continue"/>
                  <w:tcBorders>
                    <w:left w:val="single" w:color="auto" w:sz="4" w:space="0"/>
                    <w:right w:val="single" w:color="auto" w:sz="4" w:space="0"/>
                  </w:tcBorders>
                  <w:vAlign w:val="center"/>
                </w:tcPr>
                <w:p w14:paraId="06E59C06">
                  <w:pPr>
                    <w:adjustRightInd w:val="0"/>
                    <w:snapToGrid w:val="0"/>
                    <w:spacing w:line="360" w:lineRule="exact"/>
                    <w:jc w:val="center"/>
                    <w:rPr>
                      <w:color w:val="000000" w:themeColor="text1"/>
                      <w:szCs w:val="21"/>
                      <w14:textFill>
                        <w14:solidFill>
                          <w14:schemeClr w14:val="tx1"/>
                        </w14:solidFill>
                      </w14:textFill>
                    </w:rPr>
                  </w:pPr>
                </w:p>
              </w:tc>
              <w:tc>
                <w:tcPr>
                  <w:tcW w:w="584" w:type="pct"/>
                  <w:vMerge w:val="continue"/>
                  <w:tcBorders>
                    <w:left w:val="single" w:color="auto" w:sz="4" w:space="0"/>
                    <w:right w:val="single" w:color="auto" w:sz="4" w:space="0"/>
                  </w:tcBorders>
                  <w:vAlign w:val="center"/>
                </w:tcPr>
                <w:p w14:paraId="690BF8EC">
                  <w:pPr>
                    <w:adjustRightInd w:val="0"/>
                    <w:snapToGrid w:val="0"/>
                    <w:spacing w:line="360" w:lineRule="exact"/>
                    <w:jc w:val="center"/>
                    <w:rPr>
                      <w:color w:val="000000" w:themeColor="text1"/>
                      <w:szCs w:val="21"/>
                      <w14:textFill>
                        <w14:solidFill>
                          <w14:schemeClr w14:val="tx1"/>
                        </w14:solidFill>
                      </w14:textFill>
                    </w:rPr>
                  </w:pPr>
                </w:p>
              </w:tc>
              <w:tc>
                <w:tcPr>
                  <w:tcW w:w="2617" w:type="pct"/>
                  <w:tcBorders>
                    <w:top w:val="single" w:color="auto" w:sz="4" w:space="0"/>
                    <w:left w:val="single" w:color="auto" w:sz="4" w:space="0"/>
                    <w:bottom w:val="single" w:color="auto" w:sz="4" w:space="0"/>
                    <w:right w:val="single" w:color="auto" w:sz="4" w:space="0"/>
                  </w:tcBorders>
                  <w:vAlign w:val="center"/>
                </w:tcPr>
                <w:p w14:paraId="5AF6FB6E">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箱变储油池</w:t>
                  </w:r>
                </w:p>
              </w:tc>
              <w:tc>
                <w:tcPr>
                  <w:tcW w:w="1244" w:type="pct"/>
                  <w:tcBorders>
                    <w:left w:val="single" w:color="auto" w:sz="4" w:space="0"/>
                    <w:right w:val="single" w:color="auto" w:sz="4" w:space="0"/>
                  </w:tcBorders>
                  <w:vAlign w:val="center"/>
                </w:tcPr>
                <w:p w14:paraId="24DDFB1C">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r>
            <w:tr w14:paraId="6D5A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3" w:type="pct"/>
                  <w:tcBorders>
                    <w:left w:val="single" w:color="auto" w:sz="4" w:space="0"/>
                    <w:right w:val="single" w:color="auto" w:sz="4" w:space="0"/>
                  </w:tcBorders>
                  <w:vAlign w:val="center"/>
                </w:tcPr>
                <w:p w14:paraId="7BF3CE52">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服务期满后</w:t>
                  </w:r>
                </w:p>
              </w:tc>
              <w:tc>
                <w:tcPr>
                  <w:tcW w:w="584" w:type="pct"/>
                  <w:tcBorders>
                    <w:top w:val="single" w:color="auto" w:sz="4" w:space="0"/>
                    <w:left w:val="single" w:color="auto" w:sz="4" w:space="0"/>
                    <w:right w:val="single" w:color="auto" w:sz="4" w:space="0"/>
                  </w:tcBorders>
                  <w:vAlign w:val="center"/>
                </w:tcPr>
                <w:p w14:paraId="63DF9BB1">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生态</w:t>
                  </w:r>
                </w:p>
              </w:tc>
              <w:tc>
                <w:tcPr>
                  <w:tcW w:w="2617" w:type="pct"/>
                  <w:tcBorders>
                    <w:top w:val="single" w:color="auto" w:sz="4" w:space="0"/>
                    <w:left w:val="single" w:color="auto" w:sz="4" w:space="0"/>
                    <w:bottom w:val="single" w:color="auto" w:sz="4" w:space="0"/>
                    <w:right w:val="single" w:color="auto" w:sz="4" w:space="0"/>
                  </w:tcBorders>
                  <w:vAlign w:val="center"/>
                </w:tcPr>
                <w:p w14:paraId="0B32E556">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按原有地貌进行植被恢复</w:t>
                  </w:r>
                </w:p>
              </w:tc>
              <w:tc>
                <w:tcPr>
                  <w:tcW w:w="1244" w:type="pct"/>
                  <w:tcBorders>
                    <w:left w:val="single" w:color="auto" w:sz="4" w:space="0"/>
                    <w:right w:val="single" w:color="auto" w:sz="4" w:space="0"/>
                  </w:tcBorders>
                  <w:vAlign w:val="center"/>
                </w:tcPr>
                <w:p w14:paraId="13D502E3">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w:t>
                  </w:r>
                </w:p>
              </w:tc>
            </w:tr>
            <w:tr w14:paraId="7A16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5" w:type="pct"/>
                  <w:gridSpan w:val="3"/>
                  <w:tcBorders>
                    <w:left w:val="single" w:color="auto" w:sz="4" w:space="0"/>
                    <w:right w:val="single" w:color="auto" w:sz="4" w:space="0"/>
                  </w:tcBorders>
                  <w:vAlign w:val="center"/>
                </w:tcPr>
                <w:p w14:paraId="3228079D">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合计</w:t>
                  </w:r>
                </w:p>
              </w:tc>
              <w:tc>
                <w:tcPr>
                  <w:tcW w:w="1244" w:type="pct"/>
                  <w:tcBorders>
                    <w:left w:val="single" w:color="auto" w:sz="4" w:space="0"/>
                    <w:right w:val="single" w:color="auto" w:sz="4" w:space="0"/>
                  </w:tcBorders>
                  <w:vAlign w:val="center"/>
                </w:tcPr>
                <w:p w14:paraId="64AC81B8">
                  <w:pPr>
                    <w:adjustRightInd w:val="0"/>
                    <w:snapToGrid w:val="0"/>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798</w:t>
                  </w:r>
                </w:p>
              </w:tc>
            </w:tr>
          </w:tbl>
          <w:p w14:paraId="4E4704D9">
            <w:pPr>
              <w:pStyle w:val="46"/>
              <w:ind w:firstLine="360"/>
              <w:jc w:val="both"/>
              <w:rPr>
                <w:color w:val="000000" w:themeColor="text1"/>
                <w14:textFill>
                  <w14:solidFill>
                    <w14:schemeClr w14:val="tx1"/>
                  </w14:solidFill>
                </w14:textFill>
              </w:rPr>
            </w:pPr>
          </w:p>
          <w:p w14:paraId="4022647E">
            <w:pPr>
              <w:pStyle w:val="46"/>
              <w:ind w:firstLine="360"/>
              <w:jc w:val="both"/>
              <w:rPr>
                <w:color w:val="000000" w:themeColor="text1"/>
                <w14:textFill>
                  <w14:solidFill>
                    <w14:schemeClr w14:val="tx1"/>
                  </w14:solidFill>
                </w14:textFill>
              </w:rPr>
            </w:pPr>
          </w:p>
        </w:tc>
      </w:tr>
    </w:tbl>
    <w:p w14:paraId="07CAE973">
      <w:pPr>
        <w:ind w:firstLine="420"/>
        <w:rPr>
          <w:color w:val="000000" w:themeColor="text1"/>
          <w14:textFill>
            <w14:solidFill>
              <w14:schemeClr w14:val="tx1"/>
            </w14:solidFill>
          </w14:textFill>
        </w:rPr>
        <w:sectPr>
          <w:pgSz w:w="11907" w:h="16840"/>
          <w:pgMar w:top="1701" w:right="1531" w:bottom="1701" w:left="1531" w:header="851" w:footer="1077" w:gutter="0"/>
          <w:cols w:space="720" w:num="1"/>
          <w:docGrid w:linePitch="312" w:charSpace="0"/>
        </w:sectPr>
      </w:pPr>
    </w:p>
    <w:p w14:paraId="3CD6612A">
      <w:pPr>
        <w:pStyle w:val="61"/>
        <w:ind w:firstLine="600"/>
        <w:jc w:val="center"/>
        <w:outlineLvl w:val="0"/>
        <w:rPr>
          <w:rFonts w:ascii="黑体" w:hAnsi="黑体" w:eastAsia="黑体"/>
          <w:snapToGrid w:val="0"/>
          <w:color w:val="000000" w:themeColor="text1"/>
          <w:sz w:val="30"/>
          <w:szCs w:val="30"/>
          <w14:textFill>
            <w14:solidFill>
              <w14:schemeClr w14:val="tx1"/>
            </w14:solidFill>
          </w14:textFill>
        </w:rPr>
      </w:pPr>
      <w:bookmarkStart w:id="32" w:name="_Toc16739"/>
      <w:bookmarkStart w:id="33" w:name="_Toc19130"/>
      <w:r>
        <w:rPr>
          <w:rFonts w:ascii="黑体" w:hAnsi="黑体" w:eastAsia="黑体"/>
          <w:snapToGrid w:val="0"/>
          <w:color w:val="000000" w:themeColor="text1"/>
          <w:sz w:val="30"/>
          <w:szCs w:val="30"/>
          <w14:textFill>
            <w14:solidFill>
              <w14:schemeClr w14:val="tx1"/>
            </w14:solidFill>
          </w14:textFill>
        </w:rPr>
        <w:t>六、生态环境保护措施监督检查清单</w:t>
      </w:r>
      <w:bookmarkEnd w:id="32"/>
      <w:bookmarkEnd w:id="33"/>
    </w:p>
    <w:tbl>
      <w:tblPr>
        <w:tblStyle w:val="66"/>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71"/>
        <w:gridCol w:w="2112"/>
        <w:gridCol w:w="1366"/>
        <w:gridCol w:w="2704"/>
        <w:gridCol w:w="2100"/>
      </w:tblGrid>
      <w:tr w14:paraId="73607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tblHeader/>
          <w:jc w:val="center"/>
        </w:trPr>
        <w:tc>
          <w:tcPr>
            <w:tcW w:w="374" w:type="pct"/>
            <w:vMerge w:val="restart"/>
            <w:tcBorders>
              <w:tl2br w:val="single" w:color="auto" w:sz="4" w:space="0"/>
            </w:tcBorders>
          </w:tcPr>
          <w:p w14:paraId="6CA94424">
            <w:pPr>
              <w:spacing w:line="360" w:lineRule="exact"/>
              <w:jc w:val="center"/>
              <w:rPr>
                <w:b/>
                <w:bCs/>
                <w:color w:val="000000" w:themeColor="text1"/>
                <w:szCs w:val="21"/>
                <w14:textFill>
                  <w14:solidFill>
                    <w14:schemeClr w14:val="tx1"/>
                  </w14:solidFill>
                </w14:textFill>
              </w:rPr>
            </w:pPr>
            <w:bookmarkStart w:id="34" w:name="_Toc1082"/>
            <w:bookmarkStart w:id="35" w:name="_Toc5221"/>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 xml:space="preserve"> 内容</w:t>
            </w:r>
            <w:bookmarkEnd w:id="34"/>
            <w:bookmarkEnd w:id="35"/>
          </w:p>
          <w:p w14:paraId="60F89271">
            <w:pPr>
              <w:spacing w:line="360" w:lineRule="exact"/>
              <w:jc w:val="center"/>
              <w:rPr>
                <w:b/>
                <w:bCs/>
                <w:color w:val="000000" w:themeColor="text1"/>
                <w:szCs w:val="21"/>
                <w14:textFill>
                  <w14:solidFill>
                    <w14:schemeClr w14:val="tx1"/>
                  </w14:solidFill>
                </w14:textFill>
              </w:rPr>
            </w:pPr>
            <w:bookmarkStart w:id="36" w:name="_Toc3333"/>
            <w:bookmarkStart w:id="37" w:name="_Toc24628"/>
            <w:r>
              <w:rPr>
                <w:b/>
                <w:bCs/>
                <w:color w:val="000000" w:themeColor="text1"/>
                <w:szCs w:val="21"/>
                <w14:textFill>
                  <w14:solidFill>
                    <w14:schemeClr w14:val="tx1"/>
                  </w14:solidFill>
                </w14:textFill>
              </w:rPr>
              <w:t>要素</w:t>
            </w:r>
            <w:bookmarkEnd w:id="36"/>
            <w:bookmarkEnd w:id="37"/>
          </w:p>
        </w:tc>
        <w:tc>
          <w:tcPr>
            <w:tcW w:w="1942" w:type="pct"/>
            <w:gridSpan w:val="2"/>
            <w:vAlign w:val="center"/>
          </w:tcPr>
          <w:p w14:paraId="6411D80F">
            <w:pPr>
              <w:spacing w:line="360" w:lineRule="exact"/>
              <w:jc w:val="center"/>
              <w:rPr>
                <w:b/>
                <w:bCs/>
                <w:color w:val="000000" w:themeColor="text1"/>
                <w:szCs w:val="21"/>
                <w14:textFill>
                  <w14:solidFill>
                    <w14:schemeClr w14:val="tx1"/>
                  </w14:solidFill>
                </w14:textFill>
              </w:rPr>
            </w:pPr>
            <w:bookmarkStart w:id="38" w:name="_Toc26863"/>
            <w:bookmarkStart w:id="39" w:name="_Toc11516"/>
            <w:r>
              <w:rPr>
                <w:b/>
                <w:bCs/>
                <w:color w:val="000000" w:themeColor="text1"/>
                <w:szCs w:val="21"/>
                <w14:textFill>
                  <w14:solidFill>
                    <w14:schemeClr w14:val="tx1"/>
                  </w14:solidFill>
                </w14:textFill>
              </w:rPr>
              <w:t>施工期</w:t>
            </w:r>
            <w:bookmarkEnd w:id="38"/>
            <w:bookmarkEnd w:id="39"/>
          </w:p>
        </w:tc>
        <w:tc>
          <w:tcPr>
            <w:tcW w:w="2682" w:type="pct"/>
            <w:gridSpan w:val="2"/>
            <w:vAlign w:val="center"/>
          </w:tcPr>
          <w:p w14:paraId="15F3E51A">
            <w:pPr>
              <w:spacing w:line="360" w:lineRule="exact"/>
              <w:jc w:val="center"/>
              <w:rPr>
                <w:b/>
                <w:bCs/>
                <w:color w:val="000000" w:themeColor="text1"/>
                <w:szCs w:val="21"/>
                <w14:textFill>
                  <w14:solidFill>
                    <w14:schemeClr w14:val="tx1"/>
                  </w14:solidFill>
                </w14:textFill>
              </w:rPr>
            </w:pPr>
            <w:bookmarkStart w:id="40" w:name="_Toc28610"/>
            <w:bookmarkStart w:id="41" w:name="_Toc31215"/>
            <w:r>
              <w:rPr>
                <w:b/>
                <w:bCs/>
                <w:color w:val="000000" w:themeColor="text1"/>
                <w:szCs w:val="21"/>
                <w14:textFill>
                  <w14:solidFill>
                    <w14:schemeClr w14:val="tx1"/>
                  </w14:solidFill>
                </w14:textFill>
              </w:rPr>
              <w:t>运营期</w:t>
            </w:r>
            <w:bookmarkEnd w:id="40"/>
            <w:bookmarkEnd w:id="41"/>
          </w:p>
        </w:tc>
      </w:tr>
      <w:tr w14:paraId="65FAB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08" w:hRule="atLeast"/>
          <w:tblHeader/>
          <w:jc w:val="center"/>
        </w:trPr>
        <w:tc>
          <w:tcPr>
            <w:tcW w:w="374" w:type="pct"/>
            <w:vMerge w:val="continue"/>
          </w:tcPr>
          <w:p w14:paraId="64A64228">
            <w:pPr>
              <w:spacing w:line="360" w:lineRule="exact"/>
              <w:jc w:val="center"/>
              <w:rPr>
                <w:b/>
                <w:bCs/>
                <w:color w:val="000000" w:themeColor="text1"/>
                <w:szCs w:val="21"/>
                <w14:textFill>
                  <w14:solidFill>
                    <w14:schemeClr w14:val="tx1"/>
                  </w14:solidFill>
                </w14:textFill>
              </w:rPr>
            </w:pPr>
          </w:p>
        </w:tc>
        <w:tc>
          <w:tcPr>
            <w:tcW w:w="1179" w:type="pct"/>
            <w:vAlign w:val="center"/>
          </w:tcPr>
          <w:p w14:paraId="4F1EC740">
            <w:pPr>
              <w:spacing w:line="360" w:lineRule="exact"/>
              <w:jc w:val="center"/>
              <w:rPr>
                <w:b/>
                <w:bCs/>
                <w:color w:val="000000" w:themeColor="text1"/>
                <w:szCs w:val="21"/>
                <w14:textFill>
                  <w14:solidFill>
                    <w14:schemeClr w14:val="tx1"/>
                  </w14:solidFill>
                </w14:textFill>
              </w:rPr>
            </w:pPr>
            <w:bookmarkStart w:id="42" w:name="_Toc1988"/>
            <w:bookmarkStart w:id="43" w:name="_Toc14560"/>
            <w:r>
              <w:rPr>
                <w:b/>
                <w:bCs/>
                <w:color w:val="000000" w:themeColor="text1"/>
                <w:szCs w:val="21"/>
                <w14:textFill>
                  <w14:solidFill>
                    <w14:schemeClr w14:val="tx1"/>
                  </w14:solidFill>
                </w14:textFill>
              </w:rPr>
              <w:t>环境保护措施</w:t>
            </w:r>
            <w:bookmarkEnd w:id="42"/>
            <w:bookmarkEnd w:id="43"/>
          </w:p>
        </w:tc>
        <w:tc>
          <w:tcPr>
            <w:tcW w:w="763" w:type="pct"/>
            <w:vAlign w:val="center"/>
          </w:tcPr>
          <w:p w14:paraId="148DC508">
            <w:pPr>
              <w:spacing w:line="360" w:lineRule="exact"/>
              <w:jc w:val="center"/>
              <w:rPr>
                <w:b/>
                <w:bCs/>
                <w:color w:val="000000" w:themeColor="text1"/>
                <w:szCs w:val="21"/>
                <w14:textFill>
                  <w14:solidFill>
                    <w14:schemeClr w14:val="tx1"/>
                  </w14:solidFill>
                </w14:textFill>
              </w:rPr>
            </w:pPr>
            <w:bookmarkStart w:id="44" w:name="_Toc2972"/>
            <w:bookmarkStart w:id="45" w:name="_Toc1466"/>
            <w:r>
              <w:rPr>
                <w:b/>
                <w:bCs/>
                <w:color w:val="000000" w:themeColor="text1"/>
                <w:szCs w:val="21"/>
                <w14:textFill>
                  <w14:solidFill>
                    <w14:schemeClr w14:val="tx1"/>
                  </w14:solidFill>
                </w14:textFill>
              </w:rPr>
              <w:t>验收要求</w:t>
            </w:r>
            <w:bookmarkEnd w:id="44"/>
            <w:bookmarkEnd w:id="45"/>
          </w:p>
        </w:tc>
        <w:tc>
          <w:tcPr>
            <w:tcW w:w="1510" w:type="pct"/>
            <w:vAlign w:val="center"/>
          </w:tcPr>
          <w:p w14:paraId="35C3DF6C">
            <w:pPr>
              <w:spacing w:line="360" w:lineRule="exact"/>
              <w:jc w:val="center"/>
              <w:rPr>
                <w:b/>
                <w:bCs/>
                <w:color w:val="000000" w:themeColor="text1"/>
                <w:szCs w:val="21"/>
                <w14:textFill>
                  <w14:solidFill>
                    <w14:schemeClr w14:val="tx1"/>
                  </w14:solidFill>
                </w14:textFill>
              </w:rPr>
            </w:pPr>
            <w:bookmarkStart w:id="46" w:name="_Toc6038"/>
            <w:bookmarkStart w:id="47" w:name="_Toc8688"/>
            <w:r>
              <w:rPr>
                <w:b/>
                <w:bCs/>
                <w:color w:val="000000" w:themeColor="text1"/>
                <w:szCs w:val="21"/>
                <w14:textFill>
                  <w14:solidFill>
                    <w14:schemeClr w14:val="tx1"/>
                  </w14:solidFill>
                </w14:textFill>
              </w:rPr>
              <w:t>环境保护措施</w:t>
            </w:r>
            <w:bookmarkEnd w:id="46"/>
            <w:bookmarkEnd w:id="47"/>
          </w:p>
        </w:tc>
        <w:tc>
          <w:tcPr>
            <w:tcW w:w="1172" w:type="pct"/>
            <w:vAlign w:val="center"/>
          </w:tcPr>
          <w:p w14:paraId="49CC2AF0">
            <w:pPr>
              <w:spacing w:line="360" w:lineRule="exact"/>
              <w:jc w:val="center"/>
              <w:rPr>
                <w:b/>
                <w:bCs/>
                <w:color w:val="000000" w:themeColor="text1"/>
                <w:szCs w:val="21"/>
                <w14:textFill>
                  <w14:solidFill>
                    <w14:schemeClr w14:val="tx1"/>
                  </w14:solidFill>
                </w14:textFill>
              </w:rPr>
            </w:pPr>
            <w:bookmarkStart w:id="48" w:name="_Toc26042"/>
            <w:bookmarkStart w:id="49" w:name="_Toc15310"/>
            <w:r>
              <w:rPr>
                <w:b/>
                <w:bCs/>
                <w:color w:val="000000" w:themeColor="text1"/>
                <w:szCs w:val="21"/>
                <w14:textFill>
                  <w14:solidFill>
                    <w14:schemeClr w14:val="tx1"/>
                  </w14:solidFill>
                </w14:textFill>
              </w:rPr>
              <w:t>验收要求</w:t>
            </w:r>
            <w:bookmarkEnd w:id="48"/>
            <w:bookmarkEnd w:id="49"/>
          </w:p>
        </w:tc>
      </w:tr>
      <w:tr w14:paraId="4A19A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16" w:hRule="atLeast"/>
          <w:jc w:val="center"/>
        </w:trPr>
        <w:tc>
          <w:tcPr>
            <w:tcW w:w="374" w:type="pct"/>
            <w:vAlign w:val="center"/>
          </w:tcPr>
          <w:p w14:paraId="184C6B72">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179" w:type="pct"/>
            <w:vAlign w:val="center"/>
          </w:tcPr>
          <w:p w14:paraId="27E48AD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加强施工机械设备的养护维修以及检修过程等产生的废油的收集，防止施工机械跑冒滴漏的油污或清洗机械的含油废水进入周边水体中。开挖后及时进行电缆敷设及回填，避免在雨天施工。</w:t>
            </w:r>
          </w:p>
        </w:tc>
        <w:tc>
          <w:tcPr>
            <w:tcW w:w="763" w:type="pct"/>
            <w:vAlign w:val="center"/>
          </w:tcPr>
          <w:p w14:paraId="30967BB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相关措施落实，不外排，对周围水环境无影响。</w:t>
            </w:r>
          </w:p>
        </w:tc>
        <w:tc>
          <w:tcPr>
            <w:tcW w:w="1510" w:type="pct"/>
            <w:vAlign w:val="center"/>
          </w:tcPr>
          <w:p w14:paraId="0F3E8F6B">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光伏组件清洗水用于灌溉农田，不外排；工作人员产生的生活污水经化粪池初步处理后进入生活污水一体化处理设施，处理后合格水用于站区地面冲洗、绿化，不外排。</w:t>
            </w:r>
          </w:p>
        </w:tc>
        <w:tc>
          <w:tcPr>
            <w:tcW w:w="1172" w:type="pct"/>
            <w:vAlign w:val="center"/>
          </w:tcPr>
          <w:p w14:paraId="513E8D3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不外排</w:t>
            </w:r>
          </w:p>
        </w:tc>
      </w:tr>
      <w:tr w14:paraId="79A5E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84" w:hRule="atLeast"/>
          <w:jc w:val="center"/>
        </w:trPr>
        <w:tc>
          <w:tcPr>
            <w:tcW w:w="374" w:type="pct"/>
            <w:vAlign w:val="center"/>
          </w:tcPr>
          <w:p w14:paraId="1D5F0EEE">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地下水及土壤环境</w:t>
            </w:r>
          </w:p>
        </w:tc>
        <w:tc>
          <w:tcPr>
            <w:tcW w:w="1179" w:type="pct"/>
            <w:vAlign w:val="center"/>
          </w:tcPr>
          <w:p w14:paraId="27D4C26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63" w:type="pct"/>
            <w:vAlign w:val="center"/>
          </w:tcPr>
          <w:p w14:paraId="79E3B66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10" w:type="pct"/>
            <w:vAlign w:val="center"/>
          </w:tcPr>
          <w:p w14:paraId="5E61879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72" w:type="pct"/>
            <w:vAlign w:val="center"/>
          </w:tcPr>
          <w:p w14:paraId="458C33F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170B31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733" w:hRule="atLeast"/>
          <w:jc w:val="center"/>
        </w:trPr>
        <w:tc>
          <w:tcPr>
            <w:tcW w:w="374" w:type="pct"/>
            <w:vAlign w:val="center"/>
          </w:tcPr>
          <w:p w14:paraId="1DD0B32A">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179" w:type="pct"/>
            <w:vAlign w:val="center"/>
          </w:tcPr>
          <w:p w14:paraId="4EF3DC3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合理安排工期，基础减噪，选用低噪声设备，加强施工期管理，在临近村庄一侧安装隔声板等。</w:t>
            </w:r>
          </w:p>
        </w:tc>
        <w:tc>
          <w:tcPr>
            <w:tcW w:w="763" w:type="pct"/>
            <w:vAlign w:val="center"/>
          </w:tcPr>
          <w:p w14:paraId="166B38B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《建筑施工场界环</w:t>
            </w:r>
          </w:p>
          <w:p w14:paraId="62A0EBD7">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境噪声排放标准》</w:t>
            </w:r>
          </w:p>
          <w:p w14:paraId="0CAD71B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（GB12523-2011）</w:t>
            </w:r>
          </w:p>
        </w:tc>
        <w:tc>
          <w:tcPr>
            <w:tcW w:w="1510" w:type="pct"/>
            <w:vAlign w:val="center"/>
          </w:tcPr>
          <w:p w14:paraId="59BB130A">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变电站电气设备采取低噪声设备，设置基础减振，运行期做好环境保护设施的维护和运行管理，加强巡查和检查，保障发挥环境保护作用，定期开展环境监测，确保噪声达标排放。主要声源设备大修前后，应对变电站站界排放噪声和周围声环境敏感目标环境噪声进行监测，监测结果向社会公开。</w:t>
            </w:r>
          </w:p>
        </w:tc>
        <w:tc>
          <w:tcPr>
            <w:tcW w:w="1172" w:type="pct"/>
            <w:vAlign w:val="center"/>
          </w:tcPr>
          <w:p w14:paraId="7E8AB47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厂界噪声执行《工业企业厂界环境噪声排放标准》（GB12348-2008）1类标准要求；</w:t>
            </w:r>
          </w:p>
        </w:tc>
      </w:tr>
      <w:tr w14:paraId="0454C9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16" w:hRule="atLeast"/>
          <w:jc w:val="center"/>
        </w:trPr>
        <w:tc>
          <w:tcPr>
            <w:tcW w:w="374" w:type="pct"/>
            <w:vAlign w:val="center"/>
          </w:tcPr>
          <w:p w14:paraId="1C54F56B">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w:t>
            </w:r>
          </w:p>
          <w:p w14:paraId="0AF843B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tc>
        <w:tc>
          <w:tcPr>
            <w:tcW w:w="1179" w:type="pct"/>
            <w:vAlign w:val="center"/>
          </w:tcPr>
          <w:p w14:paraId="0E18589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现场封闭管理；施工场地硬化；施工车辆冲洗；建筑材料密闭苫盖措施；物料运输车辆密闭措施；洒水抑尘措施；按照规定使用预拌混凝土、预拌砂浆等建筑材料只能现场搅拌的，采取防尘措施；施工现场的建筑垃圾设置垃圾存放点，集中堆放并严密覆盖。</w:t>
            </w:r>
          </w:p>
        </w:tc>
        <w:tc>
          <w:tcPr>
            <w:tcW w:w="763" w:type="pct"/>
            <w:vAlign w:val="center"/>
          </w:tcPr>
          <w:p w14:paraId="34C45033">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《施工场地扬尘排</w:t>
            </w:r>
          </w:p>
          <w:p w14:paraId="6F2D0C6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放标准》(DB13/2934-2019)</w:t>
            </w:r>
          </w:p>
        </w:tc>
        <w:tc>
          <w:tcPr>
            <w:tcW w:w="1510" w:type="pct"/>
            <w:vAlign w:val="center"/>
          </w:tcPr>
          <w:p w14:paraId="119F77E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72" w:type="pct"/>
            <w:vAlign w:val="center"/>
          </w:tcPr>
          <w:p w14:paraId="57990A7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04CD1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3" w:hRule="atLeast"/>
          <w:jc w:val="center"/>
        </w:trPr>
        <w:tc>
          <w:tcPr>
            <w:tcW w:w="374" w:type="pct"/>
            <w:vMerge w:val="restart"/>
            <w:vAlign w:val="center"/>
          </w:tcPr>
          <w:p w14:paraId="7DAAD22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w:t>
            </w:r>
          </w:p>
          <w:p w14:paraId="5B05FA66">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废物</w:t>
            </w:r>
          </w:p>
        </w:tc>
        <w:tc>
          <w:tcPr>
            <w:tcW w:w="1179" w:type="pct"/>
            <w:vAlign w:val="center"/>
          </w:tcPr>
          <w:p w14:paraId="309B1745">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施工期</w:t>
            </w:r>
          </w:p>
        </w:tc>
        <w:tc>
          <w:tcPr>
            <w:tcW w:w="3446" w:type="pct"/>
            <w:gridSpan w:val="3"/>
            <w:vAlign w:val="center"/>
          </w:tcPr>
          <w:p w14:paraId="071A872A">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施工期会产生少量的建筑垃圾，按照相关主管部门的要求运至指定的建筑垃圾处置场进行处置。生活垃圾经收集后运至</w:t>
            </w:r>
            <w:r>
              <w:rPr>
                <w:rFonts w:hint="eastAsia"/>
                <w:color w:val="000000" w:themeColor="text1"/>
                <w:szCs w:val="21"/>
                <w14:textFill>
                  <w14:solidFill>
                    <w14:schemeClr w14:val="tx1"/>
                  </w14:solidFill>
                </w14:textFill>
              </w:rPr>
              <w:t>当地</w:t>
            </w:r>
            <w:r>
              <w:rPr>
                <w:color w:val="000000" w:themeColor="text1"/>
                <w:szCs w:val="21"/>
                <w14:textFill>
                  <w14:solidFill>
                    <w14:schemeClr w14:val="tx1"/>
                  </w14:solidFill>
                </w14:textFill>
              </w:rPr>
              <w:t>垃圾收集点处置</w:t>
            </w:r>
          </w:p>
        </w:tc>
      </w:tr>
      <w:tr w14:paraId="2231D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74" w:type="pct"/>
            <w:vMerge w:val="continue"/>
            <w:vAlign w:val="center"/>
          </w:tcPr>
          <w:p w14:paraId="14135F5D">
            <w:pPr>
              <w:spacing w:line="360" w:lineRule="exact"/>
              <w:jc w:val="center"/>
              <w:rPr>
                <w:color w:val="000000" w:themeColor="text1"/>
                <w:szCs w:val="21"/>
                <w14:textFill>
                  <w14:solidFill>
                    <w14:schemeClr w14:val="tx1"/>
                  </w14:solidFill>
                </w14:textFill>
              </w:rPr>
            </w:pPr>
          </w:p>
        </w:tc>
        <w:tc>
          <w:tcPr>
            <w:tcW w:w="1179" w:type="pct"/>
            <w:vMerge w:val="restart"/>
            <w:vAlign w:val="center"/>
          </w:tcPr>
          <w:p w14:paraId="327996A1">
            <w:pPr>
              <w:spacing w:line="360" w:lineRule="exact"/>
              <w:jc w:val="center"/>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运营期</w:t>
            </w:r>
          </w:p>
        </w:tc>
        <w:tc>
          <w:tcPr>
            <w:tcW w:w="3446" w:type="pct"/>
            <w:gridSpan w:val="3"/>
            <w:vAlign w:val="center"/>
          </w:tcPr>
          <w:p w14:paraId="782736DE">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升压站内变压器设置事故油池，事故油</w:t>
            </w:r>
            <w:r>
              <w:rPr>
                <w:rFonts w:hint="eastAsia" w:cs="宋体"/>
                <w:color w:val="000000" w:themeColor="text1"/>
                <w:szCs w:val="21"/>
                <w:lang w:val="en-US" w:eastAsia="zh-CN" w:bidi="ar"/>
                <w14:textFill>
                  <w14:solidFill>
                    <w14:schemeClr w14:val="tx1"/>
                  </w14:solidFill>
                </w14:textFill>
              </w:rPr>
              <w:t>产生后及时</w:t>
            </w:r>
            <w:r>
              <w:rPr>
                <w:rFonts w:hint="eastAsia" w:cs="宋体"/>
                <w:color w:val="000000" w:themeColor="text1"/>
                <w:szCs w:val="21"/>
                <w:lang w:bidi="ar"/>
                <w14:textFill>
                  <w14:solidFill>
                    <w14:schemeClr w14:val="tx1"/>
                  </w14:solidFill>
                </w14:textFill>
              </w:rPr>
              <w:t>交由具有相关资质的单位处置回收，光伏站产生的废旧蓄电池</w:t>
            </w:r>
            <w:r>
              <w:rPr>
                <w:rFonts w:hint="eastAsia" w:cs="宋体"/>
                <w:color w:val="000000" w:themeColor="text1"/>
                <w:szCs w:val="21"/>
                <w:lang w:val="en-US" w:eastAsia="zh-CN" w:bidi="ar"/>
                <w14:textFill>
                  <w14:solidFill>
                    <w14:schemeClr w14:val="tx1"/>
                  </w14:solidFill>
                </w14:textFill>
              </w:rPr>
              <w:t>产生后及时</w:t>
            </w:r>
            <w:r>
              <w:rPr>
                <w:rFonts w:hint="eastAsia" w:cs="宋体"/>
                <w:color w:val="000000" w:themeColor="text1"/>
                <w:szCs w:val="21"/>
                <w:lang w:bidi="ar"/>
                <w14:textFill>
                  <w14:solidFill>
                    <w14:schemeClr w14:val="tx1"/>
                  </w14:solidFill>
                </w14:textFill>
              </w:rPr>
              <w:t>交由厂家或相关资质单位回收。</w:t>
            </w:r>
          </w:p>
        </w:tc>
      </w:tr>
      <w:tr w14:paraId="6F7C2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3" w:hRule="atLeast"/>
          <w:jc w:val="center"/>
        </w:trPr>
        <w:tc>
          <w:tcPr>
            <w:tcW w:w="374" w:type="pct"/>
            <w:vMerge w:val="continue"/>
            <w:vAlign w:val="center"/>
          </w:tcPr>
          <w:p w14:paraId="64E67381">
            <w:pPr>
              <w:spacing w:line="360" w:lineRule="exact"/>
              <w:jc w:val="center"/>
              <w:rPr>
                <w:color w:val="000000" w:themeColor="text1"/>
                <w14:textFill>
                  <w14:solidFill>
                    <w14:schemeClr w14:val="tx1"/>
                  </w14:solidFill>
                </w14:textFill>
              </w:rPr>
            </w:pPr>
          </w:p>
        </w:tc>
        <w:tc>
          <w:tcPr>
            <w:tcW w:w="1179" w:type="pct"/>
            <w:vMerge w:val="continue"/>
            <w:vAlign w:val="center"/>
          </w:tcPr>
          <w:p w14:paraId="646846B4">
            <w:pPr>
              <w:spacing w:line="360" w:lineRule="exact"/>
              <w:jc w:val="center"/>
              <w:rPr>
                <w:color w:val="000000" w:themeColor="text1"/>
                <w14:textFill>
                  <w14:solidFill>
                    <w14:schemeClr w14:val="tx1"/>
                  </w14:solidFill>
                </w14:textFill>
              </w:rPr>
            </w:pPr>
          </w:p>
        </w:tc>
        <w:tc>
          <w:tcPr>
            <w:tcW w:w="3446" w:type="pct"/>
            <w:gridSpan w:val="3"/>
            <w:vAlign w:val="center"/>
          </w:tcPr>
          <w:p w14:paraId="30246E03">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升压站综合楼内建设</w:t>
            </w:r>
            <w:r>
              <w:rPr>
                <w:color w:val="000000" w:themeColor="text1"/>
                <w:szCs w:val="21"/>
                <w:lang w:bidi="ar"/>
                <w14:textFill>
                  <w14:solidFill>
                    <w14:schemeClr w14:val="tx1"/>
                  </w14:solidFill>
                </w14:textFill>
              </w:rPr>
              <w:t>1</w:t>
            </w:r>
            <w:r>
              <w:rPr>
                <w:rFonts w:hint="eastAsia" w:cs="宋体"/>
                <w:color w:val="000000" w:themeColor="text1"/>
                <w:szCs w:val="21"/>
                <w:lang w:bidi="ar"/>
                <w14:textFill>
                  <w14:solidFill>
                    <w14:schemeClr w14:val="tx1"/>
                  </w14:solidFill>
                </w14:textFill>
              </w:rPr>
              <w:t>间一般废物储存间，建筑面积为</w:t>
            </w:r>
            <w:r>
              <w:rPr>
                <w:color w:val="000000" w:themeColor="text1"/>
                <w:szCs w:val="21"/>
                <w:lang w:bidi="ar"/>
                <w14:textFill>
                  <w14:solidFill>
                    <w14:schemeClr w14:val="tx1"/>
                  </w14:solidFill>
                </w14:textFill>
              </w:rPr>
              <w:t>25m</w:t>
            </w:r>
            <w:r>
              <w:rPr>
                <w:color w:val="000000" w:themeColor="text1"/>
                <w:szCs w:val="21"/>
                <w:vertAlign w:val="superscript"/>
                <w:lang w:bidi="ar"/>
                <w14:textFill>
                  <w14:solidFill>
                    <w14:schemeClr w14:val="tx1"/>
                  </w14:solidFill>
                </w14:textFill>
              </w:rPr>
              <w:t>2</w:t>
            </w:r>
            <w:r>
              <w:rPr>
                <w:rFonts w:hint="eastAsia" w:cs="宋体"/>
                <w:color w:val="000000" w:themeColor="text1"/>
                <w:szCs w:val="21"/>
                <w:lang w:bidi="ar"/>
                <w14:textFill>
                  <w14:solidFill>
                    <w14:schemeClr w14:val="tx1"/>
                  </w14:solidFill>
                </w14:textFill>
              </w:rPr>
              <w:t>，光伏组件破损产生的暂存于一般废物储存间，定期由厂家回收或运至具有相关资质处置单位进行处理。</w:t>
            </w:r>
          </w:p>
          <w:p w14:paraId="2526F958">
            <w:pPr>
              <w:spacing w:line="360" w:lineRule="exact"/>
              <w:rPr>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工作人员日常生活垃圾统一收集至站内的垃圾箱，定期</w:t>
            </w:r>
            <w:r>
              <w:rPr>
                <w:rFonts w:hint="eastAsia" w:cs="宋体"/>
                <w:color w:val="000000" w:themeColor="text1"/>
                <w:szCs w:val="21"/>
                <w:lang w:val="en-US" w:eastAsia="zh-CN" w:bidi="ar"/>
                <w14:textFill>
                  <w14:solidFill>
                    <w14:schemeClr w14:val="tx1"/>
                  </w14:solidFill>
                </w14:textFill>
              </w:rPr>
              <w:t>由环卫部门</w:t>
            </w:r>
            <w:r>
              <w:rPr>
                <w:rFonts w:hint="eastAsia" w:cs="宋体"/>
                <w:color w:val="000000" w:themeColor="text1"/>
                <w:szCs w:val="21"/>
                <w:lang w:bidi="ar"/>
                <w14:textFill>
                  <w14:solidFill>
                    <w14:schemeClr w14:val="tx1"/>
                  </w14:solidFill>
                </w14:textFill>
              </w:rPr>
              <w:t>处置。采取上述措施后，本工程运行期间产生的固体废物不会对当地环境产生影响。</w:t>
            </w:r>
          </w:p>
        </w:tc>
      </w:tr>
      <w:tr w14:paraId="674A5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4" w:type="pct"/>
            <w:vAlign w:val="center"/>
          </w:tcPr>
          <w:p w14:paraId="5BD1EE89">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电磁</w:t>
            </w:r>
          </w:p>
          <w:p w14:paraId="369C4EA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w:t>
            </w:r>
          </w:p>
        </w:tc>
        <w:tc>
          <w:tcPr>
            <w:tcW w:w="1179" w:type="pct"/>
            <w:vAlign w:val="center"/>
          </w:tcPr>
          <w:p w14:paraId="0E15016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63" w:type="pct"/>
            <w:vAlign w:val="center"/>
          </w:tcPr>
          <w:p w14:paraId="67924CE8">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10" w:type="pct"/>
            <w:vAlign w:val="center"/>
          </w:tcPr>
          <w:p w14:paraId="7AECEE0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72" w:type="pct"/>
            <w:vAlign w:val="center"/>
          </w:tcPr>
          <w:p w14:paraId="7B44487F">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18D53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4" w:type="pct"/>
            <w:vAlign w:val="center"/>
          </w:tcPr>
          <w:p w14:paraId="671D66AD">
            <w:pPr>
              <w:adjustRightInd w:val="0"/>
              <w:snapToGrid w:val="0"/>
              <w:spacing w:line="360" w:lineRule="exact"/>
              <w:jc w:val="center"/>
              <w:rPr>
                <w:rFonts w:eastAsiaTheme="minorEastAsia"/>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4625" w:type="pct"/>
            <w:gridSpan w:val="4"/>
            <w:vAlign w:val="center"/>
          </w:tcPr>
          <w:p w14:paraId="6BE94D0F">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（1）施工期：</w:t>
            </w:r>
          </w:p>
          <w:p w14:paraId="3129C9F2">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项目建设对区域生态环境影响主要表现在临时占地及施工对土壤的影响、对地表植被的破坏、永久占地对土地利用类型的改变以及山丘坡地施工可能引发的水土流失等。工程施工过程中，各单项工程施工开挖前均进行表土清理和保护措施；施工道路尽量利用原有道路，减少新建道路对地表的扰动；新建道路采取边坡防护措施，施工结束后临时道路进行植被恢复；基础开挖施工过程中进行临时挡护，并采取排水措施，施工结束后对基础周边进行土地平整及植被恢复；光伏发电场地施工结束后对场地进行平整，并采取人工干预方式恢复植被。因此工程的建设对区域内地表植被的破坏影响较小。区域动植物物种均为周边区域常见种，因此项目的建设不会造成生物物种的减少，对野生动物和人工饲养动物的栖息、活动影响较小。</w:t>
            </w:r>
          </w:p>
          <w:p w14:paraId="7061A961">
            <w:pPr>
              <w:spacing w:line="360" w:lineRule="exact"/>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（2）运营期</w:t>
            </w:r>
          </w:p>
          <w:p w14:paraId="0F8A976F">
            <w:pPr>
              <w:spacing w:line="360" w:lineRule="exact"/>
              <w:rPr>
                <w:rFonts w:eastAsiaTheme="minorEastAsia"/>
                <w:color w:val="000000" w:themeColor="text1"/>
                <w:szCs w:val="21"/>
                <w14:textFill>
                  <w14:solidFill>
                    <w14:schemeClr w14:val="tx1"/>
                  </w14:solidFill>
                </w14:textFill>
              </w:rPr>
            </w:pPr>
            <w:r>
              <w:rPr>
                <w:rFonts w:hint="eastAsia" w:cs="宋体"/>
                <w:color w:val="000000" w:themeColor="text1"/>
                <w:szCs w:val="21"/>
                <w:lang w:bidi="ar"/>
                <w14:textFill>
                  <w14:solidFill>
                    <w14:schemeClr w14:val="tx1"/>
                  </w14:solidFill>
                </w14:textFill>
              </w:rPr>
              <w:t>本项目水土保持工程实施后，通过大量栽植灌木将明显提高其异质化程度，因此，项目实施后不会对其生态景观产生明显影响。</w:t>
            </w:r>
          </w:p>
        </w:tc>
      </w:tr>
      <w:tr w14:paraId="093173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21" w:hRule="atLeast"/>
          <w:jc w:val="center"/>
        </w:trPr>
        <w:tc>
          <w:tcPr>
            <w:tcW w:w="374" w:type="pct"/>
            <w:vAlign w:val="center"/>
          </w:tcPr>
          <w:p w14:paraId="2C7E1B10">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p w14:paraId="71855958">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w:t>
            </w:r>
          </w:p>
        </w:tc>
        <w:tc>
          <w:tcPr>
            <w:tcW w:w="1179" w:type="pct"/>
            <w:vAlign w:val="center"/>
          </w:tcPr>
          <w:p w14:paraId="1AAC408E">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63" w:type="pct"/>
            <w:vAlign w:val="center"/>
          </w:tcPr>
          <w:p w14:paraId="5BC154A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10" w:type="pct"/>
            <w:vAlign w:val="center"/>
          </w:tcPr>
          <w:p w14:paraId="6F36E52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变电站设置事故油池</w:t>
            </w:r>
          </w:p>
        </w:tc>
        <w:tc>
          <w:tcPr>
            <w:tcW w:w="1172" w:type="pct"/>
            <w:vAlign w:val="center"/>
          </w:tcPr>
          <w:p w14:paraId="74EA7971">
            <w:pPr>
              <w:spacing w:line="36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在事故状态下，会有部分变压器油外漏，进入事故油池内，收集后交有资质单位处置。</w:t>
            </w:r>
          </w:p>
        </w:tc>
      </w:tr>
      <w:tr w14:paraId="4A0DA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74" w:type="pct"/>
            <w:vAlign w:val="center"/>
          </w:tcPr>
          <w:p w14:paraId="02E9B495">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w:t>
            </w:r>
          </w:p>
          <w:p w14:paraId="0507537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w:t>
            </w:r>
          </w:p>
        </w:tc>
        <w:tc>
          <w:tcPr>
            <w:tcW w:w="1179" w:type="pct"/>
            <w:vAlign w:val="center"/>
          </w:tcPr>
          <w:p w14:paraId="17F769A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63" w:type="pct"/>
            <w:vAlign w:val="center"/>
          </w:tcPr>
          <w:p w14:paraId="137848D2">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10" w:type="pct"/>
            <w:vAlign w:val="center"/>
          </w:tcPr>
          <w:p w14:paraId="3807AD58">
            <w:pPr>
              <w:spacing w:line="36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对变电站站界环境的影响进行监测。</w:t>
            </w:r>
          </w:p>
        </w:tc>
        <w:tc>
          <w:tcPr>
            <w:tcW w:w="1172" w:type="pct"/>
            <w:vAlign w:val="center"/>
          </w:tcPr>
          <w:p w14:paraId="604E4FA2">
            <w:pPr>
              <w:spacing w:line="360" w:lineRule="exact"/>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委托有资质单位开展监测或自行监测，监测记录完整。</w:t>
            </w:r>
          </w:p>
        </w:tc>
      </w:tr>
      <w:tr w14:paraId="133A9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4" w:type="pct"/>
            <w:vAlign w:val="center"/>
          </w:tcPr>
          <w:p w14:paraId="03B84737">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其他环境管理要求</w:t>
            </w:r>
          </w:p>
        </w:tc>
        <w:tc>
          <w:tcPr>
            <w:tcW w:w="1179" w:type="pct"/>
            <w:vAlign w:val="center"/>
          </w:tcPr>
          <w:p w14:paraId="1B8C730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63" w:type="pct"/>
            <w:vAlign w:val="center"/>
          </w:tcPr>
          <w:p w14:paraId="7118F494">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510" w:type="pct"/>
            <w:vAlign w:val="center"/>
          </w:tcPr>
          <w:p w14:paraId="253EE5CC">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72" w:type="pct"/>
            <w:vAlign w:val="center"/>
          </w:tcPr>
          <w:p w14:paraId="773CB2F0">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14:paraId="73EE5595">
      <w:pPr>
        <w:pStyle w:val="61"/>
        <w:spacing w:before="0" w:beforeAutospacing="0" w:line="15" w:lineRule="auto"/>
        <w:ind w:firstLine="60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br w:type="page"/>
      </w:r>
    </w:p>
    <w:p w14:paraId="1DD43CE7">
      <w:pPr>
        <w:pStyle w:val="61"/>
        <w:ind w:firstLine="600"/>
        <w:jc w:val="center"/>
        <w:outlineLvl w:val="0"/>
        <w:rPr>
          <w:rFonts w:ascii="黑体" w:hAnsi="黑体" w:eastAsia="黑体"/>
          <w:snapToGrid w:val="0"/>
          <w:color w:val="000000" w:themeColor="text1"/>
          <w:sz w:val="30"/>
          <w:szCs w:val="30"/>
          <w14:textFill>
            <w14:solidFill>
              <w14:schemeClr w14:val="tx1"/>
            </w14:solidFill>
          </w14:textFill>
        </w:rPr>
      </w:pPr>
      <w:bookmarkStart w:id="50" w:name="_Toc15189"/>
      <w:bookmarkStart w:id="51" w:name="_Toc32340"/>
      <w:r>
        <w:rPr>
          <w:rFonts w:ascii="黑体" w:hAnsi="黑体" w:eastAsia="黑体"/>
          <w:snapToGrid w:val="0"/>
          <w:color w:val="000000" w:themeColor="text1"/>
          <w:sz w:val="30"/>
          <w:szCs w:val="30"/>
          <w14:textFill>
            <w14:solidFill>
              <w14:schemeClr w14:val="tx1"/>
            </w14:solidFill>
          </w14:textFill>
        </w:rPr>
        <w:t>七、结论</w:t>
      </w:r>
      <w:bookmarkEnd w:id="50"/>
      <w:bookmarkEnd w:id="51"/>
    </w:p>
    <w:tbl>
      <w:tblPr>
        <w:tblStyle w:val="66"/>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C28A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55" w:hRule="atLeast"/>
        </w:trPr>
        <w:tc>
          <w:tcPr>
            <w:tcW w:w="5000" w:type="pct"/>
          </w:tcPr>
          <w:p w14:paraId="45E99570">
            <w:pPr>
              <w:adjustRightInd w:val="0"/>
              <w:snapToGrid w:val="0"/>
              <w:spacing w:line="440" w:lineRule="exact"/>
              <w:ind w:firstLine="522" w:firstLineChars="200"/>
              <w:rPr>
                <w:b/>
                <w:color w:val="000000" w:themeColor="text1"/>
                <w:spacing w:val="10"/>
                <w:sz w:val="24"/>
                <w14:textFill>
                  <w14:solidFill>
                    <w14:schemeClr w14:val="tx1"/>
                  </w14:solidFill>
                </w14:textFill>
              </w:rPr>
            </w:pPr>
            <w:r>
              <w:rPr>
                <w:rFonts w:hint="eastAsia"/>
                <w:b/>
                <w:color w:val="000000" w:themeColor="text1"/>
                <w:spacing w:val="10"/>
                <w:sz w:val="24"/>
                <w14:textFill>
                  <w14:solidFill>
                    <w14:schemeClr w14:val="tx1"/>
                  </w14:solidFill>
                </w14:textFill>
              </w:rPr>
              <w:t>1、工程分析结论</w:t>
            </w:r>
          </w:p>
          <w:p w14:paraId="1152DA33">
            <w:pPr>
              <w:adjustRightInd w:val="0"/>
              <w:snapToGrid w:val="0"/>
              <w:spacing w:line="440" w:lineRule="exact"/>
              <w:ind w:firstLine="520" w:firstLineChars="200"/>
              <w:rPr>
                <w:bCs/>
                <w:color w:val="000000" w:themeColor="text1"/>
                <w:spacing w:val="10"/>
                <w:sz w:val="24"/>
                <w14:textFill>
                  <w14:solidFill>
                    <w14:schemeClr w14:val="tx1"/>
                  </w14:solidFill>
                </w14:textFill>
              </w:rPr>
            </w:pPr>
            <w:r>
              <w:rPr>
                <w:rFonts w:hint="eastAsia"/>
                <w:bCs/>
                <w:color w:val="000000" w:themeColor="text1"/>
                <w:spacing w:val="10"/>
                <w:sz w:val="24"/>
                <w14:textFill>
                  <w14:solidFill>
                    <w14:schemeClr w14:val="tx1"/>
                  </w14:solidFill>
                </w14:textFill>
              </w:rPr>
              <w:t>项目采取了较完善的环保治理措施，工程实施后对周边环境影响均符合国家相关标准要求。因此，本评价从环保角度认为，项目的建设是可行的。</w:t>
            </w:r>
          </w:p>
          <w:p w14:paraId="7AD3774B">
            <w:pPr>
              <w:adjustRightInd w:val="0"/>
              <w:snapToGrid w:val="0"/>
              <w:spacing w:line="440" w:lineRule="exact"/>
              <w:ind w:firstLine="522" w:firstLineChars="200"/>
              <w:rPr>
                <w:b/>
                <w:color w:val="000000" w:themeColor="text1"/>
                <w:spacing w:val="10"/>
                <w:sz w:val="24"/>
                <w14:textFill>
                  <w14:solidFill>
                    <w14:schemeClr w14:val="tx1"/>
                  </w14:solidFill>
                </w14:textFill>
              </w:rPr>
            </w:pPr>
            <w:r>
              <w:rPr>
                <w:rFonts w:hint="eastAsia"/>
                <w:b/>
                <w:color w:val="000000" w:themeColor="text1"/>
                <w:spacing w:val="10"/>
                <w:sz w:val="24"/>
                <w14:textFill>
                  <w14:solidFill>
                    <w14:schemeClr w14:val="tx1"/>
                  </w14:solidFill>
                </w14:textFill>
              </w:rPr>
              <w:t>2、建设项目环境保护“三同时”验收</w:t>
            </w:r>
          </w:p>
          <w:p w14:paraId="38C5E207">
            <w:pPr>
              <w:adjustRightInd w:val="0"/>
              <w:snapToGrid w:val="0"/>
              <w:spacing w:line="440" w:lineRule="exact"/>
              <w:ind w:firstLine="520" w:firstLineChars="200"/>
              <w:rPr>
                <w:bCs/>
                <w:color w:val="000000" w:themeColor="text1"/>
                <w:spacing w:val="10"/>
                <w:sz w:val="24"/>
                <w14:textFill>
                  <w14:solidFill>
                    <w14:schemeClr w14:val="tx1"/>
                  </w14:solidFill>
                </w14:textFill>
              </w:rPr>
            </w:pPr>
            <w:r>
              <w:rPr>
                <w:rFonts w:hint="eastAsia"/>
                <w:bCs/>
                <w:color w:val="000000" w:themeColor="text1"/>
                <w:spacing w:val="10"/>
                <w:sz w:val="24"/>
                <w14:textFill>
                  <w14:solidFill>
                    <w14:schemeClr w14:val="tx1"/>
                  </w14:solidFill>
                </w14:textFill>
              </w:rPr>
              <w:t>根据国家有关法律法规，环境保护设施必须与主体工程同时设计，同时施工，同时投产使用，现按国家有关规定，提出建设项目环境保护“三同时”验收一览表，见7</w:t>
            </w:r>
            <w:r>
              <w:rPr>
                <w:bCs/>
                <w:color w:val="000000" w:themeColor="text1"/>
                <w:spacing w:val="10"/>
                <w:sz w:val="24"/>
                <w14:textFill>
                  <w14:solidFill>
                    <w14:schemeClr w14:val="tx1"/>
                  </w14:solidFill>
                </w14:textFill>
              </w:rPr>
              <w:t>-1</w:t>
            </w:r>
            <w:r>
              <w:rPr>
                <w:rFonts w:hint="eastAsia"/>
                <w:bCs/>
                <w:color w:val="000000" w:themeColor="text1"/>
                <w:spacing w:val="10"/>
                <w:sz w:val="24"/>
                <w14:textFill>
                  <w14:solidFill>
                    <w14:schemeClr w14:val="tx1"/>
                  </w14:solidFill>
                </w14:textFill>
              </w:rPr>
              <w:t>。</w:t>
            </w:r>
          </w:p>
          <w:p w14:paraId="3B783364">
            <w:pPr>
              <w:adjustRightInd w:val="0"/>
              <w:snapToGrid w:val="0"/>
              <w:spacing w:line="440" w:lineRule="exact"/>
              <w:ind w:firstLine="522" w:firstLineChars="200"/>
              <w:rPr>
                <w:b/>
                <w:color w:val="000000" w:themeColor="text1"/>
                <w:spacing w:val="10"/>
                <w:sz w:val="24"/>
                <w14:textFill>
                  <w14:solidFill>
                    <w14:schemeClr w14:val="tx1"/>
                  </w14:solidFill>
                </w14:textFill>
              </w:rPr>
            </w:pPr>
            <w:r>
              <w:rPr>
                <w:rFonts w:hint="eastAsia"/>
                <w:b/>
                <w:color w:val="000000" w:themeColor="text1"/>
                <w:spacing w:val="10"/>
                <w:sz w:val="24"/>
                <w14:textFill>
                  <w14:solidFill>
                    <w14:schemeClr w14:val="tx1"/>
                  </w14:solidFill>
                </w14:textFill>
              </w:rPr>
              <w:t>表7</w:t>
            </w:r>
            <w:r>
              <w:rPr>
                <w:b/>
                <w:color w:val="000000" w:themeColor="text1"/>
                <w:spacing w:val="10"/>
                <w:sz w:val="24"/>
                <w14:textFill>
                  <w14:solidFill>
                    <w14:schemeClr w14:val="tx1"/>
                  </w14:solidFill>
                </w14:textFill>
              </w:rPr>
              <w:t xml:space="preserve">-1    </w:t>
            </w:r>
            <w:r>
              <w:rPr>
                <w:rFonts w:hint="eastAsia"/>
                <w:b/>
                <w:color w:val="000000" w:themeColor="text1"/>
                <w:spacing w:val="10"/>
                <w:sz w:val="24"/>
                <w14:textFill>
                  <w14:solidFill>
                    <w14:schemeClr w14:val="tx1"/>
                  </w14:solidFill>
                </w14:textFill>
              </w:rPr>
              <w:t>项目“三同时”验收一览表</w:t>
            </w:r>
          </w:p>
          <w:tbl>
            <w:tblPr>
              <w:tblStyle w:val="6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84"/>
              <w:gridCol w:w="974"/>
              <w:gridCol w:w="7040"/>
            </w:tblGrid>
            <w:tr w14:paraId="5C21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558" w:type="dxa"/>
                  <w:gridSpan w:val="2"/>
                </w:tcPr>
                <w:p w14:paraId="3ED91899">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验收项目</w:t>
                  </w:r>
                </w:p>
              </w:tc>
              <w:tc>
                <w:tcPr>
                  <w:tcW w:w="7040" w:type="dxa"/>
                </w:tcPr>
                <w:p w14:paraId="03959591">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内容和要求</w:t>
                  </w:r>
                </w:p>
              </w:tc>
            </w:tr>
            <w:tr w14:paraId="49D2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84" w:type="dxa"/>
                  <w:vMerge w:val="restart"/>
                  <w:vAlign w:val="center"/>
                </w:tcPr>
                <w:p w14:paraId="6F88F6BD">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升压站</w:t>
                  </w:r>
                </w:p>
              </w:tc>
              <w:tc>
                <w:tcPr>
                  <w:tcW w:w="974" w:type="dxa"/>
                  <w:vAlign w:val="center"/>
                </w:tcPr>
                <w:p w14:paraId="1B559CE1">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w:t>
                  </w:r>
                  <w:r>
                    <w:rPr>
                      <w:color w:val="000000" w:themeColor="text1"/>
                      <w:szCs w:val="21"/>
                      <w14:textFill>
                        <w14:solidFill>
                          <w14:schemeClr w14:val="tx1"/>
                        </w14:solidFill>
                      </w14:textFill>
                    </w:rPr>
                    <w:t>噪声</w:t>
                  </w:r>
                </w:p>
              </w:tc>
              <w:tc>
                <w:tcPr>
                  <w:tcW w:w="7040" w:type="dxa"/>
                </w:tcPr>
                <w:p w14:paraId="2A781E91">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站界符合《工业企业厂界环境噪声排放标准》（GB12348-2008）</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类标准。</w:t>
                  </w:r>
                </w:p>
              </w:tc>
            </w:tr>
            <w:tr w14:paraId="7DBC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584" w:type="dxa"/>
                  <w:vMerge w:val="continue"/>
                  <w:vAlign w:val="center"/>
                </w:tcPr>
                <w:p w14:paraId="4605EF78">
                  <w:pPr>
                    <w:spacing w:line="360" w:lineRule="exact"/>
                    <w:jc w:val="center"/>
                    <w:rPr>
                      <w:color w:val="000000" w:themeColor="text1"/>
                      <w:szCs w:val="21"/>
                      <w14:textFill>
                        <w14:solidFill>
                          <w14:schemeClr w14:val="tx1"/>
                        </w14:solidFill>
                      </w14:textFill>
                    </w:rPr>
                  </w:pPr>
                </w:p>
              </w:tc>
              <w:tc>
                <w:tcPr>
                  <w:tcW w:w="974" w:type="dxa"/>
                  <w:vAlign w:val="center"/>
                </w:tcPr>
                <w:p w14:paraId="0AEE74BF">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事故油池</w:t>
                  </w:r>
                </w:p>
              </w:tc>
              <w:tc>
                <w:tcPr>
                  <w:tcW w:w="7040" w:type="dxa"/>
                </w:tcPr>
                <w:p w14:paraId="4A04B7DE">
                  <w:pPr>
                    <w:spacing w:line="360" w:lineRule="exact"/>
                    <w:rPr>
                      <w:color w:val="000000" w:themeColor="text1"/>
                      <w:szCs w:val="21"/>
                      <w14:textFill>
                        <w14:solidFill>
                          <w14:schemeClr w14:val="tx1"/>
                        </w14:solidFill>
                      </w14:textFill>
                    </w:rPr>
                  </w:pPr>
                  <w:r>
                    <w:rPr>
                      <w:color w:val="000000" w:themeColor="text1"/>
                      <w:szCs w:val="21"/>
                      <w14:textFill>
                        <w14:solidFill>
                          <w14:schemeClr w14:val="tx1"/>
                        </w14:solidFill>
                      </w14:textFill>
                    </w:rPr>
                    <w:t>1座容积为30m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事故油池。事故油池进行防渗处理，防渗层透系数≤10</w:t>
                  </w:r>
                  <w:r>
                    <w:rPr>
                      <w:color w:val="000000" w:themeColor="text1"/>
                      <w:szCs w:val="21"/>
                      <w:vertAlign w:val="superscript"/>
                      <w14:textFill>
                        <w14:solidFill>
                          <w14:schemeClr w14:val="tx1"/>
                        </w14:solidFill>
                      </w14:textFill>
                    </w:rPr>
                    <w:t>-10</w:t>
                  </w:r>
                  <w:r>
                    <w:rPr>
                      <w:color w:val="000000" w:themeColor="text1"/>
                      <w:szCs w:val="21"/>
                      <w14:textFill>
                        <w14:solidFill>
                          <w14:schemeClr w14:val="tx1"/>
                        </w14:solidFill>
                      </w14:textFill>
                    </w:rPr>
                    <w:t>cm/s。</w:t>
                  </w:r>
                </w:p>
              </w:tc>
            </w:tr>
          </w:tbl>
          <w:p w14:paraId="503FE147">
            <w:pPr>
              <w:spacing w:line="44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3、建议</w:t>
            </w:r>
          </w:p>
          <w:p w14:paraId="41B68C79">
            <w:pPr>
              <w:adjustRightInd w:val="0"/>
              <w:snapToGrid w:val="0"/>
              <w:spacing w:line="440" w:lineRule="exact"/>
              <w:ind w:firstLine="520" w:firstLineChars="200"/>
              <w:rPr>
                <w:bCs/>
                <w:color w:val="000000" w:themeColor="text1"/>
                <w:spacing w:val="10"/>
                <w:sz w:val="24"/>
                <w14:textFill>
                  <w14:solidFill>
                    <w14:schemeClr w14:val="tx1"/>
                  </w14:solidFill>
                </w14:textFill>
              </w:rPr>
            </w:pPr>
            <w:r>
              <w:rPr>
                <w:bCs/>
                <w:color w:val="000000" w:themeColor="text1"/>
                <w:spacing w:val="10"/>
                <w:sz w:val="24"/>
                <w14:textFill>
                  <w14:solidFill>
                    <w14:schemeClr w14:val="tx1"/>
                  </w14:solidFill>
                </w14:textFill>
              </w:rPr>
              <w:t>为了保护环境，确保</w:t>
            </w:r>
            <w:r>
              <w:rPr>
                <w:rFonts w:hint="eastAsia"/>
                <w:bCs/>
                <w:color w:val="000000" w:themeColor="text1"/>
                <w:spacing w:val="10"/>
                <w:sz w:val="24"/>
                <w14:textFill>
                  <w14:solidFill>
                    <w14:schemeClr w14:val="tx1"/>
                  </w14:solidFill>
                </w14:textFill>
              </w:rPr>
              <w:t>光伏电站</w:t>
            </w:r>
            <w:r>
              <w:rPr>
                <w:bCs/>
                <w:color w:val="000000" w:themeColor="text1"/>
                <w:spacing w:val="10"/>
                <w:sz w:val="24"/>
                <w14:textFill>
                  <w14:solidFill>
                    <w14:schemeClr w14:val="tx1"/>
                  </w14:solidFill>
                </w14:textFill>
              </w:rPr>
              <w:t>噪声污染源的长期稳定达标及周围生态环境的改善，本评价提出以下要求：</w:t>
            </w:r>
          </w:p>
          <w:p w14:paraId="1176DC96">
            <w:pPr>
              <w:adjustRightInd w:val="0"/>
              <w:snapToGrid w:val="0"/>
              <w:spacing w:line="440" w:lineRule="exact"/>
              <w:ind w:firstLine="520" w:firstLineChars="200"/>
              <w:rPr>
                <w:bCs/>
                <w:color w:val="000000" w:themeColor="text1"/>
                <w:spacing w:val="10"/>
                <w:sz w:val="24"/>
                <w14:textFill>
                  <w14:solidFill>
                    <w14:schemeClr w14:val="tx1"/>
                  </w14:solidFill>
                </w14:textFill>
              </w:rPr>
            </w:pPr>
            <w:r>
              <w:rPr>
                <w:bCs/>
                <w:color w:val="000000" w:themeColor="text1"/>
                <w:spacing w:val="10"/>
                <w:sz w:val="24"/>
                <w14:textFill>
                  <w14:solidFill>
                    <w14:schemeClr w14:val="tx1"/>
                  </w14:solidFill>
                </w14:textFill>
              </w:rPr>
              <w:t>（1）本</w:t>
            </w:r>
            <w:r>
              <w:rPr>
                <w:rFonts w:hint="eastAsia"/>
                <w:bCs/>
                <w:color w:val="000000" w:themeColor="text1"/>
                <w:spacing w:val="10"/>
                <w:sz w:val="24"/>
                <w14:textFill>
                  <w14:solidFill>
                    <w14:schemeClr w14:val="tx1"/>
                  </w14:solidFill>
                </w14:textFill>
              </w:rPr>
              <w:t>项目</w:t>
            </w:r>
            <w:r>
              <w:rPr>
                <w:bCs/>
                <w:color w:val="000000" w:themeColor="text1"/>
                <w:spacing w:val="10"/>
                <w:sz w:val="24"/>
                <w14:textFill>
                  <w14:solidFill>
                    <w14:schemeClr w14:val="tx1"/>
                  </w14:solidFill>
                </w14:textFill>
              </w:rPr>
              <w:t>运行阶段应切实落实本报告中所确定的各项环保措施和《输变电建设项目环境保护技术要求》（HJ1113-2020）中相关要求。</w:t>
            </w:r>
          </w:p>
          <w:p w14:paraId="62FB2A32">
            <w:pPr>
              <w:adjustRightInd w:val="0"/>
              <w:snapToGrid w:val="0"/>
              <w:spacing w:line="440" w:lineRule="exact"/>
              <w:ind w:firstLine="520" w:firstLineChars="200"/>
              <w:rPr>
                <w:color w:val="000000" w:themeColor="text1"/>
                <w14:textFill>
                  <w14:solidFill>
                    <w14:schemeClr w14:val="tx1"/>
                  </w14:solidFill>
                </w14:textFill>
              </w:rPr>
            </w:pPr>
            <w:r>
              <w:rPr>
                <w:bCs/>
                <w:color w:val="000000" w:themeColor="text1"/>
                <w:spacing w:val="10"/>
                <w:sz w:val="24"/>
                <w14:textFill>
                  <w14:solidFill>
                    <w14:schemeClr w14:val="tx1"/>
                  </w14:solidFill>
                </w14:textFill>
              </w:rPr>
              <w:t>（2）工程施工过程中除严格执行环保设计要求外，应与当地有关部门配合，做好环境保护措施实施的管理与监督工作。</w:t>
            </w:r>
          </w:p>
          <w:p w14:paraId="794F7F1A">
            <w:pPr>
              <w:adjustRightInd w:val="0"/>
              <w:snapToGrid w:val="0"/>
              <w:spacing w:line="440" w:lineRule="exact"/>
              <w:ind w:firstLine="420" w:firstLineChars="200"/>
              <w:rPr>
                <w:color w:val="000000" w:themeColor="text1"/>
                <w14:textFill>
                  <w14:solidFill>
                    <w14:schemeClr w14:val="tx1"/>
                  </w14:solidFill>
                </w14:textFill>
              </w:rPr>
            </w:pPr>
          </w:p>
          <w:p w14:paraId="34A114AF">
            <w:pPr>
              <w:adjustRightInd w:val="0"/>
              <w:snapToGrid w:val="0"/>
              <w:spacing w:line="440" w:lineRule="exact"/>
              <w:ind w:firstLine="420" w:firstLineChars="200"/>
              <w:rPr>
                <w:color w:val="000000" w:themeColor="text1"/>
                <w14:textFill>
                  <w14:solidFill>
                    <w14:schemeClr w14:val="tx1"/>
                  </w14:solidFill>
                </w14:textFill>
              </w:rPr>
            </w:pPr>
          </w:p>
        </w:tc>
      </w:tr>
    </w:tbl>
    <w:p w14:paraId="6AD8AE57">
      <w:pPr>
        <w:tabs>
          <w:tab w:val="left" w:pos="5035"/>
        </w:tabs>
        <w:spacing w:line="140" w:lineRule="atLeast"/>
        <w:ind w:firstLine="400"/>
        <w:rPr>
          <w:rFonts w:cs="ˎ̥"/>
          <w:bCs/>
          <w:color w:val="000000" w:themeColor="text1"/>
          <w:sz w:val="20"/>
          <w:szCs w:val="15"/>
          <w14:textFill>
            <w14:solidFill>
              <w14:schemeClr w14:val="tx1"/>
            </w14:solidFill>
          </w14:textFill>
        </w:rPr>
      </w:pPr>
    </w:p>
    <w:sectPr>
      <w:pgSz w:w="11906" w:h="16838"/>
      <w:pgMar w:top="1701" w:right="1531" w:bottom="1701" w:left="1531" w:header="851" w:footer="624"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altName w:val="Arial Unicode MS"/>
    <w:panose1 w:val="02010600030101010101"/>
    <w:charset w:val="86"/>
    <w:family w:val="auto"/>
    <w:pitch w:val="default"/>
    <w:sig w:usb0="00000000" w:usb1="00000000" w:usb2="00000016" w:usb3="00000000" w:csb0="0004000F" w:csb1="0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EF0A7">
    <w:pPr>
      <w:pStyle w:val="4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AA77C">
    <w:pPr>
      <w:pStyle w:val="46"/>
      <w:framePr w:wrap="around" w:vAnchor="text" w:hAnchor="margin" w:xAlign="outside" w:y="1"/>
      <w:rPr>
        <w:rStyle w:val="71"/>
      </w:rPr>
    </w:pPr>
    <w:r>
      <w:fldChar w:fldCharType="begin"/>
    </w:r>
    <w:r>
      <w:rPr>
        <w:rStyle w:val="71"/>
      </w:rPr>
      <w:instrText xml:space="preserve">PAGE  </w:instrText>
    </w:r>
    <w:r>
      <w:fldChar w:fldCharType="separate"/>
    </w:r>
    <w:r>
      <w:rPr>
        <w:rStyle w:val="71"/>
      </w:rPr>
      <w:t>78</w:t>
    </w:r>
    <w:r>
      <w:fldChar w:fldCharType="end"/>
    </w:r>
  </w:p>
  <w:p w14:paraId="312B295F">
    <w:pPr>
      <w:pStyle w:val="4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AF0AA">
    <w:pPr>
      <w:pStyle w:val="46"/>
      <w:jc w:val="center"/>
    </w:pPr>
    <w:r>
      <mc:AlternateContent>
        <mc:Choice Requires="wps">
          <w:drawing>
            <wp:anchor distT="0" distB="0" distL="114300" distR="114300" simplePos="0" relativeHeight="251661312" behindDoc="0" locked="0" layoutInCell="1" allowOverlap="1">
              <wp:simplePos x="0" y="0"/>
              <wp:positionH relativeFrom="margin">
                <wp:posOffset>2455545</wp:posOffset>
              </wp:positionH>
              <wp:positionV relativeFrom="paragraph">
                <wp:posOffset>-74295</wp:posOffset>
              </wp:positionV>
              <wp:extent cx="885190" cy="153035"/>
              <wp:effectExtent l="0" t="0" r="0" b="0"/>
              <wp:wrapNone/>
              <wp:docPr id="189390264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885190" cy="153035"/>
                      </a:xfrm>
                      <a:prstGeom prst="rect">
                        <a:avLst/>
                      </a:prstGeom>
                      <a:noFill/>
                      <a:ln>
                        <a:noFill/>
                      </a:ln>
                      <a:effectLst/>
                    </wps:spPr>
                    <wps:txbx>
                      <w:txbxContent>
                        <w:p w14:paraId="1F54A1B9">
                          <w:pPr>
                            <w:pStyle w:val="46"/>
                            <w:rPr>
                              <w:rStyle w:val="71"/>
                              <w:sz w:val="21"/>
                              <w:szCs w:val="21"/>
                            </w:rPr>
                          </w:pPr>
                          <w:r>
                            <w:rPr>
                              <w:rStyle w:val="71"/>
                              <w:sz w:val="21"/>
                              <w:szCs w:val="21"/>
                            </w:rPr>
                            <w:t xml:space="preserve">—  </w:t>
                          </w:r>
                          <w:r>
                            <w:rPr>
                              <w:sz w:val="21"/>
                              <w:szCs w:val="21"/>
                            </w:rPr>
                            <w:fldChar w:fldCharType="begin"/>
                          </w:r>
                          <w:r>
                            <w:rPr>
                              <w:rStyle w:val="71"/>
                              <w:sz w:val="21"/>
                              <w:szCs w:val="21"/>
                            </w:rPr>
                            <w:instrText xml:space="preserve">PAGE  </w:instrText>
                          </w:r>
                          <w:r>
                            <w:rPr>
                              <w:sz w:val="21"/>
                              <w:szCs w:val="21"/>
                            </w:rPr>
                            <w:fldChar w:fldCharType="separate"/>
                          </w:r>
                          <w:r>
                            <w:rPr>
                              <w:rStyle w:val="71"/>
                              <w:sz w:val="21"/>
                              <w:szCs w:val="21"/>
                            </w:rPr>
                            <w:t>102</w:t>
                          </w:r>
                          <w:r>
                            <w:rPr>
                              <w:sz w:val="21"/>
                              <w:szCs w:val="21"/>
                            </w:rPr>
                            <w:fldChar w:fldCharType="end"/>
                          </w:r>
                          <w:r>
                            <w:rPr>
                              <w:rStyle w:val="71"/>
                              <w:sz w:val="21"/>
                              <w:szCs w:val="21"/>
                            </w:rPr>
                            <w:t xml:space="preserve">  —</w:t>
                          </w:r>
                        </w:p>
                      </w:txbxContent>
                    </wps:txbx>
                    <wps:bodyPr rot="0" vert="horz" wrap="square" lIns="0" tIns="0" rIns="0" bIns="0" anchor="t" anchorCtr="0" upright="1">
                      <a:spAutoFit/>
                    </wps:bodyPr>
                  </wps:wsp>
                </a:graphicData>
              </a:graphic>
            </wp:anchor>
          </w:drawing>
        </mc:Choice>
        <mc:Fallback>
          <w:pict>
            <v:shape id="文本框 1" o:spid="_x0000_s1026" o:spt="202" type="#_x0000_t202" style="position:absolute;left:0pt;margin-left:193.35pt;margin-top:-5.85pt;height:12.05pt;width:69.7pt;mso-position-horizontal-relative:margin;z-index:251661312;mso-width-relative:page;mso-height-relative:page;" filled="f" stroked="f" coordsize="21600,21600" o:gfxdata="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VAE4NYAAAAKAQAADwAA&#10;AAAAAAABACAAAAAiAAAAZHJzL2Rvd25yZXYueG1sUEsBAhQAFAAAAAgAh07iQL4a1zcYAgAAGwQA&#10;AA4AAAAAAAAAAQAgAAAAJQEAAGRycy9lMm9Eb2MueG1sUEsFBgAAAAAGAAYAWQEAAK8FAAAAAA==&#10;">
              <v:fill on="f" focussize="0,0"/>
              <v:stroke on="f"/>
              <v:imagedata o:title=""/>
              <o:lock v:ext="edit" aspectratio="f"/>
              <v:textbox inset="0mm,0mm,0mm,0mm" style="mso-fit-shape-to-text:t;">
                <w:txbxContent>
                  <w:p w14:paraId="1F54A1B9">
                    <w:pPr>
                      <w:pStyle w:val="46"/>
                      <w:rPr>
                        <w:rStyle w:val="71"/>
                        <w:sz w:val="21"/>
                        <w:szCs w:val="21"/>
                      </w:rPr>
                    </w:pPr>
                    <w:r>
                      <w:rPr>
                        <w:rStyle w:val="71"/>
                        <w:sz w:val="21"/>
                        <w:szCs w:val="21"/>
                      </w:rPr>
                      <w:t xml:space="preserve">—  </w:t>
                    </w:r>
                    <w:r>
                      <w:rPr>
                        <w:sz w:val="21"/>
                        <w:szCs w:val="21"/>
                      </w:rPr>
                      <w:fldChar w:fldCharType="begin"/>
                    </w:r>
                    <w:r>
                      <w:rPr>
                        <w:rStyle w:val="71"/>
                        <w:sz w:val="21"/>
                        <w:szCs w:val="21"/>
                      </w:rPr>
                      <w:instrText xml:space="preserve">PAGE  </w:instrText>
                    </w:r>
                    <w:r>
                      <w:rPr>
                        <w:sz w:val="21"/>
                        <w:szCs w:val="21"/>
                      </w:rPr>
                      <w:fldChar w:fldCharType="separate"/>
                    </w:r>
                    <w:r>
                      <w:rPr>
                        <w:rStyle w:val="71"/>
                        <w:sz w:val="21"/>
                        <w:szCs w:val="21"/>
                      </w:rPr>
                      <w:t>102</w:t>
                    </w:r>
                    <w:r>
                      <w:rPr>
                        <w:sz w:val="21"/>
                        <w:szCs w:val="21"/>
                      </w:rPr>
                      <w:fldChar w:fldCharType="end"/>
                    </w:r>
                    <w:r>
                      <w:rPr>
                        <w:rStyle w:val="71"/>
                        <w:sz w:val="21"/>
                        <w:szCs w:val="21"/>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2599902"/>
    </w:sdtPr>
    <w:sdtEndPr>
      <w:rPr>
        <w:sz w:val="21"/>
        <w:szCs w:val="21"/>
      </w:rPr>
    </w:sdtEndPr>
    <w:sdtContent>
      <w:p w14:paraId="2BCB1A29">
        <w:pPr>
          <w:pStyle w:val="46"/>
          <w:ind w:left="360"/>
          <w:jc w:val="center"/>
          <w:rPr>
            <w:sz w:val="21"/>
            <w:szCs w:val="21"/>
          </w:rPr>
        </w:pPr>
        <w:r>
          <w:rPr>
            <w:b/>
            <w:bCs/>
            <w:sz w:val="21"/>
            <w:szCs w:val="21"/>
          </w:rPr>
          <w:t xml:space="preserve">-- </w:t>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69</w:t>
        </w:r>
        <w:r>
          <w:rPr>
            <w:sz w:val="21"/>
            <w:szCs w:val="21"/>
          </w:rPr>
          <w:fldChar w:fldCharType="end"/>
        </w:r>
        <w:r>
          <w:rPr>
            <w:b/>
            <w:bCs/>
            <w:sz w:val="21"/>
            <w:szCs w:val="21"/>
          </w:rPr>
          <w:t>--</w:t>
        </w:r>
      </w:p>
    </w:sdtContent>
  </w:sdt>
  <w:p w14:paraId="2337B4C3">
    <w:pPr>
      <w:pStyle w:val="46"/>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AB3E0E"/>
    <w:multiLevelType w:val="singleLevel"/>
    <w:tmpl w:val="9AAB3E0E"/>
    <w:lvl w:ilvl="0" w:tentative="0">
      <w:start w:val="1"/>
      <w:numFmt w:val="decimal"/>
      <w:suff w:val="nothing"/>
      <w:lvlText w:val="（%1）"/>
      <w:lvlJc w:val="left"/>
    </w:lvl>
  </w:abstractNum>
  <w:abstractNum w:abstractNumId="1">
    <w:nsid w:val="BC84B7E4"/>
    <w:multiLevelType w:val="singleLevel"/>
    <w:tmpl w:val="BC84B7E4"/>
    <w:lvl w:ilvl="0" w:tentative="0">
      <w:start w:val="3"/>
      <w:numFmt w:val="decimal"/>
      <w:suff w:val="nothing"/>
      <w:lvlText w:val="（%1）"/>
      <w:lvlJc w:val="left"/>
    </w:lvl>
  </w:abstractNum>
  <w:abstractNum w:abstractNumId="2">
    <w:nsid w:val="BF386951"/>
    <w:multiLevelType w:val="singleLevel"/>
    <w:tmpl w:val="BF386951"/>
    <w:lvl w:ilvl="0" w:tentative="0">
      <w:start w:val="1"/>
      <w:numFmt w:val="decimal"/>
      <w:suff w:val="nothing"/>
      <w:lvlText w:val="%1、"/>
      <w:lvlJc w:val="left"/>
    </w:lvl>
  </w:abstractNum>
  <w:abstractNum w:abstractNumId="3">
    <w:nsid w:val="D1ACA3D7"/>
    <w:multiLevelType w:val="singleLevel"/>
    <w:tmpl w:val="D1ACA3D7"/>
    <w:lvl w:ilvl="0" w:tentative="0">
      <w:start w:val="1"/>
      <w:numFmt w:val="decimal"/>
      <w:suff w:val="nothing"/>
      <w:lvlText w:val="%1、"/>
      <w:lvlJc w:val="left"/>
    </w:lvl>
  </w:abstractNum>
  <w:abstractNum w:abstractNumId="4">
    <w:nsid w:val="DA9E52C9"/>
    <w:multiLevelType w:val="singleLevel"/>
    <w:tmpl w:val="DA9E52C9"/>
    <w:lvl w:ilvl="0" w:tentative="0">
      <w:start w:val="1"/>
      <w:numFmt w:val="decimal"/>
      <w:suff w:val="nothing"/>
      <w:lvlText w:val="%1、"/>
      <w:lvlJc w:val="left"/>
    </w:lvl>
  </w:abstractNum>
  <w:abstractNum w:abstractNumId="5">
    <w:nsid w:val="E115C9C1"/>
    <w:multiLevelType w:val="singleLevel"/>
    <w:tmpl w:val="E115C9C1"/>
    <w:lvl w:ilvl="0" w:tentative="0">
      <w:start w:val="1"/>
      <w:numFmt w:val="decimal"/>
      <w:suff w:val="nothing"/>
      <w:lvlText w:val="%1、"/>
      <w:lvlJc w:val="left"/>
    </w:lvl>
  </w:abstractNum>
  <w:abstractNum w:abstractNumId="6">
    <w:nsid w:val="E17BBB7C"/>
    <w:multiLevelType w:val="singleLevel"/>
    <w:tmpl w:val="E17BBB7C"/>
    <w:lvl w:ilvl="0" w:tentative="0">
      <w:start w:val="3"/>
      <w:numFmt w:val="decimal"/>
      <w:suff w:val="nothing"/>
      <w:lvlText w:val="%1、"/>
      <w:lvlJc w:val="left"/>
    </w:lvl>
  </w:abstractNum>
  <w:abstractNum w:abstractNumId="7">
    <w:nsid w:val="FAC2AB4E"/>
    <w:multiLevelType w:val="singleLevel"/>
    <w:tmpl w:val="FAC2AB4E"/>
    <w:lvl w:ilvl="0" w:tentative="0">
      <w:start w:val="1"/>
      <w:numFmt w:val="decimal"/>
      <w:suff w:val="nothing"/>
      <w:lvlText w:val="%1、"/>
      <w:lvlJc w:val="left"/>
    </w:lvl>
  </w:abstractNum>
  <w:abstractNum w:abstractNumId="8">
    <w:nsid w:val="0D0C018F"/>
    <w:multiLevelType w:val="singleLevel"/>
    <w:tmpl w:val="0D0C018F"/>
    <w:lvl w:ilvl="0" w:tentative="0">
      <w:start w:val="1"/>
      <w:numFmt w:val="decimal"/>
      <w:suff w:val="nothing"/>
      <w:lvlText w:val="%1、"/>
      <w:lvlJc w:val="left"/>
    </w:lvl>
  </w:abstractNum>
  <w:abstractNum w:abstractNumId="9">
    <w:nsid w:val="1D49F72B"/>
    <w:multiLevelType w:val="singleLevel"/>
    <w:tmpl w:val="1D49F72B"/>
    <w:lvl w:ilvl="0" w:tentative="0">
      <w:start w:val="1"/>
      <w:numFmt w:val="lowerLetter"/>
      <w:suff w:val="nothing"/>
      <w:lvlText w:val="%1、"/>
      <w:lvlJc w:val="left"/>
    </w:lvl>
  </w:abstractNum>
  <w:abstractNum w:abstractNumId="10">
    <w:nsid w:val="3029B518"/>
    <w:multiLevelType w:val="singleLevel"/>
    <w:tmpl w:val="3029B518"/>
    <w:lvl w:ilvl="0" w:tentative="0">
      <w:start w:val="1"/>
      <w:numFmt w:val="decimal"/>
      <w:suff w:val="nothing"/>
      <w:lvlText w:val="%1、"/>
      <w:lvlJc w:val="left"/>
    </w:lvl>
  </w:abstractNum>
  <w:abstractNum w:abstractNumId="11">
    <w:nsid w:val="60DF1761"/>
    <w:multiLevelType w:val="multilevel"/>
    <w:tmpl w:val="60DF1761"/>
    <w:lvl w:ilvl="0" w:tentative="0">
      <w:start w:val="1"/>
      <w:numFmt w:val="decimal"/>
      <w:pStyle w:val="5"/>
      <w:lvlText w:val="表%1"/>
      <w:lvlJc w:val="left"/>
      <w:pPr>
        <w:ind w:left="620" w:hanging="420"/>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11"/>
  </w:num>
  <w:num w:numId="2">
    <w:abstractNumId w:val="2"/>
  </w:num>
  <w:num w:numId="3">
    <w:abstractNumId w:val="4"/>
  </w:num>
  <w:num w:numId="4">
    <w:abstractNumId w:val="5"/>
  </w:num>
  <w:num w:numId="5">
    <w:abstractNumId w:val="10"/>
  </w:num>
  <w:num w:numId="6">
    <w:abstractNumId w:val="7"/>
  </w:num>
  <w:num w:numId="7">
    <w:abstractNumId w:val="8"/>
  </w:num>
  <w:num w:numId="8">
    <w:abstractNumId w:val="3"/>
  </w:num>
  <w:num w:numId="9">
    <w:abstractNumId w:val="1"/>
  </w:num>
  <w:num w:numId="10">
    <w:abstractNumId w:val="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0NzllNzUzY2QzMDViMzA1OTIyZDY2YzU0NTQxMDcifQ=="/>
  </w:docVars>
  <w:rsids>
    <w:rsidRoot w:val="00172A27"/>
    <w:rsid w:val="00001CED"/>
    <w:rsid w:val="00001E67"/>
    <w:rsid w:val="00002E32"/>
    <w:rsid w:val="000035DA"/>
    <w:rsid w:val="00003CD8"/>
    <w:rsid w:val="00004231"/>
    <w:rsid w:val="00005A00"/>
    <w:rsid w:val="00006A6F"/>
    <w:rsid w:val="00007213"/>
    <w:rsid w:val="00007DA2"/>
    <w:rsid w:val="000103C6"/>
    <w:rsid w:val="000109F5"/>
    <w:rsid w:val="0001126D"/>
    <w:rsid w:val="00014965"/>
    <w:rsid w:val="00014A67"/>
    <w:rsid w:val="0001523A"/>
    <w:rsid w:val="00016ECB"/>
    <w:rsid w:val="00020240"/>
    <w:rsid w:val="000204F6"/>
    <w:rsid w:val="00021391"/>
    <w:rsid w:val="000218CB"/>
    <w:rsid w:val="00022D70"/>
    <w:rsid w:val="000248A3"/>
    <w:rsid w:val="000269F6"/>
    <w:rsid w:val="00031939"/>
    <w:rsid w:val="00032D25"/>
    <w:rsid w:val="000346E2"/>
    <w:rsid w:val="0003628B"/>
    <w:rsid w:val="00041520"/>
    <w:rsid w:val="000424AE"/>
    <w:rsid w:val="0004451F"/>
    <w:rsid w:val="00044C7B"/>
    <w:rsid w:val="00045A36"/>
    <w:rsid w:val="0004681C"/>
    <w:rsid w:val="00047652"/>
    <w:rsid w:val="000508D3"/>
    <w:rsid w:val="00050D00"/>
    <w:rsid w:val="0005219D"/>
    <w:rsid w:val="0005246C"/>
    <w:rsid w:val="00052683"/>
    <w:rsid w:val="000526E2"/>
    <w:rsid w:val="00053140"/>
    <w:rsid w:val="000535F2"/>
    <w:rsid w:val="0005568F"/>
    <w:rsid w:val="00061481"/>
    <w:rsid w:val="0006153D"/>
    <w:rsid w:val="00061790"/>
    <w:rsid w:val="00061B1F"/>
    <w:rsid w:val="00065F48"/>
    <w:rsid w:val="000664DB"/>
    <w:rsid w:val="00066821"/>
    <w:rsid w:val="00067455"/>
    <w:rsid w:val="00067C03"/>
    <w:rsid w:val="00070A9B"/>
    <w:rsid w:val="0007127D"/>
    <w:rsid w:val="000717B1"/>
    <w:rsid w:val="000718A5"/>
    <w:rsid w:val="00071AE5"/>
    <w:rsid w:val="00074783"/>
    <w:rsid w:val="00076333"/>
    <w:rsid w:val="000801E0"/>
    <w:rsid w:val="00082A29"/>
    <w:rsid w:val="00083057"/>
    <w:rsid w:val="0008331D"/>
    <w:rsid w:val="0008342D"/>
    <w:rsid w:val="00083C18"/>
    <w:rsid w:val="00092899"/>
    <w:rsid w:val="000931FE"/>
    <w:rsid w:val="000933EB"/>
    <w:rsid w:val="00093570"/>
    <w:rsid w:val="00095CF6"/>
    <w:rsid w:val="00096A37"/>
    <w:rsid w:val="00097FA4"/>
    <w:rsid w:val="000A178E"/>
    <w:rsid w:val="000A2A3F"/>
    <w:rsid w:val="000A544D"/>
    <w:rsid w:val="000A557E"/>
    <w:rsid w:val="000A61BB"/>
    <w:rsid w:val="000A6901"/>
    <w:rsid w:val="000B058F"/>
    <w:rsid w:val="000B2369"/>
    <w:rsid w:val="000B3061"/>
    <w:rsid w:val="000B44E4"/>
    <w:rsid w:val="000B4C17"/>
    <w:rsid w:val="000B693F"/>
    <w:rsid w:val="000B7080"/>
    <w:rsid w:val="000C09AC"/>
    <w:rsid w:val="000C0A63"/>
    <w:rsid w:val="000C20B1"/>
    <w:rsid w:val="000C2146"/>
    <w:rsid w:val="000C240E"/>
    <w:rsid w:val="000C2762"/>
    <w:rsid w:val="000C437E"/>
    <w:rsid w:val="000C6544"/>
    <w:rsid w:val="000C6E55"/>
    <w:rsid w:val="000D0282"/>
    <w:rsid w:val="000D2335"/>
    <w:rsid w:val="000D3D32"/>
    <w:rsid w:val="000D5EBD"/>
    <w:rsid w:val="000E5F16"/>
    <w:rsid w:val="000F0235"/>
    <w:rsid w:val="000F4452"/>
    <w:rsid w:val="000F684F"/>
    <w:rsid w:val="000F6DA1"/>
    <w:rsid w:val="000F701B"/>
    <w:rsid w:val="000F7042"/>
    <w:rsid w:val="001001D6"/>
    <w:rsid w:val="0010180A"/>
    <w:rsid w:val="00102535"/>
    <w:rsid w:val="001042E2"/>
    <w:rsid w:val="001056A0"/>
    <w:rsid w:val="001079BE"/>
    <w:rsid w:val="00107C31"/>
    <w:rsid w:val="00115279"/>
    <w:rsid w:val="00117459"/>
    <w:rsid w:val="0011749A"/>
    <w:rsid w:val="001176A8"/>
    <w:rsid w:val="001217FF"/>
    <w:rsid w:val="001226BD"/>
    <w:rsid w:val="00122799"/>
    <w:rsid w:val="0012601B"/>
    <w:rsid w:val="00127122"/>
    <w:rsid w:val="00127A68"/>
    <w:rsid w:val="0013401A"/>
    <w:rsid w:val="00140B13"/>
    <w:rsid w:val="0014105F"/>
    <w:rsid w:val="00141B68"/>
    <w:rsid w:val="0014231A"/>
    <w:rsid w:val="001448D2"/>
    <w:rsid w:val="0014590D"/>
    <w:rsid w:val="001466DA"/>
    <w:rsid w:val="00150C67"/>
    <w:rsid w:val="00151463"/>
    <w:rsid w:val="001535B2"/>
    <w:rsid w:val="0015406C"/>
    <w:rsid w:val="00154727"/>
    <w:rsid w:val="00154DE1"/>
    <w:rsid w:val="00155B40"/>
    <w:rsid w:val="00157435"/>
    <w:rsid w:val="00157D0F"/>
    <w:rsid w:val="00160849"/>
    <w:rsid w:val="00162EA6"/>
    <w:rsid w:val="00163EEA"/>
    <w:rsid w:val="00164A66"/>
    <w:rsid w:val="00167A07"/>
    <w:rsid w:val="0017046A"/>
    <w:rsid w:val="001704A3"/>
    <w:rsid w:val="001728CF"/>
    <w:rsid w:val="00172983"/>
    <w:rsid w:val="00172A27"/>
    <w:rsid w:val="0017504D"/>
    <w:rsid w:val="00175693"/>
    <w:rsid w:val="0017620B"/>
    <w:rsid w:val="00177422"/>
    <w:rsid w:val="001803AC"/>
    <w:rsid w:val="001804BF"/>
    <w:rsid w:val="00180603"/>
    <w:rsid w:val="00180846"/>
    <w:rsid w:val="0018479E"/>
    <w:rsid w:val="00184F10"/>
    <w:rsid w:val="00185546"/>
    <w:rsid w:val="001864E6"/>
    <w:rsid w:val="00186504"/>
    <w:rsid w:val="001872AA"/>
    <w:rsid w:val="0019146B"/>
    <w:rsid w:val="0019286A"/>
    <w:rsid w:val="00193A23"/>
    <w:rsid w:val="00194398"/>
    <w:rsid w:val="00194C50"/>
    <w:rsid w:val="00195421"/>
    <w:rsid w:val="001A316A"/>
    <w:rsid w:val="001A3E60"/>
    <w:rsid w:val="001A4713"/>
    <w:rsid w:val="001A6630"/>
    <w:rsid w:val="001A6E4F"/>
    <w:rsid w:val="001A7D2A"/>
    <w:rsid w:val="001B4472"/>
    <w:rsid w:val="001B4712"/>
    <w:rsid w:val="001B4E3B"/>
    <w:rsid w:val="001B574C"/>
    <w:rsid w:val="001B611D"/>
    <w:rsid w:val="001B7697"/>
    <w:rsid w:val="001C0AF9"/>
    <w:rsid w:val="001C0DC3"/>
    <w:rsid w:val="001C155A"/>
    <w:rsid w:val="001C278B"/>
    <w:rsid w:val="001C3C5F"/>
    <w:rsid w:val="001C48C0"/>
    <w:rsid w:val="001C7FE7"/>
    <w:rsid w:val="001D258F"/>
    <w:rsid w:val="001D3EB6"/>
    <w:rsid w:val="001D54D3"/>
    <w:rsid w:val="001D5937"/>
    <w:rsid w:val="001D6726"/>
    <w:rsid w:val="001D685E"/>
    <w:rsid w:val="001D68E2"/>
    <w:rsid w:val="001E02FF"/>
    <w:rsid w:val="001E08A1"/>
    <w:rsid w:val="001E09D0"/>
    <w:rsid w:val="001E1089"/>
    <w:rsid w:val="001E20BD"/>
    <w:rsid w:val="001E28B3"/>
    <w:rsid w:val="001E514C"/>
    <w:rsid w:val="001E6E4A"/>
    <w:rsid w:val="001F3062"/>
    <w:rsid w:val="001F3347"/>
    <w:rsid w:val="001F4440"/>
    <w:rsid w:val="001F47B2"/>
    <w:rsid w:val="001F4B95"/>
    <w:rsid w:val="001F6136"/>
    <w:rsid w:val="001F69E4"/>
    <w:rsid w:val="002004F9"/>
    <w:rsid w:val="00201902"/>
    <w:rsid w:val="00202226"/>
    <w:rsid w:val="00206A65"/>
    <w:rsid w:val="002078A5"/>
    <w:rsid w:val="0021154C"/>
    <w:rsid w:val="00211B33"/>
    <w:rsid w:val="00212582"/>
    <w:rsid w:val="00212D31"/>
    <w:rsid w:val="002130C7"/>
    <w:rsid w:val="002207A9"/>
    <w:rsid w:val="002218A8"/>
    <w:rsid w:val="00222B68"/>
    <w:rsid w:val="00222D3A"/>
    <w:rsid w:val="0022306D"/>
    <w:rsid w:val="0022392F"/>
    <w:rsid w:val="002263AE"/>
    <w:rsid w:val="00226574"/>
    <w:rsid w:val="00226987"/>
    <w:rsid w:val="002278EC"/>
    <w:rsid w:val="002305E0"/>
    <w:rsid w:val="00230999"/>
    <w:rsid w:val="0023214C"/>
    <w:rsid w:val="002326CF"/>
    <w:rsid w:val="00233956"/>
    <w:rsid w:val="00234042"/>
    <w:rsid w:val="002357C7"/>
    <w:rsid w:val="002367C4"/>
    <w:rsid w:val="00237009"/>
    <w:rsid w:val="0024032E"/>
    <w:rsid w:val="00242088"/>
    <w:rsid w:val="00244FB2"/>
    <w:rsid w:val="002470F7"/>
    <w:rsid w:val="00250772"/>
    <w:rsid w:val="00251F27"/>
    <w:rsid w:val="0025314B"/>
    <w:rsid w:val="00256034"/>
    <w:rsid w:val="0025679E"/>
    <w:rsid w:val="00260C68"/>
    <w:rsid w:val="002648B0"/>
    <w:rsid w:val="0026570B"/>
    <w:rsid w:val="002662FF"/>
    <w:rsid w:val="00267335"/>
    <w:rsid w:val="00270C1D"/>
    <w:rsid w:val="00272F14"/>
    <w:rsid w:val="00273C86"/>
    <w:rsid w:val="00275271"/>
    <w:rsid w:val="0027535E"/>
    <w:rsid w:val="00275AA6"/>
    <w:rsid w:val="0027642F"/>
    <w:rsid w:val="00277BB7"/>
    <w:rsid w:val="00277CA5"/>
    <w:rsid w:val="00277D7E"/>
    <w:rsid w:val="002807D5"/>
    <w:rsid w:val="00280DC2"/>
    <w:rsid w:val="00282886"/>
    <w:rsid w:val="00282CCD"/>
    <w:rsid w:val="002831E9"/>
    <w:rsid w:val="002846FC"/>
    <w:rsid w:val="002859F9"/>
    <w:rsid w:val="002870F8"/>
    <w:rsid w:val="00293FA9"/>
    <w:rsid w:val="00297F4E"/>
    <w:rsid w:val="002A168C"/>
    <w:rsid w:val="002A1AD4"/>
    <w:rsid w:val="002A2C48"/>
    <w:rsid w:val="002A3C7A"/>
    <w:rsid w:val="002A3EED"/>
    <w:rsid w:val="002A4A39"/>
    <w:rsid w:val="002A5A17"/>
    <w:rsid w:val="002A614C"/>
    <w:rsid w:val="002A6425"/>
    <w:rsid w:val="002A6A85"/>
    <w:rsid w:val="002A7B09"/>
    <w:rsid w:val="002B00FD"/>
    <w:rsid w:val="002B0257"/>
    <w:rsid w:val="002B1017"/>
    <w:rsid w:val="002B1052"/>
    <w:rsid w:val="002B393D"/>
    <w:rsid w:val="002B49E2"/>
    <w:rsid w:val="002B5046"/>
    <w:rsid w:val="002B5E42"/>
    <w:rsid w:val="002B7B00"/>
    <w:rsid w:val="002B7C44"/>
    <w:rsid w:val="002C0A6E"/>
    <w:rsid w:val="002C1388"/>
    <w:rsid w:val="002C16DC"/>
    <w:rsid w:val="002C3C6A"/>
    <w:rsid w:val="002C6481"/>
    <w:rsid w:val="002C6F02"/>
    <w:rsid w:val="002D1891"/>
    <w:rsid w:val="002D42DB"/>
    <w:rsid w:val="002D4AFB"/>
    <w:rsid w:val="002D5993"/>
    <w:rsid w:val="002D677C"/>
    <w:rsid w:val="002D7510"/>
    <w:rsid w:val="002D7A8A"/>
    <w:rsid w:val="002E1F3A"/>
    <w:rsid w:val="002E298A"/>
    <w:rsid w:val="002E5204"/>
    <w:rsid w:val="002E5606"/>
    <w:rsid w:val="002E768D"/>
    <w:rsid w:val="002F02A4"/>
    <w:rsid w:val="002F066E"/>
    <w:rsid w:val="002F20DB"/>
    <w:rsid w:val="002F242C"/>
    <w:rsid w:val="002F272B"/>
    <w:rsid w:val="002F316E"/>
    <w:rsid w:val="002F40D2"/>
    <w:rsid w:val="002F7C6D"/>
    <w:rsid w:val="00300C55"/>
    <w:rsid w:val="003027E4"/>
    <w:rsid w:val="0030332C"/>
    <w:rsid w:val="00304981"/>
    <w:rsid w:val="00304AAE"/>
    <w:rsid w:val="00304F1F"/>
    <w:rsid w:val="003054E0"/>
    <w:rsid w:val="00306D42"/>
    <w:rsid w:val="00307AF4"/>
    <w:rsid w:val="003103AE"/>
    <w:rsid w:val="003108CF"/>
    <w:rsid w:val="00312296"/>
    <w:rsid w:val="0031340E"/>
    <w:rsid w:val="003148F8"/>
    <w:rsid w:val="00314B09"/>
    <w:rsid w:val="00314E27"/>
    <w:rsid w:val="003153BF"/>
    <w:rsid w:val="00316464"/>
    <w:rsid w:val="0032073A"/>
    <w:rsid w:val="00321D8E"/>
    <w:rsid w:val="003239B8"/>
    <w:rsid w:val="00323E36"/>
    <w:rsid w:val="00324497"/>
    <w:rsid w:val="00325E6E"/>
    <w:rsid w:val="00327FC3"/>
    <w:rsid w:val="003312E7"/>
    <w:rsid w:val="00334996"/>
    <w:rsid w:val="0033535C"/>
    <w:rsid w:val="00335C56"/>
    <w:rsid w:val="00336969"/>
    <w:rsid w:val="00336C52"/>
    <w:rsid w:val="00340A9B"/>
    <w:rsid w:val="00341B3E"/>
    <w:rsid w:val="00341B42"/>
    <w:rsid w:val="003420DD"/>
    <w:rsid w:val="00344408"/>
    <w:rsid w:val="00344BE2"/>
    <w:rsid w:val="00344F54"/>
    <w:rsid w:val="003450AC"/>
    <w:rsid w:val="00345154"/>
    <w:rsid w:val="0034560E"/>
    <w:rsid w:val="00350523"/>
    <w:rsid w:val="00350E26"/>
    <w:rsid w:val="00352975"/>
    <w:rsid w:val="003537B4"/>
    <w:rsid w:val="00354FCD"/>
    <w:rsid w:val="00356868"/>
    <w:rsid w:val="003573E8"/>
    <w:rsid w:val="00361ABA"/>
    <w:rsid w:val="0036358F"/>
    <w:rsid w:val="0036485B"/>
    <w:rsid w:val="003648BE"/>
    <w:rsid w:val="003649A5"/>
    <w:rsid w:val="00364B26"/>
    <w:rsid w:val="00365C08"/>
    <w:rsid w:val="003725CB"/>
    <w:rsid w:val="0037284D"/>
    <w:rsid w:val="00373B0D"/>
    <w:rsid w:val="003742AB"/>
    <w:rsid w:val="0037624B"/>
    <w:rsid w:val="00376988"/>
    <w:rsid w:val="00381A72"/>
    <w:rsid w:val="003820BE"/>
    <w:rsid w:val="00382644"/>
    <w:rsid w:val="0038675B"/>
    <w:rsid w:val="00392779"/>
    <w:rsid w:val="00393F66"/>
    <w:rsid w:val="00397309"/>
    <w:rsid w:val="003A1948"/>
    <w:rsid w:val="003A3ACE"/>
    <w:rsid w:val="003A42EB"/>
    <w:rsid w:val="003A5363"/>
    <w:rsid w:val="003A5C02"/>
    <w:rsid w:val="003A7011"/>
    <w:rsid w:val="003B152A"/>
    <w:rsid w:val="003B31A5"/>
    <w:rsid w:val="003B35E3"/>
    <w:rsid w:val="003B3DF9"/>
    <w:rsid w:val="003B545B"/>
    <w:rsid w:val="003B65FF"/>
    <w:rsid w:val="003C26E3"/>
    <w:rsid w:val="003C3121"/>
    <w:rsid w:val="003C3FD1"/>
    <w:rsid w:val="003C4D02"/>
    <w:rsid w:val="003C5DAD"/>
    <w:rsid w:val="003D2C31"/>
    <w:rsid w:val="003D379B"/>
    <w:rsid w:val="003D3E90"/>
    <w:rsid w:val="003D3EE9"/>
    <w:rsid w:val="003D4849"/>
    <w:rsid w:val="003D6870"/>
    <w:rsid w:val="003D688D"/>
    <w:rsid w:val="003D6AB2"/>
    <w:rsid w:val="003D7EA6"/>
    <w:rsid w:val="003E2036"/>
    <w:rsid w:val="003E529C"/>
    <w:rsid w:val="003E5DF3"/>
    <w:rsid w:val="003E7681"/>
    <w:rsid w:val="003F0809"/>
    <w:rsid w:val="003F3EDC"/>
    <w:rsid w:val="003F45F5"/>
    <w:rsid w:val="003F4D39"/>
    <w:rsid w:val="003F4EBE"/>
    <w:rsid w:val="003F5531"/>
    <w:rsid w:val="003F611C"/>
    <w:rsid w:val="003F755C"/>
    <w:rsid w:val="003F7A2C"/>
    <w:rsid w:val="00406F01"/>
    <w:rsid w:val="00410C95"/>
    <w:rsid w:val="00411B36"/>
    <w:rsid w:val="00411DC8"/>
    <w:rsid w:val="004121D7"/>
    <w:rsid w:val="00413A24"/>
    <w:rsid w:val="00414294"/>
    <w:rsid w:val="004154B4"/>
    <w:rsid w:val="00415573"/>
    <w:rsid w:val="00416061"/>
    <w:rsid w:val="00416D50"/>
    <w:rsid w:val="00417772"/>
    <w:rsid w:val="004178FA"/>
    <w:rsid w:val="00420E6A"/>
    <w:rsid w:val="00422E20"/>
    <w:rsid w:val="004239C1"/>
    <w:rsid w:val="00427AEF"/>
    <w:rsid w:val="00432726"/>
    <w:rsid w:val="00433CA9"/>
    <w:rsid w:val="0043424B"/>
    <w:rsid w:val="0043521D"/>
    <w:rsid w:val="00435F4A"/>
    <w:rsid w:val="0043792D"/>
    <w:rsid w:val="00442024"/>
    <w:rsid w:val="0044254C"/>
    <w:rsid w:val="00443F6A"/>
    <w:rsid w:val="0044673E"/>
    <w:rsid w:val="00447058"/>
    <w:rsid w:val="00450A17"/>
    <w:rsid w:val="0045180F"/>
    <w:rsid w:val="00452923"/>
    <w:rsid w:val="00452C48"/>
    <w:rsid w:val="00454137"/>
    <w:rsid w:val="004616DC"/>
    <w:rsid w:val="00463294"/>
    <w:rsid w:val="0046381D"/>
    <w:rsid w:val="00464799"/>
    <w:rsid w:val="00466321"/>
    <w:rsid w:val="004669B0"/>
    <w:rsid w:val="004672AF"/>
    <w:rsid w:val="00471AC0"/>
    <w:rsid w:val="004727B0"/>
    <w:rsid w:val="004729BA"/>
    <w:rsid w:val="00474232"/>
    <w:rsid w:val="00475135"/>
    <w:rsid w:val="00475D7A"/>
    <w:rsid w:val="00475DEC"/>
    <w:rsid w:val="004763A2"/>
    <w:rsid w:val="00480247"/>
    <w:rsid w:val="0048081D"/>
    <w:rsid w:val="0048117E"/>
    <w:rsid w:val="00482B1F"/>
    <w:rsid w:val="00482C8B"/>
    <w:rsid w:val="00483A26"/>
    <w:rsid w:val="004855F6"/>
    <w:rsid w:val="00486202"/>
    <w:rsid w:val="00486627"/>
    <w:rsid w:val="00486C10"/>
    <w:rsid w:val="00486F0C"/>
    <w:rsid w:val="00490E8B"/>
    <w:rsid w:val="004919D2"/>
    <w:rsid w:val="00494670"/>
    <w:rsid w:val="00497F60"/>
    <w:rsid w:val="004A0B72"/>
    <w:rsid w:val="004A0EB4"/>
    <w:rsid w:val="004A23B8"/>
    <w:rsid w:val="004A3823"/>
    <w:rsid w:val="004A59BB"/>
    <w:rsid w:val="004A6CE5"/>
    <w:rsid w:val="004B2CA6"/>
    <w:rsid w:val="004B43A3"/>
    <w:rsid w:val="004B4765"/>
    <w:rsid w:val="004B4C49"/>
    <w:rsid w:val="004B58A5"/>
    <w:rsid w:val="004B63D9"/>
    <w:rsid w:val="004B76DE"/>
    <w:rsid w:val="004C0882"/>
    <w:rsid w:val="004C0EF8"/>
    <w:rsid w:val="004C2E90"/>
    <w:rsid w:val="004C55BE"/>
    <w:rsid w:val="004C5E08"/>
    <w:rsid w:val="004D0CFE"/>
    <w:rsid w:val="004D2774"/>
    <w:rsid w:val="004D3B31"/>
    <w:rsid w:val="004D5BD9"/>
    <w:rsid w:val="004D5BFC"/>
    <w:rsid w:val="004D6FB1"/>
    <w:rsid w:val="004D74A3"/>
    <w:rsid w:val="004E3E22"/>
    <w:rsid w:val="004E4666"/>
    <w:rsid w:val="004E5685"/>
    <w:rsid w:val="004E5B30"/>
    <w:rsid w:val="004E60DD"/>
    <w:rsid w:val="004E6F0E"/>
    <w:rsid w:val="004F0779"/>
    <w:rsid w:val="004F1230"/>
    <w:rsid w:val="004F173F"/>
    <w:rsid w:val="004F177C"/>
    <w:rsid w:val="004F23D7"/>
    <w:rsid w:val="004F2B2D"/>
    <w:rsid w:val="004F2DCE"/>
    <w:rsid w:val="004F398C"/>
    <w:rsid w:val="004F712F"/>
    <w:rsid w:val="004F75DD"/>
    <w:rsid w:val="00501287"/>
    <w:rsid w:val="0050147A"/>
    <w:rsid w:val="0050219C"/>
    <w:rsid w:val="005039CB"/>
    <w:rsid w:val="00503E95"/>
    <w:rsid w:val="0050420E"/>
    <w:rsid w:val="0050558F"/>
    <w:rsid w:val="005057E0"/>
    <w:rsid w:val="00506286"/>
    <w:rsid w:val="00507984"/>
    <w:rsid w:val="00510813"/>
    <w:rsid w:val="00511DE0"/>
    <w:rsid w:val="005126D3"/>
    <w:rsid w:val="00513C47"/>
    <w:rsid w:val="00514A79"/>
    <w:rsid w:val="005150F7"/>
    <w:rsid w:val="005171D1"/>
    <w:rsid w:val="00517F02"/>
    <w:rsid w:val="00520C60"/>
    <w:rsid w:val="00522916"/>
    <w:rsid w:val="00523FCF"/>
    <w:rsid w:val="00524547"/>
    <w:rsid w:val="005247BB"/>
    <w:rsid w:val="00524845"/>
    <w:rsid w:val="005258A2"/>
    <w:rsid w:val="00530F7C"/>
    <w:rsid w:val="00533344"/>
    <w:rsid w:val="00534567"/>
    <w:rsid w:val="00534F43"/>
    <w:rsid w:val="00535A84"/>
    <w:rsid w:val="00536889"/>
    <w:rsid w:val="005374DD"/>
    <w:rsid w:val="00537599"/>
    <w:rsid w:val="005410EC"/>
    <w:rsid w:val="00542B16"/>
    <w:rsid w:val="00542E07"/>
    <w:rsid w:val="0054584C"/>
    <w:rsid w:val="00546B0A"/>
    <w:rsid w:val="00547CF0"/>
    <w:rsid w:val="005513B3"/>
    <w:rsid w:val="005536BE"/>
    <w:rsid w:val="00554A7B"/>
    <w:rsid w:val="0055571F"/>
    <w:rsid w:val="0055572C"/>
    <w:rsid w:val="0056064F"/>
    <w:rsid w:val="00561B84"/>
    <w:rsid w:val="00562472"/>
    <w:rsid w:val="00564D0E"/>
    <w:rsid w:val="00567261"/>
    <w:rsid w:val="005679E7"/>
    <w:rsid w:val="00570327"/>
    <w:rsid w:val="0057081C"/>
    <w:rsid w:val="00571D98"/>
    <w:rsid w:val="005720AE"/>
    <w:rsid w:val="00572351"/>
    <w:rsid w:val="0057436B"/>
    <w:rsid w:val="0057486A"/>
    <w:rsid w:val="00575989"/>
    <w:rsid w:val="0058030D"/>
    <w:rsid w:val="00582045"/>
    <w:rsid w:val="00582073"/>
    <w:rsid w:val="00582138"/>
    <w:rsid w:val="00582DBE"/>
    <w:rsid w:val="0058402E"/>
    <w:rsid w:val="00587866"/>
    <w:rsid w:val="00587EC3"/>
    <w:rsid w:val="00590AE3"/>
    <w:rsid w:val="005918F1"/>
    <w:rsid w:val="005922A8"/>
    <w:rsid w:val="00592FE9"/>
    <w:rsid w:val="00593147"/>
    <w:rsid w:val="00594F33"/>
    <w:rsid w:val="005A06B7"/>
    <w:rsid w:val="005A1759"/>
    <w:rsid w:val="005A1D69"/>
    <w:rsid w:val="005A6BBD"/>
    <w:rsid w:val="005B01A1"/>
    <w:rsid w:val="005B0B51"/>
    <w:rsid w:val="005B4127"/>
    <w:rsid w:val="005C418E"/>
    <w:rsid w:val="005C52AE"/>
    <w:rsid w:val="005C7DC3"/>
    <w:rsid w:val="005D0369"/>
    <w:rsid w:val="005D157E"/>
    <w:rsid w:val="005D2F22"/>
    <w:rsid w:val="005D4754"/>
    <w:rsid w:val="005D4B49"/>
    <w:rsid w:val="005D53FE"/>
    <w:rsid w:val="005D551F"/>
    <w:rsid w:val="005D7A0F"/>
    <w:rsid w:val="005E041D"/>
    <w:rsid w:val="005E0438"/>
    <w:rsid w:val="005E0FAF"/>
    <w:rsid w:val="005E1791"/>
    <w:rsid w:val="005E2CE6"/>
    <w:rsid w:val="005E6324"/>
    <w:rsid w:val="005E6EF9"/>
    <w:rsid w:val="005F228B"/>
    <w:rsid w:val="005F29CD"/>
    <w:rsid w:val="005F29F4"/>
    <w:rsid w:val="005F3311"/>
    <w:rsid w:val="005F4DFB"/>
    <w:rsid w:val="005F50BC"/>
    <w:rsid w:val="005F677B"/>
    <w:rsid w:val="005F6CC0"/>
    <w:rsid w:val="00601C41"/>
    <w:rsid w:val="00603E5B"/>
    <w:rsid w:val="00603FF8"/>
    <w:rsid w:val="00604035"/>
    <w:rsid w:val="00604BC8"/>
    <w:rsid w:val="006062EE"/>
    <w:rsid w:val="00611CD9"/>
    <w:rsid w:val="006146F4"/>
    <w:rsid w:val="00615B4C"/>
    <w:rsid w:val="00615B5D"/>
    <w:rsid w:val="00616DC2"/>
    <w:rsid w:val="006209DC"/>
    <w:rsid w:val="006213D2"/>
    <w:rsid w:val="0062146F"/>
    <w:rsid w:val="006232B8"/>
    <w:rsid w:val="00630DBC"/>
    <w:rsid w:val="0063272C"/>
    <w:rsid w:val="006343AF"/>
    <w:rsid w:val="0063634A"/>
    <w:rsid w:val="0064250D"/>
    <w:rsid w:val="006531F6"/>
    <w:rsid w:val="006535EB"/>
    <w:rsid w:val="00660BFF"/>
    <w:rsid w:val="0066151F"/>
    <w:rsid w:val="00663016"/>
    <w:rsid w:val="0066479D"/>
    <w:rsid w:val="00665D16"/>
    <w:rsid w:val="006663B8"/>
    <w:rsid w:val="006669CD"/>
    <w:rsid w:val="00666DC0"/>
    <w:rsid w:val="00670126"/>
    <w:rsid w:val="00671860"/>
    <w:rsid w:val="00672C09"/>
    <w:rsid w:val="00674605"/>
    <w:rsid w:val="006748B8"/>
    <w:rsid w:val="00674BF8"/>
    <w:rsid w:val="00676878"/>
    <w:rsid w:val="0067794B"/>
    <w:rsid w:val="00682BAF"/>
    <w:rsid w:val="00683BFE"/>
    <w:rsid w:val="00684F88"/>
    <w:rsid w:val="0068535B"/>
    <w:rsid w:val="00685534"/>
    <w:rsid w:val="00686D6A"/>
    <w:rsid w:val="0068736E"/>
    <w:rsid w:val="006873C8"/>
    <w:rsid w:val="006900C0"/>
    <w:rsid w:val="00691E95"/>
    <w:rsid w:val="006927FA"/>
    <w:rsid w:val="0069290A"/>
    <w:rsid w:val="00695284"/>
    <w:rsid w:val="00697032"/>
    <w:rsid w:val="006975AC"/>
    <w:rsid w:val="006A01D4"/>
    <w:rsid w:val="006A15FB"/>
    <w:rsid w:val="006A5802"/>
    <w:rsid w:val="006A72BF"/>
    <w:rsid w:val="006B16AC"/>
    <w:rsid w:val="006B1877"/>
    <w:rsid w:val="006B332A"/>
    <w:rsid w:val="006B33BD"/>
    <w:rsid w:val="006B3B67"/>
    <w:rsid w:val="006B799D"/>
    <w:rsid w:val="006C0FE1"/>
    <w:rsid w:val="006C3F75"/>
    <w:rsid w:val="006C65FB"/>
    <w:rsid w:val="006D170E"/>
    <w:rsid w:val="006D4506"/>
    <w:rsid w:val="006D4C0E"/>
    <w:rsid w:val="006D50D9"/>
    <w:rsid w:val="006D57F5"/>
    <w:rsid w:val="006D59BC"/>
    <w:rsid w:val="006D65CE"/>
    <w:rsid w:val="006D66B6"/>
    <w:rsid w:val="006E06AF"/>
    <w:rsid w:val="006F08B5"/>
    <w:rsid w:val="006F1789"/>
    <w:rsid w:val="006F1DFE"/>
    <w:rsid w:val="006F2D6F"/>
    <w:rsid w:val="006F2FF6"/>
    <w:rsid w:val="006F4E53"/>
    <w:rsid w:val="006F6ACE"/>
    <w:rsid w:val="007027A6"/>
    <w:rsid w:val="007031A4"/>
    <w:rsid w:val="007065F7"/>
    <w:rsid w:val="00706C5D"/>
    <w:rsid w:val="00710065"/>
    <w:rsid w:val="007107B2"/>
    <w:rsid w:val="007118E6"/>
    <w:rsid w:val="0071324E"/>
    <w:rsid w:val="00713DC0"/>
    <w:rsid w:val="00716459"/>
    <w:rsid w:val="0072130C"/>
    <w:rsid w:val="007225C9"/>
    <w:rsid w:val="00722EAC"/>
    <w:rsid w:val="0072529D"/>
    <w:rsid w:val="00733EAE"/>
    <w:rsid w:val="00735CD7"/>
    <w:rsid w:val="00736736"/>
    <w:rsid w:val="0073720C"/>
    <w:rsid w:val="00741658"/>
    <w:rsid w:val="00741FCD"/>
    <w:rsid w:val="00744735"/>
    <w:rsid w:val="007461F7"/>
    <w:rsid w:val="00746648"/>
    <w:rsid w:val="00751019"/>
    <w:rsid w:val="007514D5"/>
    <w:rsid w:val="007519BE"/>
    <w:rsid w:val="00754034"/>
    <w:rsid w:val="00754BF1"/>
    <w:rsid w:val="00755902"/>
    <w:rsid w:val="00755A30"/>
    <w:rsid w:val="00755E1C"/>
    <w:rsid w:val="00756347"/>
    <w:rsid w:val="00756556"/>
    <w:rsid w:val="00757B3E"/>
    <w:rsid w:val="00757B43"/>
    <w:rsid w:val="0076132B"/>
    <w:rsid w:val="00761C8F"/>
    <w:rsid w:val="0076208F"/>
    <w:rsid w:val="007623AE"/>
    <w:rsid w:val="00764A25"/>
    <w:rsid w:val="00770B19"/>
    <w:rsid w:val="00771BDC"/>
    <w:rsid w:val="00772C2C"/>
    <w:rsid w:val="00774FA0"/>
    <w:rsid w:val="00776620"/>
    <w:rsid w:val="00777B6D"/>
    <w:rsid w:val="0078060E"/>
    <w:rsid w:val="007815CC"/>
    <w:rsid w:val="00782000"/>
    <w:rsid w:val="00784306"/>
    <w:rsid w:val="00784855"/>
    <w:rsid w:val="00784F39"/>
    <w:rsid w:val="007853CC"/>
    <w:rsid w:val="0078545C"/>
    <w:rsid w:val="00786760"/>
    <w:rsid w:val="00786767"/>
    <w:rsid w:val="00786A19"/>
    <w:rsid w:val="007906C4"/>
    <w:rsid w:val="007940EA"/>
    <w:rsid w:val="00794943"/>
    <w:rsid w:val="007967E8"/>
    <w:rsid w:val="00797C4D"/>
    <w:rsid w:val="007A02C9"/>
    <w:rsid w:val="007A4C7D"/>
    <w:rsid w:val="007A63F2"/>
    <w:rsid w:val="007A757C"/>
    <w:rsid w:val="007A781C"/>
    <w:rsid w:val="007B22CE"/>
    <w:rsid w:val="007B30D1"/>
    <w:rsid w:val="007B68DE"/>
    <w:rsid w:val="007B729C"/>
    <w:rsid w:val="007B7DB0"/>
    <w:rsid w:val="007C1857"/>
    <w:rsid w:val="007C18E4"/>
    <w:rsid w:val="007C1AD8"/>
    <w:rsid w:val="007C2D6A"/>
    <w:rsid w:val="007C3785"/>
    <w:rsid w:val="007C37C9"/>
    <w:rsid w:val="007C514F"/>
    <w:rsid w:val="007C6B80"/>
    <w:rsid w:val="007D0F95"/>
    <w:rsid w:val="007D34CC"/>
    <w:rsid w:val="007D67E1"/>
    <w:rsid w:val="007D7ECB"/>
    <w:rsid w:val="007E0E30"/>
    <w:rsid w:val="007E1279"/>
    <w:rsid w:val="007E1FAA"/>
    <w:rsid w:val="007E21DC"/>
    <w:rsid w:val="007E25A1"/>
    <w:rsid w:val="007E2AE9"/>
    <w:rsid w:val="007E4BD2"/>
    <w:rsid w:val="007E57A6"/>
    <w:rsid w:val="007E7145"/>
    <w:rsid w:val="007E773B"/>
    <w:rsid w:val="007F09A2"/>
    <w:rsid w:val="007F2A79"/>
    <w:rsid w:val="007F3916"/>
    <w:rsid w:val="007F442A"/>
    <w:rsid w:val="007F503D"/>
    <w:rsid w:val="007F7105"/>
    <w:rsid w:val="00801179"/>
    <w:rsid w:val="00802479"/>
    <w:rsid w:val="00804CE4"/>
    <w:rsid w:val="00805372"/>
    <w:rsid w:val="00805B7B"/>
    <w:rsid w:val="0080727A"/>
    <w:rsid w:val="0081093F"/>
    <w:rsid w:val="00810A6F"/>
    <w:rsid w:val="008114BA"/>
    <w:rsid w:val="0081289A"/>
    <w:rsid w:val="0081293E"/>
    <w:rsid w:val="00814FFB"/>
    <w:rsid w:val="00816AE2"/>
    <w:rsid w:val="00820568"/>
    <w:rsid w:val="00820D2F"/>
    <w:rsid w:val="00821017"/>
    <w:rsid w:val="00821307"/>
    <w:rsid w:val="0082165F"/>
    <w:rsid w:val="00822C7A"/>
    <w:rsid w:val="00824C4C"/>
    <w:rsid w:val="00824E76"/>
    <w:rsid w:val="0082555D"/>
    <w:rsid w:val="008264C6"/>
    <w:rsid w:val="00831951"/>
    <w:rsid w:val="00831A80"/>
    <w:rsid w:val="008332C8"/>
    <w:rsid w:val="00833743"/>
    <w:rsid w:val="008340A4"/>
    <w:rsid w:val="00835D92"/>
    <w:rsid w:val="00835DF6"/>
    <w:rsid w:val="008362F2"/>
    <w:rsid w:val="00836799"/>
    <w:rsid w:val="00837028"/>
    <w:rsid w:val="00837131"/>
    <w:rsid w:val="008413F7"/>
    <w:rsid w:val="008421CE"/>
    <w:rsid w:val="00842F9E"/>
    <w:rsid w:val="00844C4A"/>
    <w:rsid w:val="00845669"/>
    <w:rsid w:val="00845F57"/>
    <w:rsid w:val="00846268"/>
    <w:rsid w:val="00846650"/>
    <w:rsid w:val="00846E2E"/>
    <w:rsid w:val="008474D0"/>
    <w:rsid w:val="00851823"/>
    <w:rsid w:val="00851BE1"/>
    <w:rsid w:val="008521E0"/>
    <w:rsid w:val="008525B0"/>
    <w:rsid w:val="008527AB"/>
    <w:rsid w:val="008527C2"/>
    <w:rsid w:val="00853CEB"/>
    <w:rsid w:val="00855A6E"/>
    <w:rsid w:val="00856EA2"/>
    <w:rsid w:val="0085707A"/>
    <w:rsid w:val="00857289"/>
    <w:rsid w:val="008608BE"/>
    <w:rsid w:val="00861275"/>
    <w:rsid w:val="008636DB"/>
    <w:rsid w:val="00865304"/>
    <w:rsid w:val="00867CBC"/>
    <w:rsid w:val="00867CDF"/>
    <w:rsid w:val="00867E30"/>
    <w:rsid w:val="008705B4"/>
    <w:rsid w:val="00871149"/>
    <w:rsid w:val="00871831"/>
    <w:rsid w:val="0087230E"/>
    <w:rsid w:val="00872721"/>
    <w:rsid w:val="008728B5"/>
    <w:rsid w:val="00874405"/>
    <w:rsid w:val="00874EDA"/>
    <w:rsid w:val="00876C30"/>
    <w:rsid w:val="00877017"/>
    <w:rsid w:val="008773C0"/>
    <w:rsid w:val="008776D5"/>
    <w:rsid w:val="00880364"/>
    <w:rsid w:val="00880E1D"/>
    <w:rsid w:val="00886C4C"/>
    <w:rsid w:val="0088711C"/>
    <w:rsid w:val="00887A74"/>
    <w:rsid w:val="00891316"/>
    <w:rsid w:val="008913BA"/>
    <w:rsid w:val="00892DA9"/>
    <w:rsid w:val="00892ECF"/>
    <w:rsid w:val="00892F06"/>
    <w:rsid w:val="0089394C"/>
    <w:rsid w:val="00894285"/>
    <w:rsid w:val="0089628E"/>
    <w:rsid w:val="008A200D"/>
    <w:rsid w:val="008A40AE"/>
    <w:rsid w:val="008A4E19"/>
    <w:rsid w:val="008A67C5"/>
    <w:rsid w:val="008A67FC"/>
    <w:rsid w:val="008A6CE0"/>
    <w:rsid w:val="008B016E"/>
    <w:rsid w:val="008B11D1"/>
    <w:rsid w:val="008B22E1"/>
    <w:rsid w:val="008B3B6E"/>
    <w:rsid w:val="008B3C78"/>
    <w:rsid w:val="008B4AE9"/>
    <w:rsid w:val="008B55B8"/>
    <w:rsid w:val="008B74B0"/>
    <w:rsid w:val="008C2B25"/>
    <w:rsid w:val="008C30AD"/>
    <w:rsid w:val="008C4C1D"/>
    <w:rsid w:val="008C5791"/>
    <w:rsid w:val="008C5BDB"/>
    <w:rsid w:val="008C6436"/>
    <w:rsid w:val="008D068E"/>
    <w:rsid w:val="008D0F7A"/>
    <w:rsid w:val="008D1693"/>
    <w:rsid w:val="008D2D5C"/>
    <w:rsid w:val="008D2EAE"/>
    <w:rsid w:val="008D5FA8"/>
    <w:rsid w:val="008D63BE"/>
    <w:rsid w:val="008D7B4D"/>
    <w:rsid w:val="008E0CFF"/>
    <w:rsid w:val="008E0F69"/>
    <w:rsid w:val="008E1599"/>
    <w:rsid w:val="008E42BE"/>
    <w:rsid w:val="008E4F06"/>
    <w:rsid w:val="008E5D6B"/>
    <w:rsid w:val="008E689B"/>
    <w:rsid w:val="008E76F0"/>
    <w:rsid w:val="008F13D6"/>
    <w:rsid w:val="008F15FE"/>
    <w:rsid w:val="008F2A94"/>
    <w:rsid w:val="008F3652"/>
    <w:rsid w:val="008F3E2E"/>
    <w:rsid w:val="008F3E3B"/>
    <w:rsid w:val="008F5187"/>
    <w:rsid w:val="008F709C"/>
    <w:rsid w:val="00901A8D"/>
    <w:rsid w:val="0090312B"/>
    <w:rsid w:val="00903B40"/>
    <w:rsid w:val="00903BC4"/>
    <w:rsid w:val="00904961"/>
    <w:rsid w:val="009060A0"/>
    <w:rsid w:val="00906AB2"/>
    <w:rsid w:val="00907EAE"/>
    <w:rsid w:val="00911420"/>
    <w:rsid w:val="00911479"/>
    <w:rsid w:val="009115C3"/>
    <w:rsid w:val="00915119"/>
    <w:rsid w:val="00916088"/>
    <w:rsid w:val="009163A4"/>
    <w:rsid w:val="009168BE"/>
    <w:rsid w:val="00916965"/>
    <w:rsid w:val="0091736D"/>
    <w:rsid w:val="00917753"/>
    <w:rsid w:val="00923FC6"/>
    <w:rsid w:val="0092567A"/>
    <w:rsid w:val="00930501"/>
    <w:rsid w:val="00931001"/>
    <w:rsid w:val="00931863"/>
    <w:rsid w:val="00933524"/>
    <w:rsid w:val="009350F8"/>
    <w:rsid w:val="00937A84"/>
    <w:rsid w:val="0094278D"/>
    <w:rsid w:val="009427F7"/>
    <w:rsid w:val="00944F56"/>
    <w:rsid w:val="00947A47"/>
    <w:rsid w:val="00950351"/>
    <w:rsid w:val="009507C3"/>
    <w:rsid w:val="0095308A"/>
    <w:rsid w:val="009535C9"/>
    <w:rsid w:val="00953B36"/>
    <w:rsid w:val="00955727"/>
    <w:rsid w:val="00955AEE"/>
    <w:rsid w:val="00956858"/>
    <w:rsid w:val="00956F14"/>
    <w:rsid w:val="009620FD"/>
    <w:rsid w:val="0096247A"/>
    <w:rsid w:val="00962EAD"/>
    <w:rsid w:val="00965120"/>
    <w:rsid w:val="00965F4B"/>
    <w:rsid w:val="00965FC5"/>
    <w:rsid w:val="009663EF"/>
    <w:rsid w:val="00966D13"/>
    <w:rsid w:val="00970F8A"/>
    <w:rsid w:val="00971CE7"/>
    <w:rsid w:val="00971FB5"/>
    <w:rsid w:val="0097294D"/>
    <w:rsid w:val="00972D2A"/>
    <w:rsid w:val="00975118"/>
    <w:rsid w:val="00975CC5"/>
    <w:rsid w:val="00976328"/>
    <w:rsid w:val="0097646A"/>
    <w:rsid w:val="00976B4E"/>
    <w:rsid w:val="00980FA1"/>
    <w:rsid w:val="009819B2"/>
    <w:rsid w:val="00982069"/>
    <w:rsid w:val="00984458"/>
    <w:rsid w:val="00985283"/>
    <w:rsid w:val="00985467"/>
    <w:rsid w:val="009867D2"/>
    <w:rsid w:val="009869DD"/>
    <w:rsid w:val="00986BC4"/>
    <w:rsid w:val="00987322"/>
    <w:rsid w:val="00990596"/>
    <w:rsid w:val="00990BD6"/>
    <w:rsid w:val="00993752"/>
    <w:rsid w:val="009A0F3B"/>
    <w:rsid w:val="009A1824"/>
    <w:rsid w:val="009A44B9"/>
    <w:rsid w:val="009A4D92"/>
    <w:rsid w:val="009A4F82"/>
    <w:rsid w:val="009A5301"/>
    <w:rsid w:val="009A56C3"/>
    <w:rsid w:val="009A72C7"/>
    <w:rsid w:val="009B0897"/>
    <w:rsid w:val="009B1296"/>
    <w:rsid w:val="009B2A44"/>
    <w:rsid w:val="009B3C75"/>
    <w:rsid w:val="009B7DE7"/>
    <w:rsid w:val="009C185B"/>
    <w:rsid w:val="009C298D"/>
    <w:rsid w:val="009C5F4A"/>
    <w:rsid w:val="009C7F6B"/>
    <w:rsid w:val="009D04DE"/>
    <w:rsid w:val="009D0852"/>
    <w:rsid w:val="009D191A"/>
    <w:rsid w:val="009D1FBF"/>
    <w:rsid w:val="009D223F"/>
    <w:rsid w:val="009D23FB"/>
    <w:rsid w:val="009D5E23"/>
    <w:rsid w:val="009E1BDF"/>
    <w:rsid w:val="009E399C"/>
    <w:rsid w:val="009E43C1"/>
    <w:rsid w:val="009E525D"/>
    <w:rsid w:val="009E62C3"/>
    <w:rsid w:val="009E7E95"/>
    <w:rsid w:val="009F0866"/>
    <w:rsid w:val="009F116F"/>
    <w:rsid w:val="009F329E"/>
    <w:rsid w:val="009F7ED3"/>
    <w:rsid w:val="009F7F51"/>
    <w:rsid w:val="00A018F0"/>
    <w:rsid w:val="00A02ACF"/>
    <w:rsid w:val="00A03607"/>
    <w:rsid w:val="00A047FF"/>
    <w:rsid w:val="00A04FEF"/>
    <w:rsid w:val="00A1032F"/>
    <w:rsid w:val="00A1160B"/>
    <w:rsid w:val="00A122CD"/>
    <w:rsid w:val="00A12A32"/>
    <w:rsid w:val="00A136D4"/>
    <w:rsid w:val="00A14248"/>
    <w:rsid w:val="00A14947"/>
    <w:rsid w:val="00A16DC9"/>
    <w:rsid w:val="00A16F7B"/>
    <w:rsid w:val="00A2249E"/>
    <w:rsid w:val="00A23DC5"/>
    <w:rsid w:val="00A26CB8"/>
    <w:rsid w:val="00A31943"/>
    <w:rsid w:val="00A32B0B"/>
    <w:rsid w:val="00A34028"/>
    <w:rsid w:val="00A347E3"/>
    <w:rsid w:val="00A35568"/>
    <w:rsid w:val="00A37056"/>
    <w:rsid w:val="00A40746"/>
    <w:rsid w:val="00A4358F"/>
    <w:rsid w:val="00A44549"/>
    <w:rsid w:val="00A448E7"/>
    <w:rsid w:val="00A45938"/>
    <w:rsid w:val="00A46F67"/>
    <w:rsid w:val="00A51BB8"/>
    <w:rsid w:val="00A5293E"/>
    <w:rsid w:val="00A54AA1"/>
    <w:rsid w:val="00A5566A"/>
    <w:rsid w:val="00A568FF"/>
    <w:rsid w:val="00A56B74"/>
    <w:rsid w:val="00A56EDB"/>
    <w:rsid w:val="00A5776A"/>
    <w:rsid w:val="00A60288"/>
    <w:rsid w:val="00A60B3D"/>
    <w:rsid w:val="00A61496"/>
    <w:rsid w:val="00A61833"/>
    <w:rsid w:val="00A624C6"/>
    <w:rsid w:val="00A63CEC"/>
    <w:rsid w:val="00A652ED"/>
    <w:rsid w:val="00A7031E"/>
    <w:rsid w:val="00A728B1"/>
    <w:rsid w:val="00A72FBA"/>
    <w:rsid w:val="00A7426F"/>
    <w:rsid w:val="00A763DE"/>
    <w:rsid w:val="00A803D6"/>
    <w:rsid w:val="00A81282"/>
    <w:rsid w:val="00A8343E"/>
    <w:rsid w:val="00A83DC6"/>
    <w:rsid w:val="00A8713F"/>
    <w:rsid w:val="00A8775F"/>
    <w:rsid w:val="00A903B2"/>
    <w:rsid w:val="00A90491"/>
    <w:rsid w:val="00A91167"/>
    <w:rsid w:val="00A9171C"/>
    <w:rsid w:val="00A91B0A"/>
    <w:rsid w:val="00A92FFD"/>
    <w:rsid w:val="00A95975"/>
    <w:rsid w:val="00A9635F"/>
    <w:rsid w:val="00A96A44"/>
    <w:rsid w:val="00A9708D"/>
    <w:rsid w:val="00AA1DBB"/>
    <w:rsid w:val="00AA21F5"/>
    <w:rsid w:val="00AA23EE"/>
    <w:rsid w:val="00AA2C17"/>
    <w:rsid w:val="00AA4172"/>
    <w:rsid w:val="00AA5027"/>
    <w:rsid w:val="00AA6464"/>
    <w:rsid w:val="00AB1742"/>
    <w:rsid w:val="00AB1914"/>
    <w:rsid w:val="00AB19D3"/>
    <w:rsid w:val="00AB47FC"/>
    <w:rsid w:val="00AB5330"/>
    <w:rsid w:val="00AB5DBD"/>
    <w:rsid w:val="00AB663B"/>
    <w:rsid w:val="00AB69E4"/>
    <w:rsid w:val="00AB7747"/>
    <w:rsid w:val="00AC177E"/>
    <w:rsid w:val="00AC2532"/>
    <w:rsid w:val="00AC49C3"/>
    <w:rsid w:val="00AC6A1B"/>
    <w:rsid w:val="00AC6BEF"/>
    <w:rsid w:val="00AC7C04"/>
    <w:rsid w:val="00AD0CBE"/>
    <w:rsid w:val="00AD149C"/>
    <w:rsid w:val="00AD1507"/>
    <w:rsid w:val="00AD23E1"/>
    <w:rsid w:val="00AD31DD"/>
    <w:rsid w:val="00AD5A70"/>
    <w:rsid w:val="00AD69ED"/>
    <w:rsid w:val="00AD738B"/>
    <w:rsid w:val="00AE1180"/>
    <w:rsid w:val="00AE137F"/>
    <w:rsid w:val="00AE151A"/>
    <w:rsid w:val="00AE15ED"/>
    <w:rsid w:val="00AE1BF4"/>
    <w:rsid w:val="00AE5D97"/>
    <w:rsid w:val="00AE6794"/>
    <w:rsid w:val="00AF1FFF"/>
    <w:rsid w:val="00B01110"/>
    <w:rsid w:val="00B012BE"/>
    <w:rsid w:val="00B02262"/>
    <w:rsid w:val="00B03CEC"/>
    <w:rsid w:val="00B041A0"/>
    <w:rsid w:val="00B0460E"/>
    <w:rsid w:val="00B1209F"/>
    <w:rsid w:val="00B12AD0"/>
    <w:rsid w:val="00B14E4E"/>
    <w:rsid w:val="00B16E2C"/>
    <w:rsid w:val="00B20307"/>
    <w:rsid w:val="00B20863"/>
    <w:rsid w:val="00B24F30"/>
    <w:rsid w:val="00B27080"/>
    <w:rsid w:val="00B31ABF"/>
    <w:rsid w:val="00B335AE"/>
    <w:rsid w:val="00B35D57"/>
    <w:rsid w:val="00B3636B"/>
    <w:rsid w:val="00B37CE1"/>
    <w:rsid w:val="00B40ACF"/>
    <w:rsid w:val="00B41CDE"/>
    <w:rsid w:val="00B42069"/>
    <w:rsid w:val="00B424C8"/>
    <w:rsid w:val="00B447CE"/>
    <w:rsid w:val="00B454E7"/>
    <w:rsid w:val="00B464D2"/>
    <w:rsid w:val="00B46BAA"/>
    <w:rsid w:val="00B50B5F"/>
    <w:rsid w:val="00B51B09"/>
    <w:rsid w:val="00B52F68"/>
    <w:rsid w:val="00B54128"/>
    <w:rsid w:val="00B55826"/>
    <w:rsid w:val="00B55F2F"/>
    <w:rsid w:val="00B56A5D"/>
    <w:rsid w:val="00B56FE0"/>
    <w:rsid w:val="00B60426"/>
    <w:rsid w:val="00B61D27"/>
    <w:rsid w:val="00B622DD"/>
    <w:rsid w:val="00B63522"/>
    <w:rsid w:val="00B71D78"/>
    <w:rsid w:val="00B727A7"/>
    <w:rsid w:val="00B74803"/>
    <w:rsid w:val="00B76366"/>
    <w:rsid w:val="00B76B51"/>
    <w:rsid w:val="00B76C6D"/>
    <w:rsid w:val="00B76E02"/>
    <w:rsid w:val="00B76F1D"/>
    <w:rsid w:val="00B830D2"/>
    <w:rsid w:val="00B83205"/>
    <w:rsid w:val="00B871C8"/>
    <w:rsid w:val="00B9057B"/>
    <w:rsid w:val="00B92726"/>
    <w:rsid w:val="00B9289C"/>
    <w:rsid w:val="00B92A19"/>
    <w:rsid w:val="00B9544C"/>
    <w:rsid w:val="00B9562A"/>
    <w:rsid w:val="00B960E5"/>
    <w:rsid w:val="00B96620"/>
    <w:rsid w:val="00B96DDC"/>
    <w:rsid w:val="00BA05D9"/>
    <w:rsid w:val="00BA0615"/>
    <w:rsid w:val="00BA0823"/>
    <w:rsid w:val="00BA0B28"/>
    <w:rsid w:val="00BA2022"/>
    <w:rsid w:val="00BA2765"/>
    <w:rsid w:val="00BA29E9"/>
    <w:rsid w:val="00BA57F0"/>
    <w:rsid w:val="00BA5D27"/>
    <w:rsid w:val="00BA63F6"/>
    <w:rsid w:val="00BA676B"/>
    <w:rsid w:val="00BA6D5A"/>
    <w:rsid w:val="00BB165E"/>
    <w:rsid w:val="00BB1FB6"/>
    <w:rsid w:val="00BB2CFC"/>
    <w:rsid w:val="00BB320D"/>
    <w:rsid w:val="00BB3618"/>
    <w:rsid w:val="00BB47C9"/>
    <w:rsid w:val="00BC0869"/>
    <w:rsid w:val="00BC08BA"/>
    <w:rsid w:val="00BC0C9E"/>
    <w:rsid w:val="00BC32DC"/>
    <w:rsid w:val="00BC4887"/>
    <w:rsid w:val="00BC5259"/>
    <w:rsid w:val="00BD0064"/>
    <w:rsid w:val="00BD1B51"/>
    <w:rsid w:val="00BD225C"/>
    <w:rsid w:val="00BD47F6"/>
    <w:rsid w:val="00BE2C15"/>
    <w:rsid w:val="00BE312D"/>
    <w:rsid w:val="00BE3FCA"/>
    <w:rsid w:val="00BE4B05"/>
    <w:rsid w:val="00BF31CA"/>
    <w:rsid w:val="00BF3CF2"/>
    <w:rsid w:val="00BF59FA"/>
    <w:rsid w:val="00C00D42"/>
    <w:rsid w:val="00C0408E"/>
    <w:rsid w:val="00C05719"/>
    <w:rsid w:val="00C0625E"/>
    <w:rsid w:val="00C10578"/>
    <w:rsid w:val="00C10F36"/>
    <w:rsid w:val="00C10FEE"/>
    <w:rsid w:val="00C12295"/>
    <w:rsid w:val="00C1401A"/>
    <w:rsid w:val="00C142F3"/>
    <w:rsid w:val="00C16CC3"/>
    <w:rsid w:val="00C1749A"/>
    <w:rsid w:val="00C17D62"/>
    <w:rsid w:val="00C21FDC"/>
    <w:rsid w:val="00C22487"/>
    <w:rsid w:val="00C24EE7"/>
    <w:rsid w:val="00C2596A"/>
    <w:rsid w:val="00C271BE"/>
    <w:rsid w:val="00C27425"/>
    <w:rsid w:val="00C30E1D"/>
    <w:rsid w:val="00C328FE"/>
    <w:rsid w:val="00C33A05"/>
    <w:rsid w:val="00C3420C"/>
    <w:rsid w:val="00C3678C"/>
    <w:rsid w:val="00C40958"/>
    <w:rsid w:val="00C4108C"/>
    <w:rsid w:val="00C414CD"/>
    <w:rsid w:val="00C41EA0"/>
    <w:rsid w:val="00C42500"/>
    <w:rsid w:val="00C4409D"/>
    <w:rsid w:val="00C455BE"/>
    <w:rsid w:val="00C4588E"/>
    <w:rsid w:val="00C47035"/>
    <w:rsid w:val="00C47B18"/>
    <w:rsid w:val="00C51A7C"/>
    <w:rsid w:val="00C51E5F"/>
    <w:rsid w:val="00C52443"/>
    <w:rsid w:val="00C52939"/>
    <w:rsid w:val="00C5559F"/>
    <w:rsid w:val="00C56769"/>
    <w:rsid w:val="00C610AC"/>
    <w:rsid w:val="00C61E4B"/>
    <w:rsid w:val="00C62E3A"/>
    <w:rsid w:val="00C62FA7"/>
    <w:rsid w:val="00C63F97"/>
    <w:rsid w:val="00C641F9"/>
    <w:rsid w:val="00C64503"/>
    <w:rsid w:val="00C64A1F"/>
    <w:rsid w:val="00C64BFF"/>
    <w:rsid w:val="00C70E63"/>
    <w:rsid w:val="00C7335C"/>
    <w:rsid w:val="00C74530"/>
    <w:rsid w:val="00C763C9"/>
    <w:rsid w:val="00C80057"/>
    <w:rsid w:val="00C804EC"/>
    <w:rsid w:val="00C810AD"/>
    <w:rsid w:val="00C82A34"/>
    <w:rsid w:val="00C82C79"/>
    <w:rsid w:val="00C82FD6"/>
    <w:rsid w:val="00C84753"/>
    <w:rsid w:val="00C85315"/>
    <w:rsid w:val="00C86FEB"/>
    <w:rsid w:val="00C91611"/>
    <w:rsid w:val="00C921FF"/>
    <w:rsid w:val="00C93C78"/>
    <w:rsid w:val="00C94DCB"/>
    <w:rsid w:val="00C95337"/>
    <w:rsid w:val="00C971EA"/>
    <w:rsid w:val="00CA3585"/>
    <w:rsid w:val="00CA3D5A"/>
    <w:rsid w:val="00CA4B4D"/>
    <w:rsid w:val="00CA4C7C"/>
    <w:rsid w:val="00CA5247"/>
    <w:rsid w:val="00CA6F24"/>
    <w:rsid w:val="00CB0183"/>
    <w:rsid w:val="00CB1EA3"/>
    <w:rsid w:val="00CB2D87"/>
    <w:rsid w:val="00CB2F35"/>
    <w:rsid w:val="00CB4E42"/>
    <w:rsid w:val="00CB552C"/>
    <w:rsid w:val="00CB6A9E"/>
    <w:rsid w:val="00CC00AD"/>
    <w:rsid w:val="00CC0316"/>
    <w:rsid w:val="00CC209A"/>
    <w:rsid w:val="00CC38BA"/>
    <w:rsid w:val="00CC3CB8"/>
    <w:rsid w:val="00CC5F13"/>
    <w:rsid w:val="00CC6181"/>
    <w:rsid w:val="00CC7694"/>
    <w:rsid w:val="00CD1045"/>
    <w:rsid w:val="00CD1BFF"/>
    <w:rsid w:val="00CD2407"/>
    <w:rsid w:val="00CD28C7"/>
    <w:rsid w:val="00CD2BCD"/>
    <w:rsid w:val="00CD36AA"/>
    <w:rsid w:val="00CD3756"/>
    <w:rsid w:val="00CD3791"/>
    <w:rsid w:val="00CD5434"/>
    <w:rsid w:val="00CD5BEF"/>
    <w:rsid w:val="00CD65B0"/>
    <w:rsid w:val="00CE02CD"/>
    <w:rsid w:val="00CE04D8"/>
    <w:rsid w:val="00CE06E2"/>
    <w:rsid w:val="00CE0FE6"/>
    <w:rsid w:val="00CE10E9"/>
    <w:rsid w:val="00CE3ED8"/>
    <w:rsid w:val="00CE5060"/>
    <w:rsid w:val="00CE75E8"/>
    <w:rsid w:val="00CF21E8"/>
    <w:rsid w:val="00CF3600"/>
    <w:rsid w:val="00CF6A8E"/>
    <w:rsid w:val="00CF7726"/>
    <w:rsid w:val="00CF79DE"/>
    <w:rsid w:val="00D0072E"/>
    <w:rsid w:val="00D011BB"/>
    <w:rsid w:val="00D026D2"/>
    <w:rsid w:val="00D06CE3"/>
    <w:rsid w:val="00D0778E"/>
    <w:rsid w:val="00D07BDF"/>
    <w:rsid w:val="00D128FD"/>
    <w:rsid w:val="00D1335B"/>
    <w:rsid w:val="00D1454C"/>
    <w:rsid w:val="00D146BA"/>
    <w:rsid w:val="00D15727"/>
    <w:rsid w:val="00D1573C"/>
    <w:rsid w:val="00D16332"/>
    <w:rsid w:val="00D16905"/>
    <w:rsid w:val="00D20175"/>
    <w:rsid w:val="00D21EB7"/>
    <w:rsid w:val="00D222A2"/>
    <w:rsid w:val="00D24972"/>
    <w:rsid w:val="00D2515E"/>
    <w:rsid w:val="00D26D5E"/>
    <w:rsid w:val="00D30241"/>
    <w:rsid w:val="00D308ED"/>
    <w:rsid w:val="00D328E0"/>
    <w:rsid w:val="00D33AF6"/>
    <w:rsid w:val="00D34D3C"/>
    <w:rsid w:val="00D359CF"/>
    <w:rsid w:val="00D3603A"/>
    <w:rsid w:val="00D377D4"/>
    <w:rsid w:val="00D40707"/>
    <w:rsid w:val="00D407D4"/>
    <w:rsid w:val="00D44F59"/>
    <w:rsid w:val="00D47471"/>
    <w:rsid w:val="00D47901"/>
    <w:rsid w:val="00D51F55"/>
    <w:rsid w:val="00D56178"/>
    <w:rsid w:val="00D56CF0"/>
    <w:rsid w:val="00D56F5C"/>
    <w:rsid w:val="00D650E5"/>
    <w:rsid w:val="00D66C33"/>
    <w:rsid w:val="00D704B1"/>
    <w:rsid w:val="00D70B63"/>
    <w:rsid w:val="00D7152C"/>
    <w:rsid w:val="00D72632"/>
    <w:rsid w:val="00D72B92"/>
    <w:rsid w:val="00D72ED4"/>
    <w:rsid w:val="00D738AA"/>
    <w:rsid w:val="00D7396E"/>
    <w:rsid w:val="00D73F61"/>
    <w:rsid w:val="00D754C0"/>
    <w:rsid w:val="00D764D2"/>
    <w:rsid w:val="00D776A2"/>
    <w:rsid w:val="00D776CA"/>
    <w:rsid w:val="00D801C4"/>
    <w:rsid w:val="00D82459"/>
    <w:rsid w:val="00D83086"/>
    <w:rsid w:val="00D85351"/>
    <w:rsid w:val="00D8732F"/>
    <w:rsid w:val="00D87EE7"/>
    <w:rsid w:val="00D90836"/>
    <w:rsid w:val="00D91AB7"/>
    <w:rsid w:val="00D94085"/>
    <w:rsid w:val="00D94F2E"/>
    <w:rsid w:val="00D95896"/>
    <w:rsid w:val="00D958BC"/>
    <w:rsid w:val="00D95CC6"/>
    <w:rsid w:val="00D977A6"/>
    <w:rsid w:val="00D97E20"/>
    <w:rsid w:val="00DA1DE9"/>
    <w:rsid w:val="00DA2DA3"/>
    <w:rsid w:val="00DA57AC"/>
    <w:rsid w:val="00DA6615"/>
    <w:rsid w:val="00DA73A1"/>
    <w:rsid w:val="00DA76AE"/>
    <w:rsid w:val="00DB0847"/>
    <w:rsid w:val="00DB1714"/>
    <w:rsid w:val="00DB181E"/>
    <w:rsid w:val="00DB1C7A"/>
    <w:rsid w:val="00DB2983"/>
    <w:rsid w:val="00DB343D"/>
    <w:rsid w:val="00DB4402"/>
    <w:rsid w:val="00DB5412"/>
    <w:rsid w:val="00DB5579"/>
    <w:rsid w:val="00DB5610"/>
    <w:rsid w:val="00DB5CFE"/>
    <w:rsid w:val="00DB7061"/>
    <w:rsid w:val="00DB75E2"/>
    <w:rsid w:val="00DC3A0A"/>
    <w:rsid w:val="00DC6AFA"/>
    <w:rsid w:val="00DC72A6"/>
    <w:rsid w:val="00DC7BA3"/>
    <w:rsid w:val="00DD0BA3"/>
    <w:rsid w:val="00DD2113"/>
    <w:rsid w:val="00DD265E"/>
    <w:rsid w:val="00DD331F"/>
    <w:rsid w:val="00DD3A61"/>
    <w:rsid w:val="00DD4295"/>
    <w:rsid w:val="00DD6152"/>
    <w:rsid w:val="00DE1E24"/>
    <w:rsid w:val="00DE2DD5"/>
    <w:rsid w:val="00DE4E02"/>
    <w:rsid w:val="00DE5570"/>
    <w:rsid w:val="00DF0615"/>
    <w:rsid w:val="00DF1930"/>
    <w:rsid w:val="00DF4A16"/>
    <w:rsid w:val="00DF500B"/>
    <w:rsid w:val="00DF514A"/>
    <w:rsid w:val="00E0278B"/>
    <w:rsid w:val="00E034F6"/>
    <w:rsid w:val="00E0358D"/>
    <w:rsid w:val="00E03F95"/>
    <w:rsid w:val="00E04E5D"/>
    <w:rsid w:val="00E04F98"/>
    <w:rsid w:val="00E06327"/>
    <w:rsid w:val="00E065F7"/>
    <w:rsid w:val="00E11A5F"/>
    <w:rsid w:val="00E11B0C"/>
    <w:rsid w:val="00E11FF4"/>
    <w:rsid w:val="00E12BB7"/>
    <w:rsid w:val="00E12C0F"/>
    <w:rsid w:val="00E12D4B"/>
    <w:rsid w:val="00E12EF0"/>
    <w:rsid w:val="00E1646A"/>
    <w:rsid w:val="00E2064B"/>
    <w:rsid w:val="00E2070A"/>
    <w:rsid w:val="00E21930"/>
    <w:rsid w:val="00E22DC1"/>
    <w:rsid w:val="00E245B9"/>
    <w:rsid w:val="00E245D1"/>
    <w:rsid w:val="00E24609"/>
    <w:rsid w:val="00E24BE3"/>
    <w:rsid w:val="00E25239"/>
    <w:rsid w:val="00E265B1"/>
    <w:rsid w:val="00E26FB1"/>
    <w:rsid w:val="00E275B0"/>
    <w:rsid w:val="00E27D4D"/>
    <w:rsid w:val="00E32641"/>
    <w:rsid w:val="00E32D70"/>
    <w:rsid w:val="00E412D0"/>
    <w:rsid w:val="00E42717"/>
    <w:rsid w:val="00E42D80"/>
    <w:rsid w:val="00E45927"/>
    <w:rsid w:val="00E47CDB"/>
    <w:rsid w:val="00E5035A"/>
    <w:rsid w:val="00E50964"/>
    <w:rsid w:val="00E51076"/>
    <w:rsid w:val="00E51499"/>
    <w:rsid w:val="00E51509"/>
    <w:rsid w:val="00E52B3B"/>
    <w:rsid w:val="00E540A3"/>
    <w:rsid w:val="00E5478D"/>
    <w:rsid w:val="00E54F62"/>
    <w:rsid w:val="00E566BC"/>
    <w:rsid w:val="00E57B67"/>
    <w:rsid w:val="00E60982"/>
    <w:rsid w:val="00E60C8D"/>
    <w:rsid w:val="00E6162F"/>
    <w:rsid w:val="00E6311B"/>
    <w:rsid w:val="00E645F8"/>
    <w:rsid w:val="00E64B7B"/>
    <w:rsid w:val="00E65D97"/>
    <w:rsid w:val="00E67EFD"/>
    <w:rsid w:val="00E702DC"/>
    <w:rsid w:val="00E71FFB"/>
    <w:rsid w:val="00E72803"/>
    <w:rsid w:val="00E72FDB"/>
    <w:rsid w:val="00E73801"/>
    <w:rsid w:val="00E748E7"/>
    <w:rsid w:val="00E75C0E"/>
    <w:rsid w:val="00E76D1D"/>
    <w:rsid w:val="00E7792F"/>
    <w:rsid w:val="00E806F8"/>
    <w:rsid w:val="00E81091"/>
    <w:rsid w:val="00E82458"/>
    <w:rsid w:val="00E82D4E"/>
    <w:rsid w:val="00E87752"/>
    <w:rsid w:val="00E8793B"/>
    <w:rsid w:val="00E90A79"/>
    <w:rsid w:val="00E90F81"/>
    <w:rsid w:val="00E91A6D"/>
    <w:rsid w:val="00E9242D"/>
    <w:rsid w:val="00E924F6"/>
    <w:rsid w:val="00EA1E54"/>
    <w:rsid w:val="00EA2852"/>
    <w:rsid w:val="00EA2925"/>
    <w:rsid w:val="00EA33E6"/>
    <w:rsid w:val="00EA7E24"/>
    <w:rsid w:val="00EB041C"/>
    <w:rsid w:val="00EB0DFB"/>
    <w:rsid w:val="00EB5EFF"/>
    <w:rsid w:val="00EB6575"/>
    <w:rsid w:val="00EB6D86"/>
    <w:rsid w:val="00EC0115"/>
    <w:rsid w:val="00EC1487"/>
    <w:rsid w:val="00EC1879"/>
    <w:rsid w:val="00EC2924"/>
    <w:rsid w:val="00EC5755"/>
    <w:rsid w:val="00EC5874"/>
    <w:rsid w:val="00EC75BA"/>
    <w:rsid w:val="00ED0581"/>
    <w:rsid w:val="00ED192D"/>
    <w:rsid w:val="00ED30B4"/>
    <w:rsid w:val="00ED30B5"/>
    <w:rsid w:val="00ED31F5"/>
    <w:rsid w:val="00ED62CB"/>
    <w:rsid w:val="00ED69A5"/>
    <w:rsid w:val="00EE0B2C"/>
    <w:rsid w:val="00EE0F84"/>
    <w:rsid w:val="00EE2497"/>
    <w:rsid w:val="00EE2E4F"/>
    <w:rsid w:val="00EE41B1"/>
    <w:rsid w:val="00EE42A8"/>
    <w:rsid w:val="00EE5B98"/>
    <w:rsid w:val="00EF0837"/>
    <w:rsid w:val="00EF26A0"/>
    <w:rsid w:val="00EF2759"/>
    <w:rsid w:val="00EF36F5"/>
    <w:rsid w:val="00EF45EB"/>
    <w:rsid w:val="00EF5099"/>
    <w:rsid w:val="00EF5E33"/>
    <w:rsid w:val="00F00075"/>
    <w:rsid w:val="00F0130F"/>
    <w:rsid w:val="00F01A50"/>
    <w:rsid w:val="00F04FDE"/>
    <w:rsid w:val="00F050F1"/>
    <w:rsid w:val="00F07822"/>
    <w:rsid w:val="00F10604"/>
    <w:rsid w:val="00F11B3C"/>
    <w:rsid w:val="00F11EF4"/>
    <w:rsid w:val="00F15C95"/>
    <w:rsid w:val="00F213EE"/>
    <w:rsid w:val="00F22985"/>
    <w:rsid w:val="00F241AB"/>
    <w:rsid w:val="00F24625"/>
    <w:rsid w:val="00F30328"/>
    <w:rsid w:val="00F31382"/>
    <w:rsid w:val="00F32DAA"/>
    <w:rsid w:val="00F32E49"/>
    <w:rsid w:val="00F35829"/>
    <w:rsid w:val="00F3685A"/>
    <w:rsid w:val="00F40B9A"/>
    <w:rsid w:val="00F41D7E"/>
    <w:rsid w:val="00F42868"/>
    <w:rsid w:val="00F42BBA"/>
    <w:rsid w:val="00F465A7"/>
    <w:rsid w:val="00F47B0F"/>
    <w:rsid w:val="00F50B7C"/>
    <w:rsid w:val="00F5202D"/>
    <w:rsid w:val="00F52CF6"/>
    <w:rsid w:val="00F54104"/>
    <w:rsid w:val="00F54496"/>
    <w:rsid w:val="00F548C7"/>
    <w:rsid w:val="00F548D7"/>
    <w:rsid w:val="00F54FC4"/>
    <w:rsid w:val="00F55B1D"/>
    <w:rsid w:val="00F563E5"/>
    <w:rsid w:val="00F57FAC"/>
    <w:rsid w:val="00F61097"/>
    <w:rsid w:val="00F610D4"/>
    <w:rsid w:val="00F62B66"/>
    <w:rsid w:val="00F6317A"/>
    <w:rsid w:val="00F63CFC"/>
    <w:rsid w:val="00F642FC"/>
    <w:rsid w:val="00F64B7B"/>
    <w:rsid w:val="00F659C5"/>
    <w:rsid w:val="00F67F10"/>
    <w:rsid w:val="00F74345"/>
    <w:rsid w:val="00F74441"/>
    <w:rsid w:val="00F7525A"/>
    <w:rsid w:val="00F774CE"/>
    <w:rsid w:val="00F77F30"/>
    <w:rsid w:val="00F808D8"/>
    <w:rsid w:val="00F80AF7"/>
    <w:rsid w:val="00F80CA2"/>
    <w:rsid w:val="00F81613"/>
    <w:rsid w:val="00F8182B"/>
    <w:rsid w:val="00F82589"/>
    <w:rsid w:val="00F82B19"/>
    <w:rsid w:val="00F87DCA"/>
    <w:rsid w:val="00F90AA7"/>
    <w:rsid w:val="00F9212D"/>
    <w:rsid w:val="00F9495E"/>
    <w:rsid w:val="00FA03B5"/>
    <w:rsid w:val="00FA0FC8"/>
    <w:rsid w:val="00FA301A"/>
    <w:rsid w:val="00FA3A6D"/>
    <w:rsid w:val="00FA406A"/>
    <w:rsid w:val="00FA5CB6"/>
    <w:rsid w:val="00FA7557"/>
    <w:rsid w:val="00FA7D6A"/>
    <w:rsid w:val="00FB0C2A"/>
    <w:rsid w:val="00FB784C"/>
    <w:rsid w:val="00FC390D"/>
    <w:rsid w:val="00FC57EF"/>
    <w:rsid w:val="00FC66AC"/>
    <w:rsid w:val="00FD18F4"/>
    <w:rsid w:val="00FD367B"/>
    <w:rsid w:val="00FD74B4"/>
    <w:rsid w:val="00FF0B3D"/>
    <w:rsid w:val="00FF323A"/>
    <w:rsid w:val="00FF4532"/>
    <w:rsid w:val="00FF4BA7"/>
    <w:rsid w:val="00FF6FCE"/>
    <w:rsid w:val="00FF7518"/>
    <w:rsid w:val="00FF7FD8"/>
    <w:rsid w:val="01245B75"/>
    <w:rsid w:val="014F0398"/>
    <w:rsid w:val="015E1EFD"/>
    <w:rsid w:val="01AC59E8"/>
    <w:rsid w:val="01C3415F"/>
    <w:rsid w:val="01D66923"/>
    <w:rsid w:val="01E3411A"/>
    <w:rsid w:val="01E410F5"/>
    <w:rsid w:val="01F065D6"/>
    <w:rsid w:val="020070BB"/>
    <w:rsid w:val="02272A4D"/>
    <w:rsid w:val="026A16A0"/>
    <w:rsid w:val="02AF5174"/>
    <w:rsid w:val="02B1714E"/>
    <w:rsid w:val="02B70F7C"/>
    <w:rsid w:val="02D46BE2"/>
    <w:rsid w:val="02D75947"/>
    <w:rsid w:val="02F136E8"/>
    <w:rsid w:val="03043439"/>
    <w:rsid w:val="03114707"/>
    <w:rsid w:val="03213E72"/>
    <w:rsid w:val="03312A19"/>
    <w:rsid w:val="03471610"/>
    <w:rsid w:val="03582BB5"/>
    <w:rsid w:val="03856C72"/>
    <w:rsid w:val="038B2C7B"/>
    <w:rsid w:val="038F71C9"/>
    <w:rsid w:val="03981C1B"/>
    <w:rsid w:val="039E1F86"/>
    <w:rsid w:val="03B279E6"/>
    <w:rsid w:val="03E966A6"/>
    <w:rsid w:val="03ED59B6"/>
    <w:rsid w:val="03F0722E"/>
    <w:rsid w:val="045F4256"/>
    <w:rsid w:val="04640655"/>
    <w:rsid w:val="046C750A"/>
    <w:rsid w:val="046D0901"/>
    <w:rsid w:val="048016F2"/>
    <w:rsid w:val="04842ADF"/>
    <w:rsid w:val="049C0338"/>
    <w:rsid w:val="04F30E30"/>
    <w:rsid w:val="04F322ED"/>
    <w:rsid w:val="04F33554"/>
    <w:rsid w:val="04FC6142"/>
    <w:rsid w:val="050F04DE"/>
    <w:rsid w:val="052D3032"/>
    <w:rsid w:val="053B2320"/>
    <w:rsid w:val="053C5E50"/>
    <w:rsid w:val="056027F2"/>
    <w:rsid w:val="05742AC8"/>
    <w:rsid w:val="057D3540"/>
    <w:rsid w:val="05A47071"/>
    <w:rsid w:val="05BE7955"/>
    <w:rsid w:val="060B10CB"/>
    <w:rsid w:val="06256DDB"/>
    <w:rsid w:val="06352F05"/>
    <w:rsid w:val="06396ED3"/>
    <w:rsid w:val="063E7D85"/>
    <w:rsid w:val="0648365F"/>
    <w:rsid w:val="06532730"/>
    <w:rsid w:val="06692C9C"/>
    <w:rsid w:val="066B13EA"/>
    <w:rsid w:val="06824DC3"/>
    <w:rsid w:val="06A83B69"/>
    <w:rsid w:val="06E76764"/>
    <w:rsid w:val="070875E0"/>
    <w:rsid w:val="07293586"/>
    <w:rsid w:val="07295285"/>
    <w:rsid w:val="072D2FEA"/>
    <w:rsid w:val="072E6CF9"/>
    <w:rsid w:val="07331AB5"/>
    <w:rsid w:val="074212A9"/>
    <w:rsid w:val="077532B7"/>
    <w:rsid w:val="07770C56"/>
    <w:rsid w:val="078D3874"/>
    <w:rsid w:val="078F23D7"/>
    <w:rsid w:val="079C624B"/>
    <w:rsid w:val="079E7AC0"/>
    <w:rsid w:val="07A50301"/>
    <w:rsid w:val="07AD599F"/>
    <w:rsid w:val="07D8162D"/>
    <w:rsid w:val="07D82FCB"/>
    <w:rsid w:val="07EC2AD8"/>
    <w:rsid w:val="07EC6998"/>
    <w:rsid w:val="08076D9B"/>
    <w:rsid w:val="080F08D8"/>
    <w:rsid w:val="083912F3"/>
    <w:rsid w:val="083B457F"/>
    <w:rsid w:val="086D71A6"/>
    <w:rsid w:val="08725054"/>
    <w:rsid w:val="088E3AAD"/>
    <w:rsid w:val="08BB45BC"/>
    <w:rsid w:val="08BF6CAC"/>
    <w:rsid w:val="08CB547A"/>
    <w:rsid w:val="08DC4C5E"/>
    <w:rsid w:val="08EA03D2"/>
    <w:rsid w:val="08F33D56"/>
    <w:rsid w:val="090865C0"/>
    <w:rsid w:val="092217DD"/>
    <w:rsid w:val="093A7294"/>
    <w:rsid w:val="09793239"/>
    <w:rsid w:val="09B565BD"/>
    <w:rsid w:val="09C4319E"/>
    <w:rsid w:val="09D345E5"/>
    <w:rsid w:val="09E21493"/>
    <w:rsid w:val="09E375FD"/>
    <w:rsid w:val="09EA76E9"/>
    <w:rsid w:val="09EF4536"/>
    <w:rsid w:val="09F90D04"/>
    <w:rsid w:val="09FD0545"/>
    <w:rsid w:val="0A104EA6"/>
    <w:rsid w:val="0A126BD2"/>
    <w:rsid w:val="0A177B04"/>
    <w:rsid w:val="0A2D3298"/>
    <w:rsid w:val="0A713731"/>
    <w:rsid w:val="0A7E6A9A"/>
    <w:rsid w:val="0A9F3923"/>
    <w:rsid w:val="0AD329A7"/>
    <w:rsid w:val="0AE8343E"/>
    <w:rsid w:val="0B064109"/>
    <w:rsid w:val="0B1C6703"/>
    <w:rsid w:val="0B656F85"/>
    <w:rsid w:val="0B876A3D"/>
    <w:rsid w:val="0BA80E28"/>
    <w:rsid w:val="0BD27BF6"/>
    <w:rsid w:val="0BDA01DC"/>
    <w:rsid w:val="0BF02617"/>
    <w:rsid w:val="0C557A5D"/>
    <w:rsid w:val="0C6F5043"/>
    <w:rsid w:val="0C80635B"/>
    <w:rsid w:val="0CB21B12"/>
    <w:rsid w:val="0CCF76C3"/>
    <w:rsid w:val="0CF033F1"/>
    <w:rsid w:val="0D4344DD"/>
    <w:rsid w:val="0D4476E7"/>
    <w:rsid w:val="0D700C7C"/>
    <w:rsid w:val="0D743FD6"/>
    <w:rsid w:val="0D9C262D"/>
    <w:rsid w:val="0DA47DFC"/>
    <w:rsid w:val="0DA532EE"/>
    <w:rsid w:val="0DBA41A4"/>
    <w:rsid w:val="0DBE38AC"/>
    <w:rsid w:val="0DE3613E"/>
    <w:rsid w:val="0E110D06"/>
    <w:rsid w:val="0E1D6178"/>
    <w:rsid w:val="0E23306B"/>
    <w:rsid w:val="0E3065A3"/>
    <w:rsid w:val="0E347A42"/>
    <w:rsid w:val="0E4F18C1"/>
    <w:rsid w:val="0E6B613A"/>
    <w:rsid w:val="0E7D594F"/>
    <w:rsid w:val="0E865D07"/>
    <w:rsid w:val="0E8E5AAC"/>
    <w:rsid w:val="0EA32618"/>
    <w:rsid w:val="0EB7325E"/>
    <w:rsid w:val="0ED32CF6"/>
    <w:rsid w:val="0F13775A"/>
    <w:rsid w:val="0F342125"/>
    <w:rsid w:val="0F772076"/>
    <w:rsid w:val="0F784CAA"/>
    <w:rsid w:val="0F961F0C"/>
    <w:rsid w:val="0F9A112B"/>
    <w:rsid w:val="0FC96FF8"/>
    <w:rsid w:val="0FD3043D"/>
    <w:rsid w:val="0FEA1001"/>
    <w:rsid w:val="0FFE626B"/>
    <w:rsid w:val="101164D2"/>
    <w:rsid w:val="104C2F33"/>
    <w:rsid w:val="104D23BC"/>
    <w:rsid w:val="106D2F64"/>
    <w:rsid w:val="106F63B8"/>
    <w:rsid w:val="10930A3B"/>
    <w:rsid w:val="10AA6CA0"/>
    <w:rsid w:val="10B63710"/>
    <w:rsid w:val="10CD0B6F"/>
    <w:rsid w:val="10D117CE"/>
    <w:rsid w:val="111C2F7A"/>
    <w:rsid w:val="1122342A"/>
    <w:rsid w:val="112F29F1"/>
    <w:rsid w:val="113013DE"/>
    <w:rsid w:val="11333889"/>
    <w:rsid w:val="11357601"/>
    <w:rsid w:val="11392429"/>
    <w:rsid w:val="115A5DB4"/>
    <w:rsid w:val="115C7D39"/>
    <w:rsid w:val="115D55EC"/>
    <w:rsid w:val="11845E93"/>
    <w:rsid w:val="11A85086"/>
    <w:rsid w:val="11C97D4A"/>
    <w:rsid w:val="11D230A2"/>
    <w:rsid w:val="11D4672C"/>
    <w:rsid w:val="12024D92"/>
    <w:rsid w:val="122B06C2"/>
    <w:rsid w:val="122F0ADF"/>
    <w:rsid w:val="122F16F0"/>
    <w:rsid w:val="123B762F"/>
    <w:rsid w:val="12575356"/>
    <w:rsid w:val="127943F3"/>
    <w:rsid w:val="12A93E15"/>
    <w:rsid w:val="12B02F57"/>
    <w:rsid w:val="12CD1ABC"/>
    <w:rsid w:val="12CF3A8A"/>
    <w:rsid w:val="12D03631"/>
    <w:rsid w:val="12D4505D"/>
    <w:rsid w:val="12EA0AC0"/>
    <w:rsid w:val="12ED02EB"/>
    <w:rsid w:val="12F74233"/>
    <w:rsid w:val="130917CA"/>
    <w:rsid w:val="13113756"/>
    <w:rsid w:val="13231EBE"/>
    <w:rsid w:val="132C67E2"/>
    <w:rsid w:val="13394EF9"/>
    <w:rsid w:val="133A5E41"/>
    <w:rsid w:val="13491142"/>
    <w:rsid w:val="134A24A8"/>
    <w:rsid w:val="1364637A"/>
    <w:rsid w:val="136B2CCB"/>
    <w:rsid w:val="136C557A"/>
    <w:rsid w:val="1374642C"/>
    <w:rsid w:val="13951726"/>
    <w:rsid w:val="13960416"/>
    <w:rsid w:val="13A24CF6"/>
    <w:rsid w:val="13AE0004"/>
    <w:rsid w:val="13B06B43"/>
    <w:rsid w:val="13B81DC4"/>
    <w:rsid w:val="13B84D73"/>
    <w:rsid w:val="13E325C4"/>
    <w:rsid w:val="141F76B5"/>
    <w:rsid w:val="14206552"/>
    <w:rsid w:val="14396509"/>
    <w:rsid w:val="143D4C2A"/>
    <w:rsid w:val="1447165C"/>
    <w:rsid w:val="14544440"/>
    <w:rsid w:val="14784E7C"/>
    <w:rsid w:val="147C27D8"/>
    <w:rsid w:val="14973013"/>
    <w:rsid w:val="14BB4BDB"/>
    <w:rsid w:val="14BF1A8F"/>
    <w:rsid w:val="14DA36DB"/>
    <w:rsid w:val="14EB7FD7"/>
    <w:rsid w:val="14ED3071"/>
    <w:rsid w:val="1503519C"/>
    <w:rsid w:val="152E0B95"/>
    <w:rsid w:val="154A409C"/>
    <w:rsid w:val="15816564"/>
    <w:rsid w:val="1590573E"/>
    <w:rsid w:val="15B54110"/>
    <w:rsid w:val="15D766BA"/>
    <w:rsid w:val="15DF34AD"/>
    <w:rsid w:val="15E350BE"/>
    <w:rsid w:val="15EC465E"/>
    <w:rsid w:val="163C5239"/>
    <w:rsid w:val="1664634D"/>
    <w:rsid w:val="16967DE2"/>
    <w:rsid w:val="169F1366"/>
    <w:rsid w:val="16A1367E"/>
    <w:rsid w:val="16A46FB0"/>
    <w:rsid w:val="16AA7036"/>
    <w:rsid w:val="16CB7275"/>
    <w:rsid w:val="16DE0CAE"/>
    <w:rsid w:val="16EC73B3"/>
    <w:rsid w:val="16FD0F5C"/>
    <w:rsid w:val="1743621F"/>
    <w:rsid w:val="174F7CC6"/>
    <w:rsid w:val="17735226"/>
    <w:rsid w:val="177A213A"/>
    <w:rsid w:val="179911F2"/>
    <w:rsid w:val="17AA3930"/>
    <w:rsid w:val="17AB04D1"/>
    <w:rsid w:val="17BD50A0"/>
    <w:rsid w:val="17C05C55"/>
    <w:rsid w:val="17C25125"/>
    <w:rsid w:val="17DC1EDE"/>
    <w:rsid w:val="180766BC"/>
    <w:rsid w:val="180E682F"/>
    <w:rsid w:val="182426E5"/>
    <w:rsid w:val="182A54CC"/>
    <w:rsid w:val="18497144"/>
    <w:rsid w:val="18552DC2"/>
    <w:rsid w:val="18811F8C"/>
    <w:rsid w:val="188444DD"/>
    <w:rsid w:val="19087F77"/>
    <w:rsid w:val="194D25DC"/>
    <w:rsid w:val="196E49CB"/>
    <w:rsid w:val="196F11D7"/>
    <w:rsid w:val="19A7638C"/>
    <w:rsid w:val="19B82B8C"/>
    <w:rsid w:val="19EA4283"/>
    <w:rsid w:val="1A0954C1"/>
    <w:rsid w:val="1A133791"/>
    <w:rsid w:val="1A1C66C0"/>
    <w:rsid w:val="1A316775"/>
    <w:rsid w:val="1A42393B"/>
    <w:rsid w:val="1A4E721A"/>
    <w:rsid w:val="1A7972D6"/>
    <w:rsid w:val="1AFF3978"/>
    <w:rsid w:val="1B013245"/>
    <w:rsid w:val="1B046F80"/>
    <w:rsid w:val="1B104E51"/>
    <w:rsid w:val="1B127F00"/>
    <w:rsid w:val="1B224144"/>
    <w:rsid w:val="1B276374"/>
    <w:rsid w:val="1B3267B5"/>
    <w:rsid w:val="1B582DDD"/>
    <w:rsid w:val="1B713347"/>
    <w:rsid w:val="1B800720"/>
    <w:rsid w:val="1B814CE5"/>
    <w:rsid w:val="1B827539"/>
    <w:rsid w:val="1BBE01F3"/>
    <w:rsid w:val="1BC25DC8"/>
    <w:rsid w:val="1BD31572"/>
    <w:rsid w:val="1BD45D95"/>
    <w:rsid w:val="1BEC5393"/>
    <w:rsid w:val="1BF2231B"/>
    <w:rsid w:val="1C097B2D"/>
    <w:rsid w:val="1C2303EF"/>
    <w:rsid w:val="1C304B52"/>
    <w:rsid w:val="1C375979"/>
    <w:rsid w:val="1C5823F6"/>
    <w:rsid w:val="1C5C3318"/>
    <w:rsid w:val="1C5E7925"/>
    <w:rsid w:val="1C882873"/>
    <w:rsid w:val="1C887FC8"/>
    <w:rsid w:val="1C97647C"/>
    <w:rsid w:val="1C9B524C"/>
    <w:rsid w:val="1CBB62E5"/>
    <w:rsid w:val="1CE04001"/>
    <w:rsid w:val="1CEB5C8F"/>
    <w:rsid w:val="1D1D4B2B"/>
    <w:rsid w:val="1D5F6196"/>
    <w:rsid w:val="1D6132A5"/>
    <w:rsid w:val="1D6B35BE"/>
    <w:rsid w:val="1D7F28DA"/>
    <w:rsid w:val="1D8E56D5"/>
    <w:rsid w:val="1DAF747F"/>
    <w:rsid w:val="1DB71C04"/>
    <w:rsid w:val="1DBF0816"/>
    <w:rsid w:val="1DD674A2"/>
    <w:rsid w:val="1DE3114D"/>
    <w:rsid w:val="1E0E1194"/>
    <w:rsid w:val="1E255982"/>
    <w:rsid w:val="1E293D4F"/>
    <w:rsid w:val="1E2B0DAE"/>
    <w:rsid w:val="1E4A684B"/>
    <w:rsid w:val="1E5F6EDC"/>
    <w:rsid w:val="1E6A5817"/>
    <w:rsid w:val="1E7A43DA"/>
    <w:rsid w:val="1E866A1A"/>
    <w:rsid w:val="1E9B657E"/>
    <w:rsid w:val="1EB2281A"/>
    <w:rsid w:val="1EB277FE"/>
    <w:rsid w:val="1EBC6905"/>
    <w:rsid w:val="1ECE4BF1"/>
    <w:rsid w:val="1EF47B1B"/>
    <w:rsid w:val="1EF71A70"/>
    <w:rsid w:val="1F1E5E22"/>
    <w:rsid w:val="1F246F5D"/>
    <w:rsid w:val="1F394761"/>
    <w:rsid w:val="1F412062"/>
    <w:rsid w:val="1F5C515D"/>
    <w:rsid w:val="1F5E60AF"/>
    <w:rsid w:val="1F636143"/>
    <w:rsid w:val="1FA35AAD"/>
    <w:rsid w:val="1FA87F56"/>
    <w:rsid w:val="1FB5039D"/>
    <w:rsid w:val="1FE7539E"/>
    <w:rsid w:val="1FF36B86"/>
    <w:rsid w:val="200E04EE"/>
    <w:rsid w:val="2031331A"/>
    <w:rsid w:val="20375AE2"/>
    <w:rsid w:val="20963CB8"/>
    <w:rsid w:val="209B5F5B"/>
    <w:rsid w:val="20B07FB6"/>
    <w:rsid w:val="20BB3040"/>
    <w:rsid w:val="20BC37C8"/>
    <w:rsid w:val="20C975A9"/>
    <w:rsid w:val="20CA2180"/>
    <w:rsid w:val="20DE7B8D"/>
    <w:rsid w:val="20ED30BF"/>
    <w:rsid w:val="210C0564"/>
    <w:rsid w:val="21112D18"/>
    <w:rsid w:val="211625B9"/>
    <w:rsid w:val="21262E69"/>
    <w:rsid w:val="213B74B1"/>
    <w:rsid w:val="215A2310"/>
    <w:rsid w:val="216018DB"/>
    <w:rsid w:val="216E3F59"/>
    <w:rsid w:val="21C2398B"/>
    <w:rsid w:val="21DE318A"/>
    <w:rsid w:val="21EF5B80"/>
    <w:rsid w:val="21F05A0A"/>
    <w:rsid w:val="21FC2DBE"/>
    <w:rsid w:val="223E3E3C"/>
    <w:rsid w:val="22576990"/>
    <w:rsid w:val="225F0A7F"/>
    <w:rsid w:val="228D4F28"/>
    <w:rsid w:val="228F28EA"/>
    <w:rsid w:val="229C4EAB"/>
    <w:rsid w:val="229C7800"/>
    <w:rsid w:val="22DC6171"/>
    <w:rsid w:val="22FE2F8F"/>
    <w:rsid w:val="234D4E09"/>
    <w:rsid w:val="234E3AAE"/>
    <w:rsid w:val="234E6301"/>
    <w:rsid w:val="237B06D4"/>
    <w:rsid w:val="23856F40"/>
    <w:rsid w:val="23B001C0"/>
    <w:rsid w:val="23B81D38"/>
    <w:rsid w:val="23D9255F"/>
    <w:rsid w:val="23EB22CF"/>
    <w:rsid w:val="24196CDF"/>
    <w:rsid w:val="2481248B"/>
    <w:rsid w:val="24866CEF"/>
    <w:rsid w:val="2490190B"/>
    <w:rsid w:val="24C01CAF"/>
    <w:rsid w:val="252D53FE"/>
    <w:rsid w:val="25373A30"/>
    <w:rsid w:val="25585215"/>
    <w:rsid w:val="256E00B7"/>
    <w:rsid w:val="257445F6"/>
    <w:rsid w:val="257832A0"/>
    <w:rsid w:val="257E5C75"/>
    <w:rsid w:val="25C34B95"/>
    <w:rsid w:val="25EC2D81"/>
    <w:rsid w:val="26031BE1"/>
    <w:rsid w:val="26191293"/>
    <w:rsid w:val="262C5F70"/>
    <w:rsid w:val="26451D18"/>
    <w:rsid w:val="264528BD"/>
    <w:rsid w:val="264F18B3"/>
    <w:rsid w:val="265A4FBD"/>
    <w:rsid w:val="266A0278"/>
    <w:rsid w:val="26813F5E"/>
    <w:rsid w:val="26A20C67"/>
    <w:rsid w:val="26AB58BF"/>
    <w:rsid w:val="271F69CC"/>
    <w:rsid w:val="27267047"/>
    <w:rsid w:val="27483067"/>
    <w:rsid w:val="274E6EA3"/>
    <w:rsid w:val="275A01E3"/>
    <w:rsid w:val="276873DC"/>
    <w:rsid w:val="278D3957"/>
    <w:rsid w:val="27985B81"/>
    <w:rsid w:val="27D15DD1"/>
    <w:rsid w:val="27FF7D6E"/>
    <w:rsid w:val="28466300"/>
    <w:rsid w:val="284C52D9"/>
    <w:rsid w:val="28503F80"/>
    <w:rsid w:val="287947A7"/>
    <w:rsid w:val="2896552B"/>
    <w:rsid w:val="28A76295"/>
    <w:rsid w:val="28D16988"/>
    <w:rsid w:val="28F6679E"/>
    <w:rsid w:val="28F71C2C"/>
    <w:rsid w:val="28F737FF"/>
    <w:rsid w:val="28FE3443"/>
    <w:rsid w:val="29206EB8"/>
    <w:rsid w:val="29257B04"/>
    <w:rsid w:val="29284569"/>
    <w:rsid w:val="292C02A9"/>
    <w:rsid w:val="29406BAF"/>
    <w:rsid w:val="29466C73"/>
    <w:rsid w:val="294A43DA"/>
    <w:rsid w:val="297332B0"/>
    <w:rsid w:val="29741546"/>
    <w:rsid w:val="297840D8"/>
    <w:rsid w:val="29C70BBB"/>
    <w:rsid w:val="29D3676F"/>
    <w:rsid w:val="29E325E0"/>
    <w:rsid w:val="2A05624D"/>
    <w:rsid w:val="2A311365"/>
    <w:rsid w:val="2A35282A"/>
    <w:rsid w:val="2A357EBE"/>
    <w:rsid w:val="2A3F3D47"/>
    <w:rsid w:val="2A452503"/>
    <w:rsid w:val="2A5266D7"/>
    <w:rsid w:val="2A6013DD"/>
    <w:rsid w:val="2A832DBA"/>
    <w:rsid w:val="2AC84BEB"/>
    <w:rsid w:val="2AD036AE"/>
    <w:rsid w:val="2AD321A5"/>
    <w:rsid w:val="2AD42FFF"/>
    <w:rsid w:val="2AE17200"/>
    <w:rsid w:val="2AE83EFB"/>
    <w:rsid w:val="2AFA3D18"/>
    <w:rsid w:val="2B084B88"/>
    <w:rsid w:val="2B125D08"/>
    <w:rsid w:val="2B433DD1"/>
    <w:rsid w:val="2B631DE7"/>
    <w:rsid w:val="2B6F0417"/>
    <w:rsid w:val="2B912465"/>
    <w:rsid w:val="2B925B57"/>
    <w:rsid w:val="2BA936A8"/>
    <w:rsid w:val="2BAA1E7A"/>
    <w:rsid w:val="2BC91B39"/>
    <w:rsid w:val="2BE10620"/>
    <w:rsid w:val="2BE47802"/>
    <w:rsid w:val="2BEF090C"/>
    <w:rsid w:val="2BFC40CF"/>
    <w:rsid w:val="2BFF63EA"/>
    <w:rsid w:val="2C2A5AE2"/>
    <w:rsid w:val="2C315A5A"/>
    <w:rsid w:val="2C823684"/>
    <w:rsid w:val="2C862667"/>
    <w:rsid w:val="2C9346D1"/>
    <w:rsid w:val="2CA702BA"/>
    <w:rsid w:val="2CAD113A"/>
    <w:rsid w:val="2CAF0D97"/>
    <w:rsid w:val="2CBC6F1B"/>
    <w:rsid w:val="2CD53CE8"/>
    <w:rsid w:val="2CEC0C95"/>
    <w:rsid w:val="2CFC734D"/>
    <w:rsid w:val="2D2D4904"/>
    <w:rsid w:val="2D343FA1"/>
    <w:rsid w:val="2D427E72"/>
    <w:rsid w:val="2D523127"/>
    <w:rsid w:val="2D937B80"/>
    <w:rsid w:val="2D964D59"/>
    <w:rsid w:val="2D9E56F5"/>
    <w:rsid w:val="2DBD75BD"/>
    <w:rsid w:val="2DBF6939"/>
    <w:rsid w:val="2DCF2AB8"/>
    <w:rsid w:val="2DDE0EE7"/>
    <w:rsid w:val="2DE77E18"/>
    <w:rsid w:val="2DFD0881"/>
    <w:rsid w:val="2E645161"/>
    <w:rsid w:val="2E667F96"/>
    <w:rsid w:val="2E814325"/>
    <w:rsid w:val="2E8226AB"/>
    <w:rsid w:val="2E830B65"/>
    <w:rsid w:val="2EAD4A9E"/>
    <w:rsid w:val="2ECA6A73"/>
    <w:rsid w:val="2EDE3FC3"/>
    <w:rsid w:val="2EDF252C"/>
    <w:rsid w:val="2F273B9D"/>
    <w:rsid w:val="2F30316E"/>
    <w:rsid w:val="2F394BB0"/>
    <w:rsid w:val="2F7B4703"/>
    <w:rsid w:val="2F832C79"/>
    <w:rsid w:val="2F842571"/>
    <w:rsid w:val="2F896F93"/>
    <w:rsid w:val="2F897CAB"/>
    <w:rsid w:val="2F93560A"/>
    <w:rsid w:val="2F951306"/>
    <w:rsid w:val="2FAC3265"/>
    <w:rsid w:val="2FAD61D8"/>
    <w:rsid w:val="2FB423BD"/>
    <w:rsid w:val="2FB74353"/>
    <w:rsid w:val="2FDD26F1"/>
    <w:rsid w:val="2FEF2D58"/>
    <w:rsid w:val="2FF308AF"/>
    <w:rsid w:val="2FFF67FC"/>
    <w:rsid w:val="30161E85"/>
    <w:rsid w:val="301B50E2"/>
    <w:rsid w:val="30463491"/>
    <w:rsid w:val="30580BC9"/>
    <w:rsid w:val="305F099F"/>
    <w:rsid w:val="307B7940"/>
    <w:rsid w:val="30981D40"/>
    <w:rsid w:val="30C0781A"/>
    <w:rsid w:val="30DC7AF2"/>
    <w:rsid w:val="30F168F1"/>
    <w:rsid w:val="30F61217"/>
    <w:rsid w:val="31017C7C"/>
    <w:rsid w:val="310D1C11"/>
    <w:rsid w:val="311E2ED7"/>
    <w:rsid w:val="311E372C"/>
    <w:rsid w:val="314C66C7"/>
    <w:rsid w:val="314E4470"/>
    <w:rsid w:val="315216B2"/>
    <w:rsid w:val="31542BDD"/>
    <w:rsid w:val="315C449C"/>
    <w:rsid w:val="31B82709"/>
    <w:rsid w:val="31B934DF"/>
    <w:rsid w:val="31C0661C"/>
    <w:rsid w:val="31F171F4"/>
    <w:rsid w:val="323158A4"/>
    <w:rsid w:val="32384A98"/>
    <w:rsid w:val="32400B34"/>
    <w:rsid w:val="326177A0"/>
    <w:rsid w:val="329E6876"/>
    <w:rsid w:val="32D54349"/>
    <w:rsid w:val="330918B7"/>
    <w:rsid w:val="3328000C"/>
    <w:rsid w:val="333D7BC0"/>
    <w:rsid w:val="33543861"/>
    <w:rsid w:val="3364209D"/>
    <w:rsid w:val="33770F5C"/>
    <w:rsid w:val="3387558A"/>
    <w:rsid w:val="33A7374D"/>
    <w:rsid w:val="33C9663E"/>
    <w:rsid w:val="33D934D4"/>
    <w:rsid w:val="33DA4D2F"/>
    <w:rsid w:val="33F33B0A"/>
    <w:rsid w:val="33FE2F6A"/>
    <w:rsid w:val="340F388A"/>
    <w:rsid w:val="34104D7D"/>
    <w:rsid w:val="34126722"/>
    <w:rsid w:val="341A7E23"/>
    <w:rsid w:val="342D25E2"/>
    <w:rsid w:val="345A15FF"/>
    <w:rsid w:val="347C0939"/>
    <w:rsid w:val="348117CF"/>
    <w:rsid w:val="3485321E"/>
    <w:rsid w:val="34872F7F"/>
    <w:rsid w:val="34951A6D"/>
    <w:rsid w:val="349A6981"/>
    <w:rsid w:val="34A67D3D"/>
    <w:rsid w:val="34E762F9"/>
    <w:rsid w:val="34F53F1F"/>
    <w:rsid w:val="34FB1DD4"/>
    <w:rsid w:val="34FB796B"/>
    <w:rsid w:val="35104AD9"/>
    <w:rsid w:val="352260F8"/>
    <w:rsid w:val="35356937"/>
    <w:rsid w:val="354B78F1"/>
    <w:rsid w:val="3550415A"/>
    <w:rsid w:val="35BB5417"/>
    <w:rsid w:val="35DA6E1A"/>
    <w:rsid w:val="35EF639A"/>
    <w:rsid w:val="35F9034E"/>
    <w:rsid w:val="36074A7F"/>
    <w:rsid w:val="361A028D"/>
    <w:rsid w:val="363247EE"/>
    <w:rsid w:val="36505417"/>
    <w:rsid w:val="365C10ED"/>
    <w:rsid w:val="36803944"/>
    <w:rsid w:val="36886C52"/>
    <w:rsid w:val="36923549"/>
    <w:rsid w:val="36A1106D"/>
    <w:rsid w:val="36A91D74"/>
    <w:rsid w:val="36B75FBF"/>
    <w:rsid w:val="36FB4891"/>
    <w:rsid w:val="372C6676"/>
    <w:rsid w:val="37981164"/>
    <w:rsid w:val="379D0234"/>
    <w:rsid w:val="37EF3BB3"/>
    <w:rsid w:val="37F17F06"/>
    <w:rsid w:val="38043056"/>
    <w:rsid w:val="380908F7"/>
    <w:rsid w:val="38536C0C"/>
    <w:rsid w:val="3862667F"/>
    <w:rsid w:val="386E2C01"/>
    <w:rsid w:val="387A2C61"/>
    <w:rsid w:val="38BF307A"/>
    <w:rsid w:val="38E434DA"/>
    <w:rsid w:val="38EB112E"/>
    <w:rsid w:val="38F12CD3"/>
    <w:rsid w:val="38F94775"/>
    <w:rsid w:val="392971ED"/>
    <w:rsid w:val="39434DF9"/>
    <w:rsid w:val="39513FFD"/>
    <w:rsid w:val="39686CE8"/>
    <w:rsid w:val="39C70B12"/>
    <w:rsid w:val="39F97A76"/>
    <w:rsid w:val="3A2C18CF"/>
    <w:rsid w:val="3A397A78"/>
    <w:rsid w:val="3A652739"/>
    <w:rsid w:val="3A6A693F"/>
    <w:rsid w:val="3A712BA9"/>
    <w:rsid w:val="3A7130B6"/>
    <w:rsid w:val="3AA75652"/>
    <w:rsid w:val="3ADD73B5"/>
    <w:rsid w:val="3AF92B9E"/>
    <w:rsid w:val="3B00192F"/>
    <w:rsid w:val="3B3763D1"/>
    <w:rsid w:val="3B3B26B4"/>
    <w:rsid w:val="3B40443F"/>
    <w:rsid w:val="3B6E5BF2"/>
    <w:rsid w:val="3BA6312B"/>
    <w:rsid w:val="3BB92B54"/>
    <w:rsid w:val="3BFD42F6"/>
    <w:rsid w:val="3C034138"/>
    <w:rsid w:val="3C292D3D"/>
    <w:rsid w:val="3C3E768E"/>
    <w:rsid w:val="3C851F62"/>
    <w:rsid w:val="3CB06D90"/>
    <w:rsid w:val="3CD023D1"/>
    <w:rsid w:val="3CDA245A"/>
    <w:rsid w:val="3CEE0A37"/>
    <w:rsid w:val="3CEE558B"/>
    <w:rsid w:val="3D0944AA"/>
    <w:rsid w:val="3D97555A"/>
    <w:rsid w:val="3DD1578B"/>
    <w:rsid w:val="3DFC3C71"/>
    <w:rsid w:val="3E0A65DE"/>
    <w:rsid w:val="3E2556B1"/>
    <w:rsid w:val="3E385A19"/>
    <w:rsid w:val="3E41352F"/>
    <w:rsid w:val="3E4E43F2"/>
    <w:rsid w:val="3E532304"/>
    <w:rsid w:val="3E951A4C"/>
    <w:rsid w:val="3EB2553E"/>
    <w:rsid w:val="3EBC6464"/>
    <w:rsid w:val="3EC02FF8"/>
    <w:rsid w:val="3EDA333D"/>
    <w:rsid w:val="3F2A2421"/>
    <w:rsid w:val="3F2B5BF7"/>
    <w:rsid w:val="3F31140B"/>
    <w:rsid w:val="3F470F7A"/>
    <w:rsid w:val="3F542A99"/>
    <w:rsid w:val="3F660E74"/>
    <w:rsid w:val="3F737AA5"/>
    <w:rsid w:val="3F7516BE"/>
    <w:rsid w:val="3F8A3720"/>
    <w:rsid w:val="3F9966FE"/>
    <w:rsid w:val="3FDC411E"/>
    <w:rsid w:val="40090F78"/>
    <w:rsid w:val="405C0860"/>
    <w:rsid w:val="40674CFB"/>
    <w:rsid w:val="407A6407"/>
    <w:rsid w:val="40B530C4"/>
    <w:rsid w:val="40C651E4"/>
    <w:rsid w:val="411734E5"/>
    <w:rsid w:val="41470B86"/>
    <w:rsid w:val="41585A54"/>
    <w:rsid w:val="415A6F61"/>
    <w:rsid w:val="415B70B8"/>
    <w:rsid w:val="416000F8"/>
    <w:rsid w:val="416F0946"/>
    <w:rsid w:val="41901414"/>
    <w:rsid w:val="41AA395D"/>
    <w:rsid w:val="41B25967"/>
    <w:rsid w:val="41FB3772"/>
    <w:rsid w:val="42093900"/>
    <w:rsid w:val="42097B6B"/>
    <w:rsid w:val="423A3BCC"/>
    <w:rsid w:val="423D7815"/>
    <w:rsid w:val="426D14EE"/>
    <w:rsid w:val="42733A53"/>
    <w:rsid w:val="42B32D89"/>
    <w:rsid w:val="42F81AA9"/>
    <w:rsid w:val="432835D7"/>
    <w:rsid w:val="433473FE"/>
    <w:rsid w:val="433A6FE6"/>
    <w:rsid w:val="4350713C"/>
    <w:rsid w:val="43630C67"/>
    <w:rsid w:val="436653E0"/>
    <w:rsid w:val="43B62448"/>
    <w:rsid w:val="43B8683C"/>
    <w:rsid w:val="43E26050"/>
    <w:rsid w:val="43E30CD8"/>
    <w:rsid w:val="43E75C8A"/>
    <w:rsid w:val="43E76B93"/>
    <w:rsid w:val="44115FF5"/>
    <w:rsid w:val="4413795E"/>
    <w:rsid w:val="44204DCC"/>
    <w:rsid w:val="442339F0"/>
    <w:rsid w:val="442D1F32"/>
    <w:rsid w:val="44410D43"/>
    <w:rsid w:val="44596C1A"/>
    <w:rsid w:val="44671A47"/>
    <w:rsid w:val="446E0E44"/>
    <w:rsid w:val="44932D6E"/>
    <w:rsid w:val="44B30BCE"/>
    <w:rsid w:val="44CD14E0"/>
    <w:rsid w:val="4519564C"/>
    <w:rsid w:val="45425A76"/>
    <w:rsid w:val="45590224"/>
    <w:rsid w:val="456F7326"/>
    <w:rsid w:val="458946E9"/>
    <w:rsid w:val="45A66BCB"/>
    <w:rsid w:val="45B93F6D"/>
    <w:rsid w:val="45C0472D"/>
    <w:rsid w:val="45D7272A"/>
    <w:rsid w:val="460523DC"/>
    <w:rsid w:val="46196BCD"/>
    <w:rsid w:val="462B7021"/>
    <w:rsid w:val="4674757D"/>
    <w:rsid w:val="46AC4F69"/>
    <w:rsid w:val="46B81B60"/>
    <w:rsid w:val="46BD734E"/>
    <w:rsid w:val="46D955A7"/>
    <w:rsid w:val="46E96CB5"/>
    <w:rsid w:val="46EA6478"/>
    <w:rsid w:val="46ED6069"/>
    <w:rsid w:val="47133957"/>
    <w:rsid w:val="47176546"/>
    <w:rsid w:val="471D61EA"/>
    <w:rsid w:val="4737746B"/>
    <w:rsid w:val="473E7AC7"/>
    <w:rsid w:val="4752390A"/>
    <w:rsid w:val="475424A7"/>
    <w:rsid w:val="476E57D7"/>
    <w:rsid w:val="4779329E"/>
    <w:rsid w:val="478B5F54"/>
    <w:rsid w:val="47937A13"/>
    <w:rsid w:val="47A07E0C"/>
    <w:rsid w:val="47A57537"/>
    <w:rsid w:val="47AB1320"/>
    <w:rsid w:val="47B751EA"/>
    <w:rsid w:val="47C517AC"/>
    <w:rsid w:val="47D41104"/>
    <w:rsid w:val="47F628F3"/>
    <w:rsid w:val="47F7656A"/>
    <w:rsid w:val="47FB02C1"/>
    <w:rsid w:val="482F601F"/>
    <w:rsid w:val="4834534C"/>
    <w:rsid w:val="486E56F1"/>
    <w:rsid w:val="4870272E"/>
    <w:rsid w:val="48BE5AF8"/>
    <w:rsid w:val="48C06AA9"/>
    <w:rsid w:val="48D24920"/>
    <w:rsid w:val="48D26995"/>
    <w:rsid w:val="49134C31"/>
    <w:rsid w:val="491D30A9"/>
    <w:rsid w:val="49235483"/>
    <w:rsid w:val="49353E5A"/>
    <w:rsid w:val="493D4D15"/>
    <w:rsid w:val="49537327"/>
    <w:rsid w:val="49584E40"/>
    <w:rsid w:val="495C5790"/>
    <w:rsid w:val="49A60395"/>
    <w:rsid w:val="49A92313"/>
    <w:rsid w:val="49B5257A"/>
    <w:rsid w:val="49DC7715"/>
    <w:rsid w:val="49DE0D94"/>
    <w:rsid w:val="49F20EE5"/>
    <w:rsid w:val="4A023139"/>
    <w:rsid w:val="4A0B2DDB"/>
    <w:rsid w:val="4A2B5779"/>
    <w:rsid w:val="4A3D153A"/>
    <w:rsid w:val="4A426B6E"/>
    <w:rsid w:val="4A57560C"/>
    <w:rsid w:val="4A642B02"/>
    <w:rsid w:val="4A756352"/>
    <w:rsid w:val="4A7617B6"/>
    <w:rsid w:val="4A7B576F"/>
    <w:rsid w:val="4A805A32"/>
    <w:rsid w:val="4AB92DB0"/>
    <w:rsid w:val="4AB96E70"/>
    <w:rsid w:val="4ACE76DF"/>
    <w:rsid w:val="4AE5022F"/>
    <w:rsid w:val="4AFD1644"/>
    <w:rsid w:val="4B0777E1"/>
    <w:rsid w:val="4B18338A"/>
    <w:rsid w:val="4B252375"/>
    <w:rsid w:val="4B413ED2"/>
    <w:rsid w:val="4B4E61AB"/>
    <w:rsid w:val="4B64168B"/>
    <w:rsid w:val="4B651811"/>
    <w:rsid w:val="4B7A5DF1"/>
    <w:rsid w:val="4BAC1116"/>
    <w:rsid w:val="4BDC3358"/>
    <w:rsid w:val="4BDF2D9E"/>
    <w:rsid w:val="4BF91C54"/>
    <w:rsid w:val="4BFE7C3A"/>
    <w:rsid w:val="4C020B82"/>
    <w:rsid w:val="4C15074C"/>
    <w:rsid w:val="4C286B90"/>
    <w:rsid w:val="4C4A0649"/>
    <w:rsid w:val="4C4E1E37"/>
    <w:rsid w:val="4C647BFF"/>
    <w:rsid w:val="4C6604B6"/>
    <w:rsid w:val="4C9A52CE"/>
    <w:rsid w:val="4CA6441C"/>
    <w:rsid w:val="4CCE5C39"/>
    <w:rsid w:val="4CE470D3"/>
    <w:rsid w:val="4CF44DDF"/>
    <w:rsid w:val="4D0420D5"/>
    <w:rsid w:val="4D0C6761"/>
    <w:rsid w:val="4D1904B5"/>
    <w:rsid w:val="4D3B5290"/>
    <w:rsid w:val="4D403BA3"/>
    <w:rsid w:val="4D594581"/>
    <w:rsid w:val="4D726968"/>
    <w:rsid w:val="4D8E53C8"/>
    <w:rsid w:val="4DAD5669"/>
    <w:rsid w:val="4DB7091E"/>
    <w:rsid w:val="4DC32EC4"/>
    <w:rsid w:val="4DD875F1"/>
    <w:rsid w:val="4DDC68D6"/>
    <w:rsid w:val="4DEC4FB0"/>
    <w:rsid w:val="4E075D8A"/>
    <w:rsid w:val="4E0C76C8"/>
    <w:rsid w:val="4E275C63"/>
    <w:rsid w:val="4E2B3402"/>
    <w:rsid w:val="4E336807"/>
    <w:rsid w:val="4E7073C0"/>
    <w:rsid w:val="4E730CEB"/>
    <w:rsid w:val="4E9E62FF"/>
    <w:rsid w:val="4EC1082B"/>
    <w:rsid w:val="4ED321AA"/>
    <w:rsid w:val="4ED84B4D"/>
    <w:rsid w:val="4EFB3E98"/>
    <w:rsid w:val="4F28465E"/>
    <w:rsid w:val="4F2A1121"/>
    <w:rsid w:val="4F50502B"/>
    <w:rsid w:val="4F733A36"/>
    <w:rsid w:val="4F9C2DD0"/>
    <w:rsid w:val="4FC62A8C"/>
    <w:rsid w:val="4FCA4F0E"/>
    <w:rsid w:val="4FD317B8"/>
    <w:rsid w:val="4FDA3255"/>
    <w:rsid w:val="4FE20F0D"/>
    <w:rsid w:val="50026810"/>
    <w:rsid w:val="500C36D4"/>
    <w:rsid w:val="501D28E8"/>
    <w:rsid w:val="50245FEE"/>
    <w:rsid w:val="503D01FE"/>
    <w:rsid w:val="50504C4B"/>
    <w:rsid w:val="50534926"/>
    <w:rsid w:val="50650E94"/>
    <w:rsid w:val="50676FCD"/>
    <w:rsid w:val="50903205"/>
    <w:rsid w:val="50924E39"/>
    <w:rsid w:val="509C6E7C"/>
    <w:rsid w:val="50A26C90"/>
    <w:rsid w:val="50B2384F"/>
    <w:rsid w:val="50BB535F"/>
    <w:rsid w:val="50C213B9"/>
    <w:rsid w:val="50CA5AB3"/>
    <w:rsid w:val="50D03CBB"/>
    <w:rsid w:val="510C08F5"/>
    <w:rsid w:val="51250F8C"/>
    <w:rsid w:val="513543D8"/>
    <w:rsid w:val="514E12D8"/>
    <w:rsid w:val="516024C0"/>
    <w:rsid w:val="5162104E"/>
    <w:rsid w:val="517B41F0"/>
    <w:rsid w:val="517E0E8A"/>
    <w:rsid w:val="51810C90"/>
    <w:rsid w:val="51907875"/>
    <w:rsid w:val="51B55740"/>
    <w:rsid w:val="51C27D36"/>
    <w:rsid w:val="51E035D3"/>
    <w:rsid w:val="51E91DC2"/>
    <w:rsid w:val="51F1030E"/>
    <w:rsid w:val="52224CA8"/>
    <w:rsid w:val="523A167B"/>
    <w:rsid w:val="523E6C92"/>
    <w:rsid w:val="52596758"/>
    <w:rsid w:val="526658E1"/>
    <w:rsid w:val="527D0202"/>
    <w:rsid w:val="52974D1F"/>
    <w:rsid w:val="52A0688A"/>
    <w:rsid w:val="52B3378F"/>
    <w:rsid w:val="52EC678B"/>
    <w:rsid w:val="532F6D06"/>
    <w:rsid w:val="53347876"/>
    <w:rsid w:val="536453A3"/>
    <w:rsid w:val="53672CEB"/>
    <w:rsid w:val="53686361"/>
    <w:rsid w:val="537B613E"/>
    <w:rsid w:val="53830E8B"/>
    <w:rsid w:val="53A039CC"/>
    <w:rsid w:val="53A10D4F"/>
    <w:rsid w:val="53A1505A"/>
    <w:rsid w:val="53C161BA"/>
    <w:rsid w:val="53DD15DE"/>
    <w:rsid w:val="53F90ECF"/>
    <w:rsid w:val="54063E08"/>
    <w:rsid w:val="5414550D"/>
    <w:rsid w:val="54273DF5"/>
    <w:rsid w:val="543437E8"/>
    <w:rsid w:val="54553688"/>
    <w:rsid w:val="546B6E57"/>
    <w:rsid w:val="54B57325"/>
    <w:rsid w:val="54BF23A4"/>
    <w:rsid w:val="54D733AC"/>
    <w:rsid w:val="54F85CF4"/>
    <w:rsid w:val="55466EDA"/>
    <w:rsid w:val="55812FA7"/>
    <w:rsid w:val="5599394B"/>
    <w:rsid w:val="559B174B"/>
    <w:rsid w:val="559E6ED9"/>
    <w:rsid w:val="55C94C6F"/>
    <w:rsid w:val="55CE0CF4"/>
    <w:rsid w:val="560B3A5A"/>
    <w:rsid w:val="562B2AAE"/>
    <w:rsid w:val="564E02EE"/>
    <w:rsid w:val="567A11A2"/>
    <w:rsid w:val="567A4A05"/>
    <w:rsid w:val="567F070F"/>
    <w:rsid w:val="568B1D35"/>
    <w:rsid w:val="56903994"/>
    <w:rsid w:val="56926564"/>
    <w:rsid w:val="56A45007"/>
    <w:rsid w:val="56B22A9C"/>
    <w:rsid w:val="56B64FB1"/>
    <w:rsid w:val="56C57D58"/>
    <w:rsid w:val="56CE2B14"/>
    <w:rsid w:val="56D01E16"/>
    <w:rsid w:val="56D11C9B"/>
    <w:rsid w:val="56D2450D"/>
    <w:rsid w:val="56EE354D"/>
    <w:rsid w:val="57060C25"/>
    <w:rsid w:val="57130D74"/>
    <w:rsid w:val="57151E65"/>
    <w:rsid w:val="571F035E"/>
    <w:rsid w:val="57A001D2"/>
    <w:rsid w:val="57B72A76"/>
    <w:rsid w:val="57BE3A45"/>
    <w:rsid w:val="57C776CC"/>
    <w:rsid w:val="57CA4451"/>
    <w:rsid w:val="57D65305"/>
    <w:rsid w:val="57D82BC7"/>
    <w:rsid w:val="57E1260E"/>
    <w:rsid w:val="57EA58F1"/>
    <w:rsid w:val="57FF7581"/>
    <w:rsid w:val="582236C5"/>
    <w:rsid w:val="5840407A"/>
    <w:rsid w:val="587133B8"/>
    <w:rsid w:val="587C53CA"/>
    <w:rsid w:val="58DA2045"/>
    <w:rsid w:val="58E0607E"/>
    <w:rsid w:val="590B5A11"/>
    <w:rsid w:val="590C48EC"/>
    <w:rsid w:val="5948043D"/>
    <w:rsid w:val="59630E61"/>
    <w:rsid w:val="5987789B"/>
    <w:rsid w:val="598A3C5A"/>
    <w:rsid w:val="59AD3610"/>
    <w:rsid w:val="59CB5285"/>
    <w:rsid w:val="59F40CA9"/>
    <w:rsid w:val="59F74897"/>
    <w:rsid w:val="59FF1ECB"/>
    <w:rsid w:val="5A3C747D"/>
    <w:rsid w:val="5A577FF1"/>
    <w:rsid w:val="5A753B98"/>
    <w:rsid w:val="5A87138F"/>
    <w:rsid w:val="5A90452E"/>
    <w:rsid w:val="5AB660C9"/>
    <w:rsid w:val="5ABE2233"/>
    <w:rsid w:val="5ABE6DC6"/>
    <w:rsid w:val="5AD7469B"/>
    <w:rsid w:val="5AFB2633"/>
    <w:rsid w:val="5B031C37"/>
    <w:rsid w:val="5B03716F"/>
    <w:rsid w:val="5B0A684F"/>
    <w:rsid w:val="5B140F93"/>
    <w:rsid w:val="5B276D18"/>
    <w:rsid w:val="5B3F5CB9"/>
    <w:rsid w:val="5B647768"/>
    <w:rsid w:val="5B8B6693"/>
    <w:rsid w:val="5BD5428C"/>
    <w:rsid w:val="5BDF5D95"/>
    <w:rsid w:val="5C1640D5"/>
    <w:rsid w:val="5C1A374F"/>
    <w:rsid w:val="5C227F61"/>
    <w:rsid w:val="5C306330"/>
    <w:rsid w:val="5C6B649D"/>
    <w:rsid w:val="5C7E7164"/>
    <w:rsid w:val="5C817B9F"/>
    <w:rsid w:val="5CA10EBF"/>
    <w:rsid w:val="5CB357E3"/>
    <w:rsid w:val="5CBE5FF5"/>
    <w:rsid w:val="5CC1311F"/>
    <w:rsid w:val="5CCF3BD5"/>
    <w:rsid w:val="5CD646AF"/>
    <w:rsid w:val="5CDA57B0"/>
    <w:rsid w:val="5CE52C12"/>
    <w:rsid w:val="5CE8449B"/>
    <w:rsid w:val="5CEF43ED"/>
    <w:rsid w:val="5D0D2B76"/>
    <w:rsid w:val="5D424896"/>
    <w:rsid w:val="5D597CC6"/>
    <w:rsid w:val="5D733596"/>
    <w:rsid w:val="5D7A3A81"/>
    <w:rsid w:val="5D9102F2"/>
    <w:rsid w:val="5D915C9E"/>
    <w:rsid w:val="5DAC53F7"/>
    <w:rsid w:val="5DC130C7"/>
    <w:rsid w:val="5DC36077"/>
    <w:rsid w:val="5DCA58B9"/>
    <w:rsid w:val="5DE5472B"/>
    <w:rsid w:val="5DEB7C7F"/>
    <w:rsid w:val="5DF87A0F"/>
    <w:rsid w:val="5E2607A1"/>
    <w:rsid w:val="5E3A3B78"/>
    <w:rsid w:val="5E4772CA"/>
    <w:rsid w:val="5ED6434F"/>
    <w:rsid w:val="5EDC684F"/>
    <w:rsid w:val="5F090348"/>
    <w:rsid w:val="5F1A2B43"/>
    <w:rsid w:val="5FA079E7"/>
    <w:rsid w:val="5FAF48A8"/>
    <w:rsid w:val="5FB837BB"/>
    <w:rsid w:val="5FBE50E6"/>
    <w:rsid w:val="5FC04A58"/>
    <w:rsid w:val="5FD17EE4"/>
    <w:rsid w:val="5FF45978"/>
    <w:rsid w:val="60057496"/>
    <w:rsid w:val="60113728"/>
    <w:rsid w:val="601A4AE4"/>
    <w:rsid w:val="60213A57"/>
    <w:rsid w:val="602A41B7"/>
    <w:rsid w:val="606B1875"/>
    <w:rsid w:val="608D7B73"/>
    <w:rsid w:val="60914E95"/>
    <w:rsid w:val="60927416"/>
    <w:rsid w:val="60AA5D13"/>
    <w:rsid w:val="60B14209"/>
    <w:rsid w:val="60BD1CB6"/>
    <w:rsid w:val="60DB556B"/>
    <w:rsid w:val="60EE010F"/>
    <w:rsid w:val="610212B3"/>
    <w:rsid w:val="614A1829"/>
    <w:rsid w:val="617F52FC"/>
    <w:rsid w:val="61BB07B2"/>
    <w:rsid w:val="61C06F42"/>
    <w:rsid w:val="61C73C02"/>
    <w:rsid w:val="61DF6F36"/>
    <w:rsid w:val="62050FE1"/>
    <w:rsid w:val="62186D81"/>
    <w:rsid w:val="621C7255"/>
    <w:rsid w:val="622E40C6"/>
    <w:rsid w:val="62364782"/>
    <w:rsid w:val="62582D53"/>
    <w:rsid w:val="626B2012"/>
    <w:rsid w:val="628912E8"/>
    <w:rsid w:val="629B5568"/>
    <w:rsid w:val="62A52E30"/>
    <w:rsid w:val="62B2115F"/>
    <w:rsid w:val="62BF7089"/>
    <w:rsid w:val="62C8217F"/>
    <w:rsid w:val="62D2163F"/>
    <w:rsid w:val="62F82F7B"/>
    <w:rsid w:val="630E0A3E"/>
    <w:rsid w:val="63163A3E"/>
    <w:rsid w:val="63195CDA"/>
    <w:rsid w:val="632C4967"/>
    <w:rsid w:val="63323A10"/>
    <w:rsid w:val="63506DB3"/>
    <w:rsid w:val="6388361D"/>
    <w:rsid w:val="639E2E44"/>
    <w:rsid w:val="63A60F66"/>
    <w:rsid w:val="63C11BFC"/>
    <w:rsid w:val="63C926FE"/>
    <w:rsid w:val="63CF755F"/>
    <w:rsid w:val="63D40BE9"/>
    <w:rsid w:val="63E0211F"/>
    <w:rsid w:val="6402101E"/>
    <w:rsid w:val="64025571"/>
    <w:rsid w:val="640A0768"/>
    <w:rsid w:val="641F076D"/>
    <w:rsid w:val="647745CA"/>
    <w:rsid w:val="6485181D"/>
    <w:rsid w:val="648C6942"/>
    <w:rsid w:val="64A244F3"/>
    <w:rsid w:val="64A8183B"/>
    <w:rsid w:val="64D044D9"/>
    <w:rsid w:val="64D66B19"/>
    <w:rsid w:val="6508277B"/>
    <w:rsid w:val="652E6A8B"/>
    <w:rsid w:val="6532469F"/>
    <w:rsid w:val="65373578"/>
    <w:rsid w:val="6555660D"/>
    <w:rsid w:val="65743ACC"/>
    <w:rsid w:val="65B6178F"/>
    <w:rsid w:val="65ED0404"/>
    <w:rsid w:val="65F1398C"/>
    <w:rsid w:val="66081ABD"/>
    <w:rsid w:val="660A0E3D"/>
    <w:rsid w:val="66382EAB"/>
    <w:rsid w:val="664B7760"/>
    <w:rsid w:val="664F56E0"/>
    <w:rsid w:val="66541CF9"/>
    <w:rsid w:val="666928D1"/>
    <w:rsid w:val="666F6AEA"/>
    <w:rsid w:val="667967BE"/>
    <w:rsid w:val="669259B3"/>
    <w:rsid w:val="669E16E6"/>
    <w:rsid w:val="66A511BC"/>
    <w:rsid w:val="66D740B9"/>
    <w:rsid w:val="66E0030E"/>
    <w:rsid w:val="66FE5BC6"/>
    <w:rsid w:val="66FF214D"/>
    <w:rsid w:val="670D087B"/>
    <w:rsid w:val="671309FF"/>
    <w:rsid w:val="672C3830"/>
    <w:rsid w:val="673F2C7A"/>
    <w:rsid w:val="674A3BA5"/>
    <w:rsid w:val="67585B1F"/>
    <w:rsid w:val="676A6106"/>
    <w:rsid w:val="67AA6857"/>
    <w:rsid w:val="67B0603E"/>
    <w:rsid w:val="67B46611"/>
    <w:rsid w:val="67B57B22"/>
    <w:rsid w:val="681F6961"/>
    <w:rsid w:val="68354966"/>
    <w:rsid w:val="6844786C"/>
    <w:rsid w:val="684A576D"/>
    <w:rsid w:val="685C31F3"/>
    <w:rsid w:val="68610A2F"/>
    <w:rsid w:val="68805514"/>
    <w:rsid w:val="690253B7"/>
    <w:rsid w:val="690600B1"/>
    <w:rsid w:val="694E2071"/>
    <w:rsid w:val="695D6BB6"/>
    <w:rsid w:val="6965127B"/>
    <w:rsid w:val="697A3B33"/>
    <w:rsid w:val="697F058F"/>
    <w:rsid w:val="698D3DBE"/>
    <w:rsid w:val="699E2456"/>
    <w:rsid w:val="69C2387F"/>
    <w:rsid w:val="69C375FE"/>
    <w:rsid w:val="69F37886"/>
    <w:rsid w:val="6A1921C6"/>
    <w:rsid w:val="6A305F63"/>
    <w:rsid w:val="6A3A69E3"/>
    <w:rsid w:val="6A745263"/>
    <w:rsid w:val="6A8E035E"/>
    <w:rsid w:val="6A9048B9"/>
    <w:rsid w:val="6ADA01D4"/>
    <w:rsid w:val="6AE17DE5"/>
    <w:rsid w:val="6AE83F12"/>
    <w:rsid w:val="6AEB4402"/>
    <w:rsid w:val="6AF04234"/>
    <w:rsid w:val="6AF76019"/>
    <w:rsid w:val="6B0379E5"/>
    <w:rsid w:val="6B322639"/>
    <w:rsid w:val="6B615DAB"/>
    <w:rsid w:val="6B7C3A31"/>
    <w:rsid w:val="6B88324B"/>
    <w:rsid w:val="6B8F7D74"/>
    <w:rsid w:val="6BB77A32"/>
    <w:rsid w:val="6BC34A2B"/>
    <w:rsid w:val="6BCA388B"/>
    <w:rsid w:val="6BE14D1F"/>
    <w:rsid w:val="6C092392"/>
    <w:rsid w:val="6C0F54CE"/>
    <w:rsid w:val="6C1C4E02"/>
    <w:rsid w:val="6C2341B9"/>
    <w:rsid w:val="6C33015E"/>
    <w:rsid w:val="6C5F3204"/>
    <w:rsid w:val="6C636C38"/>
    <w:rsid w:val="6D1627D7"/>
    <w:rsid w:val="6D1652EE"/>
    <w:rsid w:val="6D183952"/>
    <w:rsid w:val="6D25144D"/>
    <w:rsid w:val="6D501336"/>
    <w:rsid w:val="6D5A33FF"/>
    <w:rsid w:val="6D5E03AF"/>
    <w:rsid w:val="6D7C14F7"/>
    <w:rsid w:val="6D90080D"/>
    <w:rsid w:val="6DB34098"/>
    <w:rsid w:val="6DB545B6"/>
    <w:rsid w:val="6DDD1750"/>
    <w:rsid w:val="6DE13B1C"/>
    <w:rsid w:val="6DF86B54"/>
    <w:rsid w:val="6E045EA9"/>
    <w:rsid w:val="6E2E7A39"/>
    <w:rsid w:val="6E4375A0"/>
    <w:rsid w:val="6E514CED"/>
    <w:rsid w:val="6E540178"/>
    <w:rsid w:val="6E79491A"/>
    <w:rsid w:val="6E7B7B42"/>
    <w:rsid w:val="6EB50351"/>
    <w:rsid w:val="6EB544FE"/>
    <w:rsid w:val="6EB563D5"/>
    <w:rsid w:val="6EDA00D9"/>
    <w:rsid w:val="6EEE555E"/>
    <w:rsid w:val="6EEF45FF"/>
    <w:rsid w:val="6F1E43A6"/>
    <w:rsid w:val="6F225983"/>
    <w:rsid w:val="6F49033A"/>
    <w:rsid w:val="6F5735A7"/>
    <w:rsid w:val="6F832425"/>
    <w:rsid w:val="6F9551DE"/>
    <w:rsid w:val="6F9A42D9"/>
    <w:rsid w:val="6FBE72C9"/>
    <w:rsid w:val="6FBF4D77"/>
    <w:rsid w:val="6FCD3C40"/>
    <w:rsid w:val="6FD03048"/>
    <w:rsid w:val="6FE067CC"/>
    <w:rsid w:val="6FFC5590"/>
    <w:rsid w:val="70301DA3"/>
    <w:rsid w:val="704D6C4A"/>
    <w:rsid w:val="706D1DD0"/>
    <w:rsid w:val="707E7C77"/>
    <w:rsid w:val="70856B87"/>
    <w:rsid w:val="70CD792C"/>
    <w:rsid w:val="70D527EE"/>
    <w:rsid w:val="71046DEF"/>
    <w:rsid w:val="71083E1C"/>
    <w:rsid w:val="712F1341"/>
    <w:rsid w:val="713461E5"/>
    <w:rsid w:val="713D282F"/>
    <w:rsid w:val="7140630F"/>
    <w:rsid w:val="714720A7"/>
    <w:rsid w:val="715B5300"/>
    <w:rsid w:val="715F4BD7"/>
    <w:rsid w:val="71777D9E"/>
    <w:rsid w:val="71804A82"/>
    <w:rsid w:val="718E044C"/>
    <w:rsid w:val="719933EB"/>
    <w:rsid w:val="71A355A9"/>
    <w:rsid w:val="71B03CBB"/>
    <w:rsid w:val="71B834B2"/>
    <w:rsid w:val="71BF14F0"/>
    <w:rsid w:val="71D27F8A"/>
    <w:rsid w:val="71D92AD2"/>
    <w:rsid w:val="71F744C6"/>
    <w:rsid w:val="71F960CF"/>
    <w:rsid w:val="72032105"/>
    <w:rsid w:val="720C20D2"/>
    <w:rsid w:val="72115207"/>
    <w:rsid w:val="722E7176"/>
    <w:rsid w:val="72550DB7"/>
    <w:rsid w:val="72AE6761"/>
    <w:rsid w:val="72D3381E"/>
    <w:rsid w:val="731F5D5E"/>
    <w:rsid w:val="73337CF4"/>
    <w:rsid w:val="733D1640"/>
    <w:rsid w:val="739A16D3"/>
    <w:rsid w:val="739D12FC"/>
    <w:rsid w:val="73A82C95"/>
    <w:rsid w:val="73CF748D"/>
    <w:rsid w:val="74091B6F"/>
    <w:rsid w:val="741B40E7"/>
    <w:rsid w:val="741E793C"/>
    <w:rsid w:val="741F1223"/>
    <w:rsid w:val="743A0A62"/>
    <w:rsid w:val="747308DC"/>
    <w:rsid w:val="74BB34B7"/>
    <w:rsid w:val="74BF3F35"/>
    <w:rsid w:val="74C800E3"/>
    <w:rsid w:val="74F57241"/>
    <w:rsid w:val="752344FF"/>
    <w:rsid w:val="758D75E2"/>
    <w:rsid w:val="75956A44"/>
    <w:rsid w:val="75A9322F"/>
    <w:rsid w:val="75EA7D2B"/>
    <w:rsid w:val="75F47FF3"/>
    <w:rsid w:val="75F536E7"/>
    <w:rsid w:val="76126817"/>
    <w:rsid w:val="76296BF8"/>
    <w:rsid w:val="76797515"/>
    <w:rsid w:val="768C7BB5"/>
    <w:rsid w:val="76B64EC4"/>
    <w:rsid w:val="76BE4962"/>
    <w:rsid w:val="76F53C3E"/>
    <w:rsid w:val="770F533D"/>
    <w:rsid w:val="773F0CB6"/>
    <w:rsid w:val="77762421"/>
    <w:rsid w:val="777800E3"/>
    <w:rsid w:val="779D212E"/>
    <w:rsid w:val="77A544C4"/>
    <w:rsid w:val="77BE36E3"/>
    <w:rsid w:val="77E85551"/>
    <w:rsid w:val="78016983"/>
    <w:rsid w:val="780F09F4"/>
    <w:rsid w:val="7824492A"/>
    <w:rsid w:val="7852434B"/>
    <w:rsid w:val="786A1C7D"/>
    <w:rsid w:val="787C6B6E"/>
    <w:rsid w:val="78872FBC"/>
    <w:rsid w:val="7889182D"/>
    <w:rsid w:val="789C4F47"/>
    <w:rsid w:val="78A90480"/>
    <w:rsid w:val="78F3393F"/>
    <w:rsid w:val="78FE08AD"/>
    <w:rsid w:val="790F48F7"/>
    <w:rsid w:val="791E03B2"/>
    <w:rsid w:val="792B7ACD"/>
    <w:rsid w:val="793D4978"/>
    <w:rsid w:val="793E2F45"/>
    <w:rsid w:val="797572B9"/>
    <w:rsid w:val="79811327"/>
    <w:rsid w:val="79A0197D"/>
    <w:rsid w:val="79A5621E"/>
    <w:rsid w:val="79C81A3F"/>
    <w:rsid w:val="79CA2D15"/>
    <w:rsid w:val="79E94D5A"/>
    <w:rsid w:val="79F81D05"/>
    <w:rsid w:val="79F849CE"/>
    <w:rsid w:val="7A1C7C99"/>
    <w:rsid w:val="7A1E1C74"/>
    <w:rsid w:val="7A292B19"/>
    <w:rsid w:val="7A364017"/>
    <w:rsid w:val="7A550675"/>
    <w:rsid w:val="7A6264DA"/>
    <w:rsid w:val="7A8265E1"/>
    <w:rsid w:val="7A850544"/>
    <w:rsid w:val="7A8723D5"/>
    <w:rsid w:val="7AA358A5"/>
    <w:rsid w:val="7ADA5730"/>
    <w:rsid w:val="7B0826F5"/>
    <w:rsid w:val="7B1F16B6"/>
    <w:rsid w:val="7B686D42"/>
    <w:rsid w:val="7B7F38EE"/>
    <w:rsid w:val="7B841746"/>
    <w:rsid w:val="7B8F079E"/>
    <w:rsid w:val="7BA551A6"/>
    <w:rsid w:val="7BAE78E8"/>
    <w:rsid w:val="7BB22021"/>
    <w:rsid w:val="7BC36368"/>
    <w:rsid w:val="7BD007D6"/>
    <w:rsid w:val="7BD52B50"/>
    <w:rsid w:val="7C015593"/>
    <w:rsid w:val="7C3C406C"/>
    <w:rsid w:val="7C514503"/>
    <w:rsid w:val="7C591462"/>
    <w:rsid w:val="7C8C40AD"/>
    <w:rsid w:val="7C9420E2"/>
    <w:rsid w:val="7CA75BF8"/>
    <w:rsid w:val="7CEF7382"/>
    <w:rsid w:val="7CFD4DAE"/>
    <w:rsid w:val="7D0239FF"/>
    <w:rsid w:val="7D2E48FB"/>
    <w:rsid w:val="7D3E165C"/>
    <w:rsid w:val="7D453CE2"/>
    <w:rsid w:val="7D5E40CD"/>
    <w:rsid w:val="7D63317A"/>
    <w:rsid w:val="7D693BED"/>
    <w:rsid w:val="7D741FA5"/>
    <w:rsid w:val="7D8C5DEA"/>
    <w:rsid w:val="7DCF1040"/>
    <w:rsid w:val="7DDA28A7"/>
    <w:rsid w:val="7DEF46E1"/>
    <w:rsid w:val="7DFF3783"/>
    <w:rsid w:val="7E0F36AE"/>
    <w:rsid w:val="7E322009"/>
    <w:rsid w:val="7E4244BB"/>
    <w:rsid w:val="7E523469"/>
    <w:rsid w:val="7E7F530E"/>
    <w:rsid w:val="7E885360"/>
    <w:rsid w:val="7E924469"/>
    <w:rsid w:val="7EAB46D5"/>
    <w:rsid w:val="7ED01D48"/>
    <w:rsid w:val="7F087C48"/>
    <w:rsid w:val="7F145FE3"/>
    <w:rsid w:val="7F1479B5"/>
    <w:rsid w:val="7F5931D8"/>
    <w:rsid w:val="7F7237EE"/>
    <w:rsid w:val="7F944E58"/>
    <w:rsid w:val="7FA92A45"/>
    <w:rsid w:val="7FE47E50"/>
    <w:rsid w:val="7FE64BF2"/>
  </w:rsids>
  <m:mathPr>
    <m:mathFont m:val="Cambria Math"/>
    <m:brkBin m:val="before"/>
    <m:brkBinSub m:val="--"/>
    <m:smallFrac m:val="1"/>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qFormat="1" w:unhideWhenUsed="0" w:uiPriority="0" w:semiHidden="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qFormat="1" w:unhideWhenUsed="0" w:uiPriority="0" w:semiHidden="0" w:name="toc 1" w:locked="1"/>
    <w:lsdException w:qFormat="1" w:unhideWhenUsed="0" w:uiPriority="0"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ocked="1"/>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qFormat="1" w:uiPriority="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0" w:name="List 4"/>
    <w:lsdException w:uiPriority="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ocked="1"/>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8"/>
    <w:next w:val="1"/>
    <w:link w:val="593"/>
    <w:qFormat/>
    <w:uiPriority w:val="0"/>
    <w:pPr>
      <w:overflowPunct w:val="0"/>
      <w:snapToGrid w:val="0"/>
      <w:spacing w:after="160" w:line="259" w:lineRule="auto"/>
      <w:ind w:left="432" w:hanging="432"/>
      <w:outlineLvl w:val="0"/>
    </w:pPr>
    <w:rPr>
      <w:rFonts w:eastAsia="黑体"/>
      <w:b/>
      <w:bCs/>
      <w:color w:val="000000"/>
      <w:kern w:val="44"/>
      <w:sz w:val="30"/>
      <w:szCs w:val="30"/>
    </w:rPr>
  </w:style>
  <w:style w:type="paragraph" w:styleId="9">
    <w:name w:val="heading 2"/>
    <w:basedOn w:val="1"/>
    <w:next w:val="2"/>
    <w:link w:val="601"/>
    <w:qFormat/>
    <w:locked/>
    <w:uiPriority w:val="0"/>
    <w:pPr>
      <w:keepNext/>
      <w:spacing w:line="200" w:lineRule="atLeast"/>
      <w:outlineLvl w:val="1"/>
    </w:pPr>
    <w:rPr>
      <w:sz w:val="28"/>
      <w:szCs w:val="20"/>
    </w:rPr>
  </w:style>
  <w:style w:type="paragraph" w:styleId="8">
    <w:name w:val="heading 3"/>
    <w:basedOn w:val="1"/>
    <w:next w:val="1"/>
    <w:link w:val="598"/>
    <w:qFormat/>
    <w:locked/>
    <w:uiPriority w:val="0"/>
    <w:pPr>
      <w:keepNext/>
      <w:keepLines/>
      <w:widowControl/>
      <w:spacing w:before="120" w:after="120"/>
      <w:outlineLvl w:val="2"/>
    </w:pPr>
    <w:rPr>
      <w:rFonts w:eastAsia="ˎ̥"/>
      <w:sz w:val="24"/>
      <w:szCs w:val="20"/>
    </w:rPr>
  </w:style>
  <w:style w:type="paragraph" w:styleId="10">
    <w:name w:val="heading 4"/>
    <w:basedOn w:val="1"/>
    <w:next w:val="1"/>
    <w:link w:val="592"/>
    <w:qFormat/>
    <w:locked/>
    <w:uiPriority w:val="0"/>
    <w:pPr>
      <w:keepNext/>
      <w:keepLines/>
      <w:spacing w:before="280" w:after="290" w:line="372" w:lineRule="auto"/>
      <w:outlineLvl w:val="3"/>
    </w:pPr>
    <w:rPr>
      <w:rFonts w:ascii="ˎ̥" w:hAnsi="ˎ̥" w:eastAsia="ˎ̥"/>
      <w:b/>
      <w:bCs/>
      <w:sz w:val="28"/>
      <w:szCs w:val="28"/>
    </w:rPr>
  </w:style>
  <w:style w:type="paragraph" w:styleId="11">
    <w:name w:val="heading 5"/>
    <w:basedOn w:val="1"/>
    <w:next w:val="1"/>
    <w:link w:val="81"/>
    <w:qFormat/>
    <w:locked/>
    <w:uiPriority w:val="0"/>
    <w:pPr>
      <w:keepNext/>
      <w:keepLines/>
      <w:adjustRightInd w:val="0"/>
      <w:spacing w:before="280" w:after="290" w:line="376" w:lineRule="atLeast"/>
      <w:textAlignment w:val="baseline"/>
      <w:outlineLvl w:val="4"/>
    </w:pPr>
    <w:rPr>
      <w:b/>
      <w:sz w:val="28"/>
      <w:szCs w:val="20"/>
    </w:rPr>
  </w:style>
  <w:style w:type="paragraph" w:styleId="12">
    <w:name w:val="heading 6"/>
    <w:basedOn w:val="1"/>
    <w:next w:val="1"/>
    <w:link w:val="82"/>
    <w:qFormat/>
    <w:locked/>
    <w:uiPriority w:val="0"/>
    <w:pPr>
      <w:keepNext/>
      <w:keepLines/>
      <w:adjustRightInd w:val="0"/>
      <w:spacing w:before="240" w:after="64" w:line="317" w:lineRule="auto"/>
      <w:textAlignment w:val="baseline"/>
      <w:outlineLvl w:val="5"/>
    </w:pPr>
    <w:rPr>
      <w:rFonts w:ascii="ˎ̥" w:hAnsi="ˎ̥" w:eastAsia="ˎ̥"/>
      <w:b/>
      <w:bCs/>
      <w:sz w:val="24"/>
    </w:rPr>
  </w:style>
  <w:style w:type="paragraph" w:styleId="13">
    <w:name w:val="heading 7"/>
    <w:basedOn w:val="1"/>
    <w:next w:val="1"/>
    <w:link w:val="83"/>
    <w:qFormat/>
    <w:locked/>
    <w:uiPriority w:val="0"/>
    <w:pPr>
      <w:keepNext/>
      <w:keepLines/>
      <w:tabs>
        <w:tab w:val="left" w:pos="1296"/>
        <w:tab w:val="left" w:pos="2940"/>
        <w:tab w:val="left" w:pos="3420"/>
        <w:tab w:val="left" w:pos="3456"/>
      </w:tabs>
      <w:spacing w:before="240" w:after="64" w:line="320" w:lineRule="atLeast"/>
      <w:ind w:left="3456" w:hanging="420"/>
      <w:outlineLvl w:val="6"/>
    </w:pPr>
    <w:rPr>
      <w:b/>
      <w:sz w:val="24"/>
      <w:szCs w:val="20"/>
    </w:rPr>
  </w:style>
  <w:style w:type="paragraph" w:styleId="14">
    <w:name w:val="heading 8"/>
    <w:basedOn w:val="1"/>
    <w:next w:val="1"/>
    <w:link w:val="84"/>
    <w:qFormat/>
    <w:locked/>
    <w:uiPriority w:val="0"/>
    <w:pPr>
      <w:keepNext/>
      <w:keepLines/>
      <w:tabs>
        <w:tab w:val="left" w:pos="1440"/>
        <w:tab w:val="left" w:pos="3360"/>
        <w:tab w:val="left" w:pos="3840"/>
        <w:tab w:val="left" w:pos="3876"/>
      </w:tabs>
      <w:spacing w:before="240" w:after="64" w:line="320" w:lineRule="atLeast"/>
      <w:ind w:left="3876" w:hanging="420"/>
      <w:outlineLvl w:val="7"/>
    </w:pPr>
    <w:rPr>
      <w:rFonts w:ascii="ˎ̥" w:hAnsi="ˎ̥" w:eastAsia="ˎ̥"/>
      <w:sz w:val="24"/>
      <w:szCs w:val="20"/>
    </w:rPr>
  </w:style>
  <w:style w:type="paragraph" w:styleId="15">
    <w:name w:val="heading 9"/>
    <w:basedOn w:val="1"/>
    <w:next w:val="1"/>
    <w:link w:val="85"/>
    <w:qFormat/>
    <w:locked/>
    <w:uiPriority w:val="0"/>
    <w:pPr>
      <w:keepNext/>
      <w:keepLines/>
      <w:tabs>
        <w:tab w:val="left" w:pos="1584"/>
        <w:tab w:val="left" w:pos="3780"/>
        <w:tab w:val="left" w:pos="4260"/>
        <w:tab w:val="left" w:pos="4296"/>
      </w:tabs>
      <w:spacing w:before="240" w:after="64" w:line="320" w:lineRule="atLeast"/>
      <w:ind w:left="4296" w:hanging="420"/>
      <w:outlineLvl w:val="8"/>
    </w:pPr>
    <w:rPr>
      <w:rFonts w:ascii="ˎ̥" w:hAnsi="ˎ̥" w:eastAsia="ˎ̥"/>
      <w:szCs w:val="20"/>
    </w:rPr>
  </w:style>
  <w:style w:type="character" w:default="1" w:styleId="68">
    <w:name w:val="Default Paragraph Font"/>
    <w:semiHidden/>
    <w:unhideWhenUsed/>
    <w:qFormat/>
    <w:uiPriority w:val="1"/>
  </w:style>
  <w:style w:type="table" w:default="1" w:styleId="6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rPr>
      <w:rFonts w:cs="ˎ̥"/>
      <w:bCs/>
      <w:color w:val="000000"/>
      <w:sz w:val="28"/>
      <w:szCs w:val="28"/>
    </w:rPr>
  </w:style>
  <w:style w:type="paragraph" w:customStyle="1" w:styleId="3">
    <w:name w:val="样式 正文文本 + 首行缩进:  2 字符"/>
    <w:basedOn w:val="4"/>
    <w:next w:val="1"/>
    <w:autoRedefine/>
    <w:qFormat/>
    <w:uiPriority w:val="99"/>
    <w:pPr>
      <w:spacing w:after="0" w:line="500" w:lineRule="atLeast"/>
      <w:ind w:firstLine="200" w:firstLineChars="200"/>
    </w:pPr>
    <w:rPr>
      <w:sz w:val="28"/>
      <w:szCs w:val="20"/>
    </w:rPr>
  </w:style>
  <w:style w:type="paragraph" w:styleId="4">
    <w:name w:val="Body Text"/>
    <w:basedOn w:val="1"/>
    <w:next w:val="5"/>
    <w:link w:val="589"/>
    <w:qFormat/>
    <w:uiPriority w:val="0"/>
    <w:pPr>
      <w:widowControl/>
      <w:snapToGrid w:val="0"/>
      <w:spacing w:before="60" w:after="160" w:line="259" w:lineRule="auto"/>
      <w:ind w:right="113"/>
    </w:pPr>
    <w:rPr>
      <w:kern w:val="0"/>
      <w:sz w:val="18"/>
      <w:szCs w:val="18"/>
    </w:rPr>
  </w:style>
  <w:style w:type="paragraph" w:customStyle="1" w:styleId="5">
    <w:name w:val="默认段落"/>
    <w:basedOn w:val="1"/>
    <w:qFormat/>
    <w:uiPriority w:val="0"/>
    <w:pPr>
      <w:numPr>
        <w:ilvl w:val="0"/>
        <w:numId w:val="1"/>
      </w:numPr>
      <w:spacing w:line="360" w:lineRule="auto"/>
      <w:ind w:firstLine="480" w:firstLineChars="200"/>
    </w:pPr>
    <w:rPr>
      <w:rFonts w:cs="宋体"/>
      <w:kern w:val="0"/>
      <w:sz w:val="24"/>
      <w:szCs w:val="20"/>
    </w:rPr>
  </w:style>
  <w:style w:type="paragraph" w:styleId="6">
    <w:name w:val="macro"/>
    <w:link w:val="588"/>
    <w:semiHidden/>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6">
    <w:name w:val="List 3"/>
    <w:basedOn w:val="1"/>
    <w:qFormat/>
    <w:uiPriority w:val="0"/>
    <w:pPr>
      <w:spacing w:line="480" w:lineRule="exact"/>
      <w:ind w:left="100" w:leftChars="400" w:hanging="200" w:hangingChars="200"/>
    </w:pPr>
    <w:rPr>
      <w:sz w:val="24"/>
      <w:szCs w:val="20"/>
    </w:rPr>
  </w:style>
  <w:style w:type="paragraph" w:styleId="17">
    <w:name w:val="toc 7"/>
    <w:basedOn w:val="1"/>
    <w:next w:val="1"/>
    <w:qFormat/>
    <w:locked/>
    <w:uiPriority w:val="0"/>
    <w:pPr>
      <w:ind w:left="1260"/>
      <w:jc w:val="left"/>
    </w:pPr>
    <w:rPr>
      <w:sz w:val="18"/>
      <w:szCs w:val="20"/>
    </w:rPr>
  </w:style>
  <w:style w:type="paragraph" w:styleId="18">
    <w:name w:val="List Number 2"/>
    <w:basedOn w:val="1"/>
    <w:qFormat/>
    <w:uiPriority w:val="0"/>
    <w:pPr>
      <w:tabs>
        <w:tab w:val="left" w:pos="780"/>
      </w:tabs>
      <w:spacing w:line="480" w:lineRule="exact"/>
      <w:ind w:left="780" w:leftChars="200" w:hanging="360" w:hangingChars="200"/>
    </w:pPr>
    <w:rPr>
      <w:sz w:val="24"/>
      <w:szCs w:val="20"/>
    </w:rPr>
  </w:style>
  <w:style w:type="paragraph" w:styleId="19">
    <w:name w:val="Note Heading"/>
    <w:basedOn w:val="1"/>
    <w:next w:val="1"/>
    <w:link w:val="86"/>
    <w:qFormat/>
    <w:uiPriority w:val="0"/>
    <w:pPr>
      <w:jc w:val="center"/>
    </w:pPr>
    <w:rPr>
      <w:rFonts w:hint="eastAsia" w:ascii="ˎ̥"/>
      <w:sz w:val="24"/>
      <w:szCs w:val="20"/>
    </w:rPr>
  </w:style>
  <w:style w:type="paragraph" w:styleId="20">
    <w:name w:val="List Bullet 4"/>
    <w:basedOn w:val="1"/>
    <w:qFormat/>
    <w:uiPriority w:val="0"/>
    <w:pPr>
      <w:tabs>
        <w:tab w:val="left" w:pos="1620"/>
      </w:tabs>
      <w:spacing w:line="480" w:lineRule="exact"/>
      <w:ind w:left="1620" w:leftChars="600" w:hanging="360" w:hangingChars="200"/>
    </w:pPr>
    <w:rPr>
      <w:sz w:val="24"/>
      <w:szCs w:val="20"/>
    </w:rPr>
  </w:style>
  <w:style w:type="paragraph" w:styleId="21">
    <w:name w:val="List Number"/>
    <w:basedOn w:val="1"/>
    <w:qFormat/>
    <w:uiPriority w:val="0"/>
    <w:pPr>
      <w:tabs>
        <w:tab w:val="left" w:pos="360"/>
      </w:tabs>
      <w:spacing w:line="480" w:lineRule="exact"/>
      <w:ind w:left="360" w:hanging="360" w:hangingChars="200"/>
    </w:pPr>
    <w:rPr>
      <w:sz w:val="24"/>
      <w:szCs w:val="20"/>
    </w:rPr>
  </w:style>
  <w:style w:type="paragraph" w:styleId="22">
    <w:name w:val="caption"/>
    <w:basedOn w:val="1"/>
    <w:next w:val="1"/>
    <w:qFormat/>
    <w:locked/>
    <w:uiPriority w:val="0"/>
    <w:pPr>
      <w:overflowPunct w:val="0"/>
      <w:topLinePunct/>
      <w:autoSpaceDE w:val="0"/>
      <w:autoSpaceDN w:val="0"/>
      <w:adjustRightInd w:val="0"/>
      <w:snapToGrid w:val="0"/>
      <w:spacing w:before="120" w:line="312" w:lineRule="auto"/>
      <w:jc w:val="center"/>
      <w:textAlignment w:val="baseline"/>
    </w:pPr>
    <w:rPr>
      <w:rFonts w:ascii="ˎ̥" w:hAnsi="ˎ̥" w:eastAsia="ˎ̥"/>
      <w:b/>
      <w:spacing w:val="6"/>
      <w:kern w:val="0"/>
      <w:szCs w:val="20"/>
    </w:rPr>
  </w:style>
  <w:style w:type="paragraph" w:styleId="23">
    <w:name w:val="List Bullet"/>
    <w:basedOn w:val="1"/>
    <w:qFormat/>
    <w:uiPriority w:val="0"/>
    <w:pPr>
      <w:tabs>
        <w:tab w:val="left" w:pos="360"/>
      </w:tabs>
      <w:adjustRightInd w:val="0"/>
      <w:spacing w:line="312" w:lineRule="atLeast"/>
      <w:ind w:left="360" w:hanging="360"/>
      <w:textAlignment w:val="baseline"/>
    </w:pPr>
    <w:rPr>
      <w:kern w:val="0"/>
      <w:szCs w:val="20"/>
    </w:rPr>
  </w:style>
  <w:style w:type="paragraph" w:styleId="24">
    <w:name w:val="Document Map"/>
    <w:basedOn w:val="1"/>
    <w:link w:val="87"/>
    <w:qFormat/>
    <w:uiPriority w:val="0"/>
    <w:pPr>
      <w:shd w:val="clear" w:color="auto" w:fill="000080"/>
    </w:pPr>
    <w:rPr>
      <w:szCs w:val="20"/>
    </w:rPr>
  </w:style>
  <w:style w:type="paragraph" w:styleId="25">
    <w:name w:val="toa heading"/>
    <w:basedOn w:val="1"/>
    <w:next w:val="1"/>
    <w:qFormat/>
    <w:uiPriority w:val="0"/>
    <w:pPr>
      <w:spacing w:before="120"/>
    </w:pPr>
    <w:rPr>
      <w:rFonts w:ascii="ˎ̥" w:hAnsi="ˎ̥"/>
      <w:b/>
      <w:szCs w:val="20"/>
    </w:rPr>
  </w:style>
  <w:style w:type="paragraph" w:styleId="26">
    <w:name w:val="annotation text"/>
    <w:basedOn w:val="1"/>
    <w:link w:val="590"/>
    <w:qFormat/>
    <w:uiPriority w:val="0"/>
    <w:pPr>
      <w:jc w:val="left"/>
    </w:pPr>
    <w:rPr>
      <w:kern w:val="0"/>
      <w:sz w:val="20"/>
    </w:rPr>
  </w:style>
  <w:style w:type="paragraph" w:styleId="27">
    <w:name w:val="index 6"/>
    <w:basedOn w:val="1"/>
    <w:next w:val="1"/>
    <w:qFormat/>
    <w:uiPriority w:val="0"/>
    <w:pPr>
      <w:ind w:left="1260" w:hanging="210"/>
      <w:jc w:val="left"/>
    </w:pPr>
    <w:rPr>
      <w:szCs w:val="20"/>
    </w:rPr>
  </w:style>
  <w:style w:type="paragraph" w:styleId="28">
    <w:name w:val="Salutation"/>
    <w:basedOn w:val="1"/>
    <w:next w:val="1"/>
    <w:link w:val="89"/>
    <w:qFormat/>
    <w:uiPriority w:val="0"/>
    <w:rPr>
      <w:sz w:val="28"/>
      <w:szCs w:val="20"/>
    </w:rPr>
  </w:style>
  <w:style w:type="paragraph" w:styleId="29">
    <w:name w:val="Body Text 3"/>
    <w:basedOn w:val="1"/>
    <w:link w:val="90"/>
    <w:qFormat/>
    <w:uiPriority w:val="0"/>
    <w:rPr>
      <w:rFonts w:eastAsia="ˎ̥"/>
      <w:sz w:val="24"/>
      <w:szCs w:val="20"/>
    </w:rPr>
  </w:style>
  <w:style w:type="paragraph" w:styleId="30">
    <w:name w:val="List Bullet 3"/>
    <w:basedOn w:val="1"/>
    <w:qFormat/>
    <w:uiPriority w:val="0"/>
    <w:pPr>
      <w:tabs>
        <w:tab w:val="left" w:pos="1200"/>
      </w:tabs>
      <w:spacing w:line="480" w:lineRule="exact"/>
      <w:ind w:left="1200" w:leftChars="400" w:hanging="360" w:hangingChars="200"/>
    </w:pPr>
    <w:rPr>
      <w:sz w:val="24"/>
      <w:szCs w:val="20"/>
    </w:rPr>
  </w:style>
  <w:style w:type="paragraph" w:styleId="31">
    <w:name w:val="Body Text Indent"/>
    <w:basedOn w:val="1"/>
    <w:link w:val="595"/>
    <w:qFormat/>
    <w:uiPriority w:val="0"/>
    <w:pPr>
      <w:spacing w:after="120"/>
      <w:ind w:left="420" w:leftChars="200"/>
    </w:pPr>
  </w:style>
  <w:style w:type="paragraph" w:styleId="32">
    <w:name w:val="List Number 3"/>
    <w:basedOn w:val="1"/>
    <w:qFormat/>
    <w:uiPriority w:val="0"/>
    <w:pPr>
      <w:tabs>
        <w:tab w:val="left" w:pos="1200"/>
      </w:tabs>
      <w:spacing w:line="480" w:lineRule="exact"/>
      <w:ind w:left="1200" w:leftChars="400" w:hanging="360" w:hangingChars="200"/>
    </w:pPr>
    <w:rPr>
      <w:sz w:val="24"/>
      <w:szCs w:val="20"/>
    </w:rPr>
  </w:style>
  <w:style w:type="paragraph" w:styleId="33">
    <w:name w:val="List 2"/>
    <w:basedOn w:val="1"/>
    <w:qFormat/>
    <w:uiPriority w:val="0"/>
    <w:pPr>
      <w:spacing w:line="320" w:lineRule="exact"/>
      <w:jc w:val="center"/>
    </w:pPr>
    <w:rPr>
      <w:b/>
      <w:szCs w:val="20"/>
    </w:rPr>
  </w:style>
  <w:style w:type="paragraph" w:styleId="34">
    <w:name w:val="Block Text"/>
    <w:basedOn w:val="1"/>
    <w:next w:val="1"/>
    <w:qFormat/>
    <w:uiPriority w:val="0"/>
    <w:pPr>
      <w:ind w:left="137" w:right="116" w:firstLine="317"/>
    </w:pPr>
    <w:rPr>
      <w:sz w:val="28"/>
      <w:szCs w:val="20"/>
    </w:rPr>
  </w:style>
  <w:style w:type="paragraph" w:styleId="35">
    <w:name w:val="List Bullet 2"/>
    <w:basedOn w:val="1"/>
    <w:qFormat/>
    <w:uiPriority w:val="0"/>
    <w:pPr>
      <w:tabs>
        <w:tab w:val="left" w:pos="780"/>
        <w:tab w:val="left" w:pos="1200"/>
        <w:tab w:val="left" w:pos="1260"/>
      </w:tabs>
      <w:spacing w:line="480" w:lineRule="exact"/>
      <w:ind w:firstLine="200" w:firstLineChars="200"/>
    </w:pPr>
    <w:rPr>
      <w:sz w:val="24"/>
      <w:szCs w:val="20"/>
    </w:rPr>
  </w:style>
  <w:style w:type="paragraph" w:styleId="36">
    <w:name w:val="toc 5"/>
    <w:basedOn w:val="1"/>
    <w:next w:val="1"/>
    <w:qFormat/>
    <w:locked/>
    <w:uiPriority w:val="0"/>
    <w:pPr>
      <w:ind w:left="840"/>
      <w:jc w:val="left"/>
    </w:pPr>
    <w:rPr>
      <w:sz w:val="18"/>
      <w:szCs w:val="20"/>
    </w:rPr>
  </w:style>
  <w:style w:type="paragraph" w:styleId="37">
    <w:name w:val="toc 3"/>
    <w:basedOn w:val="1"/>
    <w:next w:val="1"/>
    <w:qFormat/>
    <w:locked/>
    <w:uiPriority w:val="0"/>
    <w:pPr>
      <w:ind w:left="420"/>
      <w:jc w:val="left"/>
    </w:pPr>
    <w:rPr>
      <w:i/>
      <w:sz w:val="20"/>
      <w:szCs w:val="20"/>
    </w:rPr>
  </w:style>
  <w:style w:type="paragraph" w:styleId="38">
    <w:name w:val="Plain Text"/>
    <w:basedOn w:val="1"/>
    <w:next w:val="1"/>
    <w:link w:val="93"/>
    <w:qFormat/>
    <w:uiPriority w:val="0"/>
    <w:rPr>
      <w:rFonts w:ascii="ˎ̥" w:hAnsi="ˎ̥" w:eastAsia="ˎ̥"/>
      <w:szCs w:val="20"/>
    </w:rPr>
  </w:style>
  <w:style w:type="paragraph" w:styleId="39">
    <w:name w:val="List Bullet 5"/>
    <w:basedOn w:val="1"/>
    <w:qFormat/>
    <w:uiPriority w:val="0"/>
    <w:pPr>
      <w:tabs>
        <w:tab w:val="left" w:pos="2040"/>
      </w:tabs>
      <w:spacing w:line="480" w:lineRule="exact"/>
      <w:ind w:left="2040" w:leftChars="800" w:hanging="360" w:hangingChars="200"/>
    </w:pPr>
    <w:rPr>
      <w:sz w:val="24"/>
      <w:szCs w:val="20"/>
    </w:rPr>
  </w:style>
  <w:style w:type="paragraph" w:styleId="40">
    <w:name w:val="List Number 4"/>
    <w:basedOn w:val="1"/>
    <w:qFormat/>
    <w:uiPriority w:val="0"/>
    <w:pPr>
      <w:tabs>
        <w:tab w:val="left" w:pos="1620"/>
      </w:tabs>
      <w:spacing w:line="480" w:lineRule="exact"/>
      <w:ind w:left="1620" w:hanging="360" w:firstLineChars="200"/>
    </w:pPr>
    <w:rPr>
      <w:sz w:val="24"/>
      <w:szCs w:val="20"/>
    </w:rPr>
  </w:style>
  <w:style w:type="paragraph" w:styleId="41">
    <w:name w:val="toc 8"/>
    <w:basedOn w:val="1"/>
    <w:next w:val="1"/>
    <w:qFormat/>
    <w:locked/>
    <w:uiPriority w:val="0"/>
    <w:pPr>
      <w:ind w:left="1470"/>
      <w:jc w:val="left"/>
    </w:pPr>
    <w:rPr>
      <w:sz w:val="18"/>
      <w:szCs w:val="20"/>
    </w:rPr>
  </w:style>
  <w:style w:type="paragraph" w:styleId="42">
    <w:name w:val="Date"/>
    <w:basedOn w:val="1"/>
    <w:next w:val="1"/>
    <w:link w:val="604"/>
    <w:qFormat/>
    <w:uiPriority w:val="0"/>
    <w:pPr>
      <w:ind w:left="100" w:leftChars="2500"/>
    </w:pPr>
    <w:rPr>
      <w:kern w:val="0"/>
      <w:sz w:val="20"/>
    </w:rPr>
  </w:style>
  <w:style w:type="paragraph" w:styleId="43">
    <w:name w:val="Body Text Indent 2"/>
    <w:basedOn w:val="1"/>
    <w:link w:val="606"/>
    <w:qFormat/>
    <w:uiPriority w:val="0"/>
    <w:pPr>
      <w:spacing w:line="560" w:lineRule="exact"/>
      <w:ind w:firstLine="480" w:firstLineChars="200"/>
    </w:pPr>
    <w:rPr>
      <w:rFonts w:hAnsi="ˎ̥"/>
      <w:sz w:val="24"/>
      <w:szCs w:val="20"/>
    </w:rPr>
  </w:style>
  <w:style w:type="paragraph" w:styleId="44">
    <w:name w:val="endnote text"/>
    <w:basedOn w:val="1"/>
    <w:link w:val="96"/>
    <w:qFormat/>
    <w:uiPriority w:val="0"/>
    <w:pPr>
      <w:snapToGrid w:val="0"/>
      <w:jc w:val="left"/>
    </w:pPr>
    <w:rPr>
      <w:rFonts w:eastAsia="ˎ̥"/>
      <w:szCs w:val="20"/>
    </w:rPr>
  </w:style>
  <w:style w:type="paragraph" w:styleId="45">
    <w:name w:val="Balloon Text"/>
    <w:basedOn w:val="1"/>
    <w:link w:val="602"/>
    <w:qFormat/>
    <w:uiPriority w:val="0"/>
    <w:rPr>
      <w:sz w:val="18"/>
      <w:szCs w:val="18"/>
    </w:rPr>
  </w:style>
  <w:style w:type="paragraph" w:styleId="46">
    <w:name w:val="footer"/>
    <w:basedOn w:val="1"/>
    <w:link w:val="597"/>
    <w:qFormat/>
    <w:uiPriority w:val="99"/>
    <w:pPr>
      <w:tabs>
        <w:tab w:val="center" w:pos="4153"/>
        <w:tab w:val="right" w:pos="8306"/>
      </w:tabs>
      <w:snapToGrid w:val="0"/>
      <w:jc w:val="left"/>
    </w:pPr>
    <w:rPr>
      <w:sz w:val="18"/>
      <w:szCs w:val="18"/>
    </w:rPr>
  </w:style>
  <w:style w:type="paragraph" w:styleId="47">
    <w:name w:val="header"/>
    <w:basedOn w:val="1"/>
    <w:link w:val="591"/>
    <w:qFormat/>
    <w:uiPriority w:val="0"/>
    <w:pPr>
      <w:pBdr>
        <w:bottom w:val="single" w:color="auto" w:sz="6" w:space="1"/>
      </w:pBdr>
      <w:tabs>
        <w:tab w:val="center" w:pos="4153"/>
        <w:tab w:val="right" w:pos="8306"/>
      </w:tabs>
      <w:snapToGrid w:val="0"/>
      <w:jc w:val="center"/>
    </w:pPr>
    <w:rPr>
      <w:sz w:val="18"/>
      <w:szCs w:val="18"/>
    </w:rPr>
  </w:style>
  <w:style w:type="paragraph" w:styleId="48">
    <w:name w:val="toc 1"/>
    <w:basedOn w:val="1"/>
    <w:next w:val="1"/>
    <w:qFormat/>
    <w:locked/>
    <w:uiPriority w:val="0"/>
  </w:style>
  <w:style w:type="paragraph" w:styleId="49">
    <w:name w:val="toc 4"/>
    <w:basedOn w:val="1"/>
    <w:next w:val="1"/>
    <w:qFormat/>
    <w:locked/>
    <w:uiPriority w:val="0"/>
    <w:pPr>
      <w:ind w:left="630"/>
      <w:jc w:val="left"/>
    </w:pPr>
    <w:rPr>
      <w:sz w:val="18"/>
      <w:szCs w:val="20"/>
    </w:rPr>
  </w:style>
  <w:style w:type="paragraph" w:styleId="50">
    <w:name w:val="index heading"/>
    <w:basedOn w:val="1"/>
    <w:next w:val="51"/>
    <w:qFormat/>
    <w:uiPriority w:val="0"/>
    <w:rPr>
      <w:szCs w:val="20"/>
    </w:rPr>
  </w:style>
  <w:style w:type="paragraph" w:styleId="51">
    <w:name w:val="index 1"/>
    <w:basedOn w:val="1"/>
    <w:next w:val="1"/>
    <w:qFormat/>
    <w:uiPriority w:val="0"/>
    <w:rPr>
      <w:szCs w:val="20"/>
    </w:rPr>
  </w:style>
  <w:style w:type="paragraph" w:styleId="52">
    <w:name w:val="List Number 5"/>
    <w:basedOn w:val="1"/>
    <w:qFormat/>
    <w:uiPriority w:val="0"/>
    <w:pPr>
      <w:tabs>
        <w:tab w:val="left" w:pos="2040"/>
      </w:tabs>
      <w:spacing w:line="480" w:lineRule="exact"/>
      <w:ind w:left="2040" w:leftChars="800" w:hanging="360" w:hangingChars="200"/>
    </w:pPr>
    <w:rPr>
      <w:sz w:val="24"/>
      <w:szCs w:val="20"/>
    </w:rPr>
  </w:style>
  <w:style w:type="paragraph" w:styleId="53">
    <w:name w:val="List"/>
    <w:basedOn w:val="1"/>
    <w:qFormat/>
    <w:uiPriority w:val="0"/>
    <w:pPr>
      <w:ind w:left="200" w:hanging="200" w:hangingChars="200"/>
    </w:pPr>
    <w:rPr>
      <w:szCs w:val="20"/>
    </w:rPr>
  </w:style>
  <w:style w:type="paragraph" w:styleId="54">
    <w:name w:val="toc 6"/>
    <w:basedOn w:val="1"/>
    <w:next w:val="1"/>
    <w:qFormat/>
    <w:locked/>
    <w:uiPriority w:val="0"/>
    <w:pPr>
      <w:ind w:left="1050"/>
      <w:jc w:val="left"/>
    </w:pPr>
    <w:rPr>
      <w:sz w:val="18"/>
      <w:szCs w:val="20"/>
    </w:rPr>
  </w:style>
  <w:style w:type="paragraph" w:styleId="55">
    <w:name w:val="Body Text Indent 3"/>
    <w:basedOn w:val="1"/>
    <w:link w:val="99"/>
    <w:qFormat/>
    <w:uiPriority w:val="0"/>
    <w:pPr>
      <w:spacing w:after="120"/>
      <w:ind w:left="420"/>
    </w:pPr>
    <w:rPr>
      <w:rFonts w:eastAsia="ˎ̥"/>
      <w:sz w:val="16"/>
      <w:szCs w:val="20"/>
    </w:rPr>
  </w:style>
  <w:style w:type="paragraph" w:styleId="56">
    <w:name w:val="toc 2"/>
    <w:basedOn w:val="1"/>
    <w:next w:val="1"/>
    <w:qFormat/>
    <w:locked/>
    <w:uiPriority w:val="0"/>
    <w:pPr>
      <w:spacing w:line="440" w:lineRule="exact"/>
      <w:ind w:firstLine="200" w:firstLineChars="200"/>
    </w:pPr>
    <w:rPr>
      <w:szCs w:val="20"/>
    </w:rPr>
  </w:style>
  <w:style w:type="paragraph" w:styleId="57">
    <w:name w:val="toc 9"/>
    <w:basedOn w:val="1"/>
    <w:next w:val="1"/>
    <w:qFormat/>
    <w:locked/>
    <w:uiPriority w:val="0"/>
    <w:pPr>
      <w:ind w:left="1680"/>
      <w:jc w:val="left"/>
    </w:pPr>
    <w:rPr>
      <w:sz w:val="18"/>
      <w:szCs w:val="20"/>
    </w:rPr>
  </w:style>
  <w:style w:type="paragraph" w:styleId="58">
    <w:name w:val="Body Text 2"/>
    <w:basedOn w:val="1"/>
    <w:link w:val="607"/>
    <w:qFormat/>
    <w:uiPriority w:val="0"/>
    <w:pPr>
      <w:spacing w:after="120" w:line="480" w:lineRule="auto"/>
    </w:pPr>
    <w:rPr>
      <w:rFonts w:eastAsia="ˎ̥"/>
      <w:szCs w:val="20"/>
    </w:rPr>
  </w:style>
  <w:style w:type="paragraph" w:styleId="59">
    <w:name w:val="List Continue 2"/>
    <w:basedOn w:val="1"/>
    <w:qFormat/>
    <w:uiPriority w:val="0"/>
    <w:pPr>
      <w:spacing w:after="120" w:line="480" w:lineRule="exact"/>
      <w:ind w:left="840" w:leftChars="400" w:firstLine="200" w:firstLineChars="200"/>
    </w:pPr>
    <w:rPr>
      <w:sz w:val="24"/>
      <w:szCs w:val="20"/>
    </w:rPr>
  </w:style>
  <w:style w:type="paragraph" w:styleId="60">
    <w:name w:val="HTML Preformatted"/>
    <w:basedOn w:val="1"/>
    <w:link w:val="1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ˎ̥" w:hAnsi="ˎ̥" w:eastAsia="ˎ̥"/>
      <w:kern w:val="0"/>
      <w:sz w:val="20"/>
      <w:szCs w:val="20"/>
    </w:rPr>
  </w:style>
  <w:style w:type="paragraph" w:styleId="61">
    <w:name w:val="Normal (Web)"/>
    <w:basedOn w:val="1"/>
    <w:link w:val="599"/>
    <w:qFormat/>
    <w:uiPriority w:val="0"/>
    <w:pPr>
      <w:widowControl/>
      <w:spacing w:before="100" w:beforeAutospacing="1" w:after="100" w:afterAutospacing="1"/>
      <w:jc w:val="left"/>
    </w:pPr>
    <w:rPr>
      <w:rFonts w:ascii="宋体" w:hAnsi="宋体"/>
      <w:kern w:val="0"/>
      <w:sz w:val="24"/>
    </w:rPr>
  </w:style>
  <w:style w:type="paragraph" w:styleId="62">
    <w:name w:val="Title"/>
    <w:basedOn w:val="1"/>
    <w:link w:val="103"/>
    <w:qFormat/>
    <w:locked/>
    <w:uiPriority w:val="0"/>
    <w:pPr>
      <w:spacing w:before="240" w:after="60"/>
      <w:jc w:val="center"/>
      <w:outlineLvl w:val="0"/>
    </w:pPr>
    <w:rPr>
      <w:rFonts w:ascii="ˎ̥" w:hAnsi="ˎ̥" w:cs="ˎ̥"/>
      <w:b/>
      <w:bCs/>
      <w:sz w:val="32"/>
      <w:szCs w:val="32"/>
    </w:rPr>
  </w:style>
  <w:style w:type="paragraph" w:styleId="63">
    <w:name w:val="annotation subject"/>
    <w:basedOn w:val="26"/>
    <w:next w:val="26"/>
    <w:link w:val="608"/>
    <w:qFormat/>
    <w:uiPriority w:val="0"/>
    <w:rPr>
      <w:b/>
      <w:bCs/>
    </w:rPr>
  </w:style>
  <w:style w:type="paragraph" w:styleId="64">
    <w:name w:val="Body Text First Indent"/>
    <w:basedOn w:val="4"/>
    <w:next w:val="1"/>
    <w:link w:val="603"/>
    <w:qFormat/>
    <w:uiPriority w:val="0"/>
    <w:pPr>
      <w:snapToGrid/>
      <w:spacing w:before="0" w:after="0" w:line="240" w:lineRule="auto"/>
      <w:ind w:right="0" w:firstLine="567"/>
    </w:pPr>
    <w:rPr>
      <w:kern w:val="28"/>
      <w:sz w:val="28"/>
      <w:szCs w:val="20"/>
    </w:rPr>
  </w:style>
  <w:style w:type="paragraph" w:styleId="65">
    <w:name w:val="Body Text First Indent 2"/>
    <w:basedOn w:val="31"/>
    <w:next w:val="64"/>
    <w:link w:val="596"/>
    <w:qFormat/>
    <w:uiPriority w:val="0"/>
    <w:pPr>
      <w:spacing w:line="360" w:lineRule="auto"/>
      <w:ind w:firstLine="420" w:firstLineChars="200"/>
    </w:pPr>
    <w:rPr>
      <w:sz w:val="24"/>
      <w:szCs w:val="20"/>
    </w:rPr>
  </w:style>
  <w:style w:type="table" w:styleId="67">
    <w:name w:val="Table Grid"/>
    <w:basedOn w:val="6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9">
    <w:name w:val="Strong"/>
    <w:qFormat/>
    <w:locked/>
    <w:uiPriority w:val="0"/>
    <w:rPr>
      <w:b/>
      <w:bCs/>
    </w:rPr>
  </w:style>
  <w:style w:type="character" w:styleId="70">
    <w:name w:val="endnote reference"/>
    <w:qFormat/>
    <w:uiPriority w:val="0"/>
    <w:rPr>
      <w:vertAlign w:val="superscript"/>
    </w:rPr>
  </w:style>
  <w:style w:type="character" w:styleId="71">
    <w:name w:val="page number"/>
    <w:qFormat/>
    <w:uiPriority w:val="0"/>
  </w:style>
  <w:style w:type="character" w:styleId="72">
    <w:name w:val="FollowedHyperlink"/>
    <w:qFormat/>
    <w:uiPriority w:val="0"/>
    <w:rPr>
      <w:color w:val="800080"/>
      <w:u w:val="none"/>
    </w:rPr>
  </w:style>
  <w:style w:type="character" w:styleId="73">
    <w:name w:val="Emphasis"/>
    <w:qFormat/>
    <w:locked/>
    <w:uiPriority w:val="0"/>
  </w:style>
  <w:style w:type="character" w:styleId="74">
    <w:name w:val="Hyperlink"/>
    <w:qFormat/>
    <w:uiPriority w:val="0"/>
    <w:rPr>
      <w:color w:val="0000FF"/>
      <w:u w:val="none"/>
    </w:rPr>
  </w:style>
  <w:style w:type="character" w:styleId="75">
    <w:name w:val="annotation reference"/>
    <w:basedOn w:val="68"/>
    <w:qFormat/>
    <w:uiPriority w:val="0"/>
    <w:rPr>
      <w:sz w:val="21"/>
    </w:rPr>
  </w:style>
  <w:style w:type="character" w:customStyle="1" w:styleId="76">
    <w:name w:val="页脚 字符"/>
    <w:qFormat/>
    <w:locked/>
    <w:uiPriority w:val="99"/>
    <w:rPr>
      <w:rFonts w:cs="Times New Roman"/>
      <w:sz w:val="18"/>
      <w:szCs w:val="18"/>
    </w:rPr>
  </w:style>
  <w:style w:type="character" w:customStyle="1" w:styleId="77">
    <w:name w:val="标题 1 字符"/>
    <w:qFormat/>
    <w:uiPriority w:val="0"/>
    <w:rPr>
      <w:rFonts w:eastAsia="黑体"/>
      <w:b/>
      <w:bCs/>
      <w:color w:val="000000"/>
      <w:kern w:val="44"/>
      <w:sz w:val="30"/>
      <w:szCs w:val="30"/>
    </w:rPr>
  </w:style>
  <w:style w:type="character" w:customStyle="1" w:styleId="78">
    <w:name w:val="标题 2 字符"/>
    <w:qFormat/>
    <w:uiPriority w:val="0"/>
    <w:rPr>
      <w:kern w:val="2"/>
      <w:sz w:val="28"/>
    </w:rPr>
  </w:style>
  <w:style w:type="character" w:customStyle="1" w:styleId="79">
    <w:name w:val="标题 3 字符"/>
    <w:qFormat/>
    <w:uiPriority w:val="0"/>
    <w:rPr>
      <w:rFonts w:eastAsia="ˎ̥"/>
      <w:kern w:val="2"/>
      <w:sz w:val="24"/>
    </w:rPr>
  </w:style>
  <w:style w:type="character" w:customStyle="1" w:styleId="80">
    <w:name w:val="标题 4 字符"/>
    <w:qFormat/>
    <w:uiPriority w:val="0"/>
    <w:rPr>
      <w:rFonts w:ascii="ˎ̥" w:hAnsi="ˎ̥" w:eastAsia="ˎ̥"/>
      <w:b/>
      <w:bCs/>
      <w:kern w:val="2"/>
      <w:sz w:val="28"/>
      <w:szCs w:val="28"/>
    </w:rPr>
  </w:style>
  <w:style w:type="character" w:customStyle="1" w:styleId="81">
    <w:name w:val="标题 5 Char1"/>
    <w:link w:val="11"/>
    <w:qFormat/>
    <w:uiPriority w:val="0"/>
    <w:rPr>
      <w:b/>
      <w:kern w:val="2"/>
      <w:sz w:val="28"/>
    </w:rPr>
  </w:style>
  <w:style w:type="character" w:customStyle="1" w:styleId="82">
    <w:name w:val="标题 6 Char"/>
    <w:link w:val="12"/>
    <w:qFormat/>
    <w:uiPriority w:val="0"/>
    <w:rPr>
      <w:rFonts w:ascii="ˎ̥" w:hAnsi="ˎ̥" w:eastAsia="ˎ̥"/>
      <w:b/>
      <w:bCs/>
      <w:kern w:val="2"/>
      <w:sz w:val="24"/>
      <w:szCs w:val="24"/>
    </w:rPr>
  </w:style>
  <w:style w:type="character" w:customStyle="1" w:styleId="83">
    <w:name w:val="标题 7 Char"/>
    <w:link w:val="13"/>
    <w:qFormat/>
    <w:uiPriority w:val="0"/>
    <w:rPr>
      <w:b/>
      <w:kern w:val="2"/>
      <w:sz w:val="24"/>
    </w:rPr>
  </w:style>
  <w:style w:type="character" w:customStyle="1" w:styleId="84">
    <w:name w:val="标题 8 Char"/>
    <w:link w:val="14"/>
    <w:qFormat/>
    <w:uiPriority w:val="0"/>
    <w:rPr>
      <w:rFonts w:ascii="ˎ̥" w:hAnsi="ˎ̥" w:eastAsia="ˎ̥"/>
      <w:kern w:val="2"/>
      <w:sz w:val="24"/>
    </w:rPr>
  </w:style>
  <w:style w:type="character" w:customStyle="1" w:styleId="85">
    <w:name w:val="标题 9 Char"/>
    <w:link w:val="15"/>
    <w:qFormat/>
    <w:uiPriority w:val="0"/>
    <w:rPr>
      <w:rFonts w:ascii="ˎ̥" w:hAnsi="ˎ̥" w:eastAsia="ˎ̥"/>
      <w:kern w:val="2"/>
      <w:sz w:val="21"/>
    </w:rPr>
  </w:style>
  <w:style w:type="character" w:customStyle="1" w:styleId="86">
    <w:name w:val="注释标题 Char"/>
    <w:link w:val="19"/>
    <w:qFormat/>
    <w:uiPriority w:val="0"/>
    <w:rPr>
      <w:rFonts w:ascii="ˎ̥"/>
      <w:kern w:val="2"/>
      <w:sz w:val="24"/>
    </w:rPr>
  </w:style>
  <w:style w:type="character" w:customStyle="1" w:styleId="87">
    <w:name w:val="文档结构图 Char"/>
    <w:link w:val="24"/>
    <w:qFormat/>
    <w:uiPriority w:val="0"/>
    <w:rPr>
      <w:kern w:val="2"/>
      <w:sz w:val="21"/>
      <w:shd w:val="clear" w:color="auto" w:fill="000080"/>
    </w:rPr>
  </w:style>
  <w:style w:type="character" w:customStyle="1" w:styleId="88">
    <w:name w:val="批注文字 字符"/>
    <w:qFormat/>
    <w:locked/>
    <w:uiPriority w:val="0"/>
    <w:rPr>
      <w:rFonts w:ascii="Times New Roman" w:hAnsi="Times New Roman" w:eastAsia="宋体"/>
      <w:sz w:val="24"/>
    </w:rPr>
  </w:style>
  <w:style w:type="character" w:customStyle="1" w:styleId="89">
    <w:name w:val="称呼 Char"/>
    <w:link w:val="28"/>
    <w:qFormat/>
    <w:uiPriority w:val="0"/>
    <w:rPr>
      <w:kern w:val="2"/>
      <w:sz w:val="28"/>
    </w:rPr>
  </w:style>
  <w:style w:type="character" w:customStyle="1" w:styleId="90">
    <w:name w:val="正文文本 3 Char"/>
    <w:link w:val="29"/>
    <w:qFormat/>
    <w:uiPriority w:val="0"/>
    <w:rPr>
      <w:rFonts w:eastAsia="ˎ̥"/>
      <w:kern w:val="2"/>
      <w:sz w:val="24"/>
    </w:rPr>
  </w:style>
  <w:style w:type="character" w:customStyle="1" w:styleId="91">
    <w:name w:val="正文文本 字符"/>
    <w:qFormat/>
    <w:locked/>
    <w:uiPriority w:val="0"/>
    <w:rPr>
      <w:sz w:val="18"/>
    </w:rPr>
  </w:style>
  <w:style w:type="character" w:customStyle="1" w:styleId="92">
    <w:name w:val="正文文本缩进 字符"/>
    <w:semiHidden/>
    <w:qFormat/>
    <w:locked/>
    <w:uiPriority w:val="0"/>
    <w:rPr>
      <w:rFonts w:ascii="Times New Roman" w:hAnsi="Times New Roman" w:eastAsia="宋体" w:cs="Times New Roman"/>
      <w:sz w:val="24"/>
      <w:szCs w:val="24"/>
    </w:rPr>
  </w:style>
  <w:style w:type="character" w:customStyle="1" w:styleId="93">
    <w:name w:val="纯文本 Char1"/>
    <w:link w:val="38"/>
    <w:qFormat/>
    <w:uiPriority w:val="0"/>
    <w:rPr>
      <w:rFonts w:ascii="ˎ̥" w:hAnsi="ˎ̥" w:eastAsia="ˎ̥"/>
      <w:kern w:val="2"/>
      <w:sz w:val="21"/>
    </w:rPr>
  </w:style>
  <w:style w:type="character" w:customStyle="1" w:styleId="94">
    <w:name w:val="日期 字符1"/>
    <w:qFormat/>
    <w:locked/>
    <w:uiPriority w:val="0"/>
    <w:rPr>
      <w:rFonts w:ascii="Times New Roman" w:hAnsi="Times New Roman" w:eastAsia="宋体"/>
      <w:sz w:val="24"/>
    </w:rPr>
  </w:style>
  <w:style w:type="character" w:customStyle="1" w:styleId="95">
    <w:name w:val="正文文本缩进 2 字符"/>
    <w:qFormat/>
    <w:uiPriority w:val="0"/>
    <w:rPr>
      <w:rFonts w:hAnsi="ˎ̥"/>
      <w:kern w:val="2"/>
      <w:sz w:val="24"/>
    </w:rPr>
  </w:style>
  <w:style w:type="character" w:customStyle="1" w:styleId="96">
    <w:name w:val="尾注文本 Char"/>
    <w:link w:val="44"/>
    <w:qFormat/>
    <w:uiPriority w:val="0"/>
    <w:rPr>
      <w:rFonts w:eastAsia="ˎ̥"/>
      <w:kern w:val="2"/>
      <w:sz w:val="21"/>
    </w:rPr>
  </w:style>
  <w:style w:type="character" w:customStyle="1" w:styleId="97">
    <w:name w:val="批注框文本 字符"/>
    <w:qFormat/>
    <w:locked/>
    <w:uiPriority w:val="0"/>
    <w:rPr>
      <w:rFonts w:ascii="Times New Roman" w:hAnsi="Times New Roman" w:eastAsia="宋体" w:cs="Times New Roman"/>
      <w:sz w:val="18"/>
      <w:szCs w:val="18"/>
    </w:rPr>
  </w:style>
  <w:style w:type="character" w:customStyle="1" w:styleId="98">
    <w:name w:val="页眉 字符"/>
    <w:qFormat/>
    <w:locked/>
    <w:uiPriority w:val="0"/>
    <w:rPr>
      <w:rFonts w:cs="Times New Roman"/>
      <w:sz w:val="18"/>
      <w:szCs w:val="18"/>
    </w:rPr>
  </w:style>
  <w:style w:type="character" w:customStyle="1" w:styleId="99">
    <w:name w:val="正文文本缩进 3 Char"/>
    <w:link w:val="55"/>
    <w:qFormat/>
    <w:uiPriority w:val="0"/>
    <w:rPr>
      <w:rFonts w:eastAsia="ˎ̥"/>
      <w:kern w:val="2"/>
      <w:sz w:val="16"/>
    </w:rPr>
  </w:style>
  <w:style w:type="character" w:customStyle="1" w:styleId="100">
    <w:name w:val="正文文本 2 字符"/>
    <w:qFormat/>
    <w:uiPriority w:val="0"/>
    <w:rPr>
      <w:rFonts w:eastAsia="ˎ̥"/>
      <w:kern w:val="2"/>
      <w:sz w:val="21"/>
    </w:rPr>
  </w:style>
  <w:style w:type="character" w:customStyle="1" w:styleId="101">
    <w:name w:val="HTML 预设格式 Char"/>
    <w:link w:val="60"/>
    <w:qFormat/>
    <w:uiPriority w:val="0"/>
    <w:rPr>
      <w:rFonts w:ascii="ˎ̥" w:hAnsi="ˎ̥" w:eastAsia="ˎ̥"/>
    </w:rPr>
  </w:style>
  <w:style w:type="character" w:customStyle="1" w:styleId="102">
    <w:name w:val="普通(网站) 字符"/>
    <w:qFormat/>
    <w:locked/>
    <w:uiPriority w:val="0"/>
    <w:rPr>
      <w:rFonts w:ascii="宋体" w:hAnsi="宋体" w:eastAsia="宋体"/>
      <w:sz w:val="24"/>
    </w:rPr>
  </w:style>
  <w:style w:type="character" w:customStyle="1" w:styleId="103">
    <w:name w:val="标题 Char"/>
    <w:link w:val="62"/>
    <w:qFormat/>
    <w:uiPriority w:val="0"/>
    <w:rPr>
      <w:rFonts w:ascii="ˎ̥" w:hAnsi="ˎ̥" w:cs="ˎ̥"/>
      <w:b/>
      <w:bCs/>
      <w:kern w:val="2"/>
      <w:sz w:val="32"/>
      <w:szCs w:val="32"/>
    </w:rPr>
  </w:style>
  <w:style w:type="character" w:customStyle="1" w:styleId="104">
    <w:name w:val="批注主题 字符"/>
    <w:semiHidden/>
    <w:qFormat/>
    <w:locked/>
    <w:uiPriority w:val="0"/>
    <w:rPr>
      <w:rFonts w:ascii="Times New Roman" w:hAnsi="Times New Roman" w:eastAsia="宋体" w:cs="Times New Roman"/>
      <w:b/>
      <w:bCs/>
      <w:kern w:val="2"/>
      <w:sz w:val="24"/>
      <w:szCs w:val="24"/>
    </w:rPr>
  </w:style>
  <w:style w:type="character" w:customStyle="1" w:styleId="105">
    <w:name w:val="正文文本首行缩进 字符"/>
    <w:qFormat/>
    <w:uiPriority w:val="0"/>
    <w:rPr>
      <w:kern w:val="28"/>
      <w:sz w:val="28"/>
    </w:rPr>
  </w:style>
  <w:style w:type="character" w:customStyle="1" w:styleId="106">
    <w:name w:val="正文文本首行缩进 2 字符"/>
    <w:qFormat/>
    <w:uiPriority w:val="0"/>
    <w:rPr>
      <w:rFonts w:ascii="Times New Roman" w:hAnsi="Times New Roman" w:eastAsia="宋体" w:cs="Times New Roman"/>
      <w:kern w:val="2"/>
      <w:sz w:val="24"/>
      <w:szCs w:val="24"/>
    </w:rPr>
  </w:style>
  <w:style w:type="character" w:customStyle="1" w:styleId="107">
    <w:name w:val="引用文章 Char"/>
    <w:link w:val="108"/>
    <w:qFormat/>
    <w:uiPriority w:val="0"/>
    <w:rPr>
      <w:rFonts w:eastAsia="ˎ̥"/>
      <w:kern w:val="2"/>
      <w:sz w:val="24"/>
    </w:rPr>
  </w:style>
  <w:style w:type="paragraph" w:customStyle="1" w:styleId="108">
    <w:name w:val="引用文章"/>
    <w:basedOn w:val="1"/>
    <w:link w:val="107"/>
    <w:qFormat/>
    <w:uiPriority w:val="0"/>
    <w:pPr>
      <w:spacing w:line="360" w:lineRule="auto"/>
      <w:ind w:firstLine="420" w:firstLineChars="200"/>
    </w:pPr>
    <w:rPr>
      <w:rFonts w:eastAsia="ˎ̥"/>
      <w:sz w:val="24"/>
      <w:szCs w:val="20"/>
    </w:rPr>
  </w:style>
  <w:style w:type="character" w:customStyle="1" w:styleId="109">
    <w:name w:val="标题1"/>
    <w:qFormat/>
    <w:uiPriority w:val="0"/>
  </w:style>
  <w:style w:type="character" w:customStyle="1" w:styleId="110">
    <w:name w:val="文本条款 Char"/>
    <w:qFormat/>
    <w:uiPriority w:val="0"/>
    <w:rPr>
      <w:rFonts w:ascii="ˎ̥" w:hAnsi="ˎ̥" w:eastAsia="ˎ̥"/>
      <w:kern w:val="2"/>
      <w:sz w:val="28"/>
      <w:lang w:val="en-US" w:eastAsia="zh-CN"/>
    </w:rPr>
  </w:style>
  <w:style w:type="character" w:customStyle="1" w:styleId="111">
    <w:name w:val="签名 Char1"/>
    <w:qFormat/>
    <w:uiPriority w:val="0"/>
    <w:rPr>
      <w:kern w:val="2"/>
      <w:sz w:val="24"/>
    </w:rPr>
  </w:style>
  <w:style w:type="character" w:customStyle="1" w:styleId="112">
    <w:name w:val="正文缩进4 Char1"/>
    <w:qFormat/>
    <w:uiPriority w:val="0"/>
    <w:rPr>
      <w:rFonts w:eastAsia="ˎ̥"/>
      <w:kern w:val="2"/>
      <w:sz w:val="28"/>
      <w:lang w:val="en-US" w:eastAsia="zh-CN"/>
    </w:rPr>
  </w:style>
  <w:style w:type="character" w:customStyle="1" w:styleId="113">
    <w:name w:val="Char Char Char"/>
    <w:qFormat/>
    <w:uiPriority w:val="0"/>
    <w:rPr>
      <w:rFonts w:ascii="ˎ̥" w:hAnsi="ˎ̥" w:eastAsia="ˎ̥"/>
      <w:b/>
      <w:kern w:val="44"/>
      <w:sz w:val="30"/>
      <w:lang w:val="en-US" w:eastAsia="zh-CN"/>
    </w:rPr>
  </w:style>
  <w:style w:type="character" w:customStyle="1" w:styleId="114">
    <w:name w:val="t_tag"/>
    <w:qFormat/>
    <w:uiPriority w:val="0"/>
  </w:style>
  <w:style w:type="character" w:customStyle="1" w:styleId="115">
    <w:name w:val="正文格式 Char"/>
    <w:link w:val="116"/>
    <w:qFormat/>
    <w:uiPriority w:val="0"/>
    <w:rPr>
      <w:rFonts w:eastAsia="ˎ̥" w:cs="ˎ̥"/>
      <w:kern w:val="2"/>
      <w:sz w:val="24"/>
      <w:szCs w:val="24"/>
    </w:rPr>
  </w:style>
  <w:style w:type="paragraph" w:customStyle="1" w:styleId="116">
    <w:name w:val="正文格式"/>
    <w:basedOn w:val="1"/>
    <w:link w:val="115"/>
    <w:qFormat/>
    <w:uiPriority w:val="0"/>
    <w:pPr>
      <w:spacing w:line="360" w:lineRule="auto"/>
      <w:ind w:firstLine="544" w:firstLineChars="200"/>
    </w:pPr>
    <w:rPr>
      <w:rFonts w:eastAsia="ˎ̥" w:cs="ˎ̥"/>
      <w:sz w:val="24"/>
    </w:rPr>
  </w:style>
  <w:style w:type="character" w:customStyle="1" w:styleId="117">
    <w:name w:val="main1"/>
    <w:qFormat/>
    <w:uiPriority w:val="0"/>
    <w:rPr>
      <w:rFonts w:hint="default"/>
      <w:color w:val="0033CC"/>
      <w:sz w:val="18"/>
    </w:rPr>
  </w:style>
  <w:style w:type="character" w:customStyle="1" w:styleId="118">
    <w:name w:val="热电厂正文 Char Char"/>
    <w:qFormat/>
    <w:uiPriority w:val="0"/>
    <w:rPr>
      <w:rFonts w:eastAsia="ˎ̥"/>
      <w:kern w:val="2"/>
      <w:sz w:val="24"/>
      <w:lang w:val="en-US" w:eastAsia="zh-CN"/>
    </w:rPr>
  </w:style>
  <w:style w:type="character" w:customStyle="1" w:styleId="119">
    <w:name w:val="表头 Char Char"/>
    <w:qFormat/>
    <w:uiPriority w:val="0"/>
    <w:rPr>
      <w:rFonts w:eastAsia="ˎ̥"/>
      <w:b/>
      <w:kern w:val="2"/>
      <w:sz w:val="24"/>
      <w:lang w:val="en-US" w:eastAsia="zh-CN" w:bidi="ar-SA"/>
    </w:rPr>
  </w:style>
  <w:style w:type="character" w:customStyle="1" w:styleId="120">
    <w:name w:val="14bv11"/>
    <w:qFormat/>
    <w:uiPriority w:val="0"/>
    <w:rPr>
      <w:b/>
      <w:color w:val="6595D6"/>
      <w:sz w:val="21"/>
      <w:u w:val="none"/>
    </w:rPr>
  </w:style>
  <w:style w:type="character" w:customStyle="1" w:styleId="121">
    <w:name w:val="表格内容 Char"/>
    <w:link w:val="122"/>
    <w:qFormat/>
    <w:uiPriority w:val="0"/>
    <w:rPr>
      <w:rFonts w:ascii="ˎ̥" w:hAnsi="ˎ̥" w:eastAsia="ˎ̥"/>
      <w:sz w:val="24"/>
    </w:rPr>
  </w:style>
  <w:style w:type="paragraph" w:customStyle="1" w:styleId="122">
    <w:name w:val="表格内容"/>
    <w:basedOn w:val="1"/>
    <w:link w:val="121"/>
    <w:qFormat/>
    <w:uiPriority w:val="0"/>
    <w:pPr>
      <w:overflowPunct w:val="0"/>
      <w:adjustRightInd w:val="0"/>
      <w:spacing w:before="40" w:after="60" w:line="200" w:lineRule="atLeast"/>
      <w:textAlignment w:val="baseline"/>
    </w:pPr>
    <w:rPr>
      <w:rFonts w:ascii="ˎ̥" w:hAnsi="ˎ̥" w:eastAsia="ˎ̥"/>
      <w:kern w:val="0"/>
      <w:sz w:val="24"/>
      <w:szCs w:val="20"/>
    </w:rPr>
  </w:style>
  <w:style w:type="character" w:customStyle="1" w:styleId="123">
    <w:name w:val="样式11"/>
    <w:qFormat/>
    <w:uiPriority w:val="0"/>
    <w:rPr>
      <w:rFonts w:hint="default" w:ascii="ˎ̥" w:hAnsi="ˎ̥"/>
      <w:sz w:val="21"/>
    </w:rPr>
  </w:style>
  <w:style w:type="character" w:customStyle="1" w:styleId="124">
    <w:name w:val="char"/>
    <w:qFormat/>
    <w:uiPriority w:val="0"/>
  </w:style>
  <w:style w:type="character" w:customStyle="1" w:styleId="125">
    <w:name w:val="表格头 Char Char"/>
    <w:link w:val="126"/>
    <w:qFormat/>
    <w:uiPriority w:val="0"/>
    <w:rPr>
      <w:rFonts w:eastAsia="ˎ̥"/>
      <w:kern w:val="2"/>
      <w:sz w:val="24"/>
    </w:rPr>
  </w:style>
  <w:style w:type="paragraph" w:customStyle="1" w:styleId="126">
    <w:name w:val="表格头"/>
    <w:next w:val="1"/>
    <w:link w:val="125"/>
    <w:qFormat/>
    <w:uiPriority w:val="0"/>
    <w:pPr>
      <w:keepNext/>
      <w:tabs>
        <w:tab w:val="center" w:pos="4620"/>
      </w:tabs>
    </w:pPr>
    <w:rPr>
      <w:rFonts w:ascii="Times New Roman" w:hAnsi="Times New Roman" w:eastAsia="ˎ̥" w:cs="Times New Roman"/>
      <w:kern w:val="2"/>
      <w:sz w:val="24"/>
      <w:lang w:val="en-US" w:eastAsia="zh-CN" w:bidi="ar-SA"/>
    </w:rPr>
  </w:style>
  <w:style w:type="character" w:customStyle="1" w:styleId="127">
    <w:name w:val="报告正文 Char Char"/>
    <w:qFormat/>
    <w:uiPriority w:val="0"/>
    <w:rPr>
      <w:rFonts w:ascii="ˎ̥" w:eastAsia="ˎ̥"/>
      <w:kern w:val="2"/>
      <w:sz w:val="24"/>
      <w:lang w:val="en-US" w:eastAsia="zh-CN" w:bidi="ar-SA"/>
    </w:rPr>
  </w:style>
  <w:style w:type="character" w:customStyle="1" w:styleId="128">
    <w:name w:val="Char Char1"/>
    <w:qFormat/>
    <w:uiPriority w:val="0"/>
    <w:rPr>
      <w:rFonts w:eastAsia="ˎ̥"/>
      <w:kern w:val="2"/>
      <w:sz w:val="21"/>
      <w:lang w:val="en-US" w:eastAsia="zh-CN"/>
    </w:rPr>
  </w:style>
  <w:style w:type="character" w:customStyle="1" w:styleId="129">
    <w:name w:val="样式2 Char"/>
    <w:link w:val="130"/>
    <w:qFormat/>
    <w:uiPriority w:val="0"/>
    <w:rPr>
      <w:rFonts w:ascii="ˎ̥" w:hAnsi="ˎ̥" w:eastAsia="ˎ̥"/>
      <w:snapToGrid/>
      <w:kern w:val="2"/>
      <w:sz w:val="24"/>
    </w:rPr>
  </w:style>
  <w:style w:type="paragraph" w:customStyle="1" w:styleId="130">
    <w:name w:val="样式2"/>
    <w:basedOn w:val="1"/>
    <w:link w:val="129"/>
    <w:qFormat/>
    <w:uiPriority w:val="0"/>
    <w:pPr>
      <w:widowControl/>
      <w:snapToGrid w:val="0"/>
      <w:spacing w:line="440" w:lineRule="exact"/>
      <w:ind w:firstLine="200" w:firstLineChars="200"/>
      <w:jc w:val="left"/>
    </w:pPr>
    <w:rPr>
      <w:rFonts w:ascii="ˎ̥" w:hAnsi="ˎ̥" w:eastAsia="ˎ̥"/>
      <w:snapToGrid w:val="0"/>
      <w:sz w:val="24"/>
      <w:szCs w:val="20"/>
    </w:rPr>
  </w:style>
  <w:style w:type="character" w:customStyle="1" w:styleId="131">
    <w:name w:val="0031"/>
    <w:qFormat/>
    <w:uiPriority w:val="0"/>
    <w:rPr>
      <w:sz w:val="21"/>
    </w:rPr>
  </w:style>
  <w:style w:type="character" w:customStyle="1" w:styleId="132">
    <w:name w:val="表格标题 Char"/>
    <w:link w:val="133"/>
    <w:qFormat/>
    <w:uiPriority w:val="0"/>
    <w:rPr>
      <w:rFonts w:ascii="ˎ̥" w:hAnsi="ˎ̥" w:eastAsia="ˎ̥"/>
      <w:b/>
      <w:sz w:val="24"/>
    </w:rPr>
  </w:style>
  <w:style w:type="paragraph" w:customStyle="1" w:styleId="133">
    <w:name w:val="表格标题"/>
    <w:basedOn w:val="1"/>
    <w:next w:val="1"/>
    <w:link w:val="132"/>
    <w:qFormat/>
    <w:uiPriority w:val="0"/>
    <w:pPr>
      <w:keepNext/>
      <w:widowControl/>
      <w:overflowPunct w:val="0"/>
      <w:adjustRightInd w:val="0"/>
      <w:snapToGrid w:val="0"/>
      <w:spacing w:before="120" w:after="120" w:line="480" w:lineRule="exact"/>
      <w:ind w:firstLine="567"/>
      <w:jc w:val="center"/>
      <w:textAlignment w:val="baseline"/>
    </w:pPr>
    <w:rPr>
      <w:rFonts w:ascii="ˎ̥" w:hAnsi="ˎ̥" w:eastAsia="ˎ̥"/>
      <w:b/>
      <w:kern w:val="0"/>
      <w:sz w:val="24"/>
      <w:szCs w:val="20"/>
    </w:rPr>
  </w:style>
  <w:style w:type="character" w:customStyle="1" w:styleId="134">
    <w:name w:val="正文（首行缩进两字） Char2"/>
    <w:qFormat/>
    <w:uiPriority w:val="0"/>
    <w:rPr>
      <w:rFonts w:eastAsia="ˎ̥"/>
      <w:kern w:val="2"/>
      <w:sz w:val="21"/>
      <w:szCs w:val="21"/>
      <w:lang w:val="en-US" w:eastAsia="zh-CN" w:bidi="ar-SA"/>
    </w:rPr>
  </w:style>
  <w:style w:type="character" w:customStyle="1" w:styleId="135">
    <w:name w:val="sbody1"/>
    <w:qFormat/>
    <w:uiPriority w:val="0"/>
    <w:rPr>
      <w:sz w:val="14"/>
    </w:rPr>
  </w:style>
  <w:style w:type="character" w:customStyle="1" w:styleId="136">
    <w:name w:val="普通文字 Char1"/>
    <w:qFormat/>
    <w:uiPriority w:val="0"/>
    <w:rPr>
      <w:rFonts w:ascii="ˎ̥" w:hAnsi="ˎ̥" w:eastAsia="ˎ̥"/>
      <w:kern w:val="2"/>
      <w:sz w:val="21"/>
      <w:lang w:val="en-US" w:eastAsia="zh-CN"/>
    </w:rPr>
  </w:style>
  <w:style w:type="character" w:customStyle="1" w:styleId="137">
    <w:name w:val="表格 Char"/>
    <w:link w:val="138"/>
    <w:qFormat/>
    <w:locked/>
    <w:uiPriority w:val="0"/>
    <w:rPr>
      <w:rFonts w:ascii="宋体"/>
      <w:sz w:val="21"/>
    </w:rPr>
  </w:style>
  <w:style w:type="paragraph" w:customStyle="1" w:styleId="138">
    <w:name w:val="表格"/>
    <w:basedOn w:val="1"/>
    <w:next w:val="1"/>
    <w:link w:val="137"/>
    <w:qFormat/>
    <w:uiPriority w:val="0"/>
    <w:pPr>
      <w:adjustRightInd w:val="0"/>
      <w:snapToGrid w:val="0"/>
      <w:spacing w:beforeLines="10" w:afterLines="10" w:line="259" w:lineRule="auto"/>
      <w:jc w:val="center"/>
    </w:pPr>
    <w:rPr>
      <w:rFonts w:ascii="宋体"/>
      <w:kern w:val="0"/>
      <w:sz w:val="20"/>
      <w:szCs w:val="21"/>
    </w:rPr>
  </w:style>
  <w:style w:type="character" w:customStyle="1" w:styleId="139">
    <w:name w:val="节正文 Char"/>
    <w:link w:val="140"/>
    <w:qFormat/>
    <w:uiPriority w:val="0"/>
    <w:rPr>
      <w:rFonts w:ascii="ˎ̥" w:eastAsia="ˎ̥"/>
      <w:kern w:val="2"/>
      <w:sz w:val="24"/>
    </w:rPr>
  </w:style>
  <w:style w:type="paragraph" w:customStyle="1" w:styleId="140">
    <w:name w:val="节正文"/>
    <w:basedOn w:val="1"/>
    <w:link w:val="139"/>
    <w:qFormat/>
    <w:uiPriority w:val="0"/>
    <w:pPr>
      <w:autoSpaceDE w:val="0"/>
      <w:autoSpaceDN w:val="0"/>
      <w:adjustRightInd w:val="0"/>
      <w:spacing w:line="480" w:lineRule="exact"/>
      <w:ind w:firstLine="200" w:firstLineChars="200"/>
    </w:pPr>
    <w:rPr>
      <w:rFonts w:ascii="ˎ̥" w:eastAsia="ˎ̥"/>
      <w:sz w:val="24"/>
      <w:szCs w:val="20"/>
    </w:rPr>
  </w:style>
  <w:style w:type="character" w:customStyle="1" w:styleId="141">
    <w:name w:val="题注 Char1 Char"/>
    <w:qFormat/>
    <w:uiPriority w:val="0"/>
    <w:rPr>
      <w:rFonts w:ascii="ˎ̥" w:hAnsi="ˎ̥" w:eastAsia="ˎ̥"/>
      <w:kern w:val="2"/>
      <w:lang w:val="en-US" w:eastAsia="zh-CN"/>
    </w:rPr>
  </w:style>
  <w:style w:type="character" w:customStyle="1" w:styleId="142">
    <w:name w:val="表格1 Char"/>
    <w:link w:val="143"/>
    <w:qFormat/>
    <w:uiPriority w:val="0"/>
    <w:rPr>
      <w:rFonts w:eastAsia="ˎ̥"/>
      <w:kern w:val="2"/>
      <w:sz w:val="21"/>
    </w:rPr>
  </w:style>
  <w:style w:type="paragraph" w:customStyle="1" w:styleId="143">
    <w:name w:val="表格1"/>
    <w:basedOn w:val="1"/>
    <w:link w:val="142"/>
    <w:qFormat/>
    <w:uiPriority w:val="0"/>
    <w:pPr>
      <w:spacing w:line="400" w:lineRule="atLeast"/>
      <w:jc w:val="center"/>
    </w:pPr>
    <w:rPr>
      <w:rFonts w:eastAsia="ˎ̥"/>
      <w:szCs w:val="20"/>
    </w:rPr>
  </w:style>
  <w:style w:type="character" w:customStyle="1" w:styleId="144">
    <w:name w:val="标题 5 Char"/>
    <w:qFormat/>
    <w:uiPriority w:val="0"/>
    <w:rPr>
      <w:b/>
      <w:bCs/>
      <w:kern w:val="2"/>
      <w:sz w:val="28"/>
      <w:szCs w:val="28"/>
    </w:rPr>
  </w:style>
  <w:style w:type="character" w:customStyle="1" w:styleId="145">
    <w:name w:val="Char Char10"/>
    <w:qFormat/>
    <w:uiPriority w:val="0"/>
    <w:rPr>
      <w:rFonts w:eastAsia="ˎ̥"/>
      <w:kern w:val="2"/>
      <w:sz w:val="24"/>
      <w:lang w:val="en-US" w:eastAsia="zh-CN"/>
    </w:rPr>
  </w:style>
  <w:style w:type="character" w:customStyle="1" w:styleId="146">
    <w:name w:val="标题 2 Char Char"/>
    <w:qFormat/>
    <w:uiPriority w:val="0"/>
    <w:rPr>
      <w:rFonts w:ascii="ˎ̥" w:hAnsi="ˎ̥" w:eastAsia="ˎ̥"/>
      <w:b/>
      <w:sz w:val="32"/>
      <w:lang w:val="en-US" w:eastAsia="zh-CN"/>
    </w:rPr>
  </w:style>
  <w:style w:type="character" w:customStyle="1" w:styleId="147">
    <w:name w:val="Char Char8"/>
    <w:qFormat/>
    <w:uiPriority w:val="0"/>
    <w:rPr>
      <w:rFonts w:ascii="ˎ̥" w:hAnsi="ˎ̥" w:eastAsia="ˎ̥"/>
      <w:kern w:val="2"/>
      <w:sz w:val="21"/>
      <w:lang w:val="en-US" w:eastAsia="zh-CN" w:bidi="ar-SA"/>
    </w:rPr>
  </w:style>
  <w:style w:type="character" w:customStyle="1" w:styleId="148">
    <w:name w:val="样式 热电厂正文 + 首行缩进:  2 字符 Char Char"/>
    <w:qFormat/>
    <w:uiPriority w:val="0"/>
    <w:rPr>
      <w:rFonts w:eastAsia="ˎ̥"/>
      <w:kern w:val="2"/>
      <w:sz w:val="24"/>
      <w:lang w:val="en-US" w:eastAsia="zh-CN"/>
    </w:rPr>
  </w:style>
  <w:style w:type="character" w:customStyle="1" w:styleId="149">
    <w:name w:val="Char Char15"/>
    <w:qFormat/>
    <w:uiPriority w:val="0"/>
    <w:rPr>
      <w:kern w:val="2"/>
      <w:sz w:val="24"/>
    </w:rPr>
  </w:style>
  <w:style w:type="character" w:customStyle="1" w:styleId="150">
    <w:name w:val="Body Text Indent 3 Char Char"/>
    <w:qFormat/>
    <w:uiPriority w:val="0"/>
    <w:rPr>
      <w:rFonts w:eastAsia="ˎ̥"/>
      <w:kern w:val="2"/>
      <w:sz w:val="16"/>
      <w:lang w:val="en-US" w:eastAsia="zh-CN"/>
    </w:rPr>
  </w:style>
  <w:style w:type="character" w:customStyle="1" w:styleId="151">
    <w:name w:val="content1"/>
    <w:qFormat/>
    <w:uiPriority w:val="0"/>
    <w:rPr>
      <w:rFonts w:hint="eastAsia" w:ascii="ˎ̥" w:hAnsi="ˎ̥" w:eastAsia="ˎ̥"/>
      <w:color w:val="333333"/>
      <w:sz w:val="21"/>
    </w:rPr>
  </w:style>
  <w:style w:type="character" w:customStyle="1" w:styleId="152">
    <w:name w:val="标题 3 Char1"/>
    <w:qFormat/>
    <w:uiPriority w:val="0"/>
    <w:rPr>
      <w:rFonts w:eastAsia="ˎ̥"/>
      <w:sz w:val="28"/>
      <w:lang w:val="en-US" w:eastAsia="zh-CN"/>
    </w:rPr>
  </w:style>
  <w:style w:type="character" w:customStyle="1" w:styleId="153">
    <w:name w:val="正文文字 Char Char"/>
    <w:qFormat/>
    <w:uiPriority w:val="0"/>
    <w:rPr>
      <w:rFonts w:eastAsia="ˎ̥"/>
      <w:kern w:val="2"/>
      <w:sz w:val="24"/>
      <w:lang w:val="en-US" w:eastAsia="zh-CN"/>
    </w:rPr>
  </w:style>
  <w:style w:type="character" w:customStyle="1" w:styleId="154">
    <w:name w:val="样式 首行缩进:  2 字符 行距: 最小值 24 磅 Char Char"/>
    <w:link w:val="155"/>
    <w:qFormat/>
    <w:uiPriority w:val="0"/>
    <w:rPr>
      <w:rFonts w:eastAsia="ˎ̥"/>
      <w:kern w:val="2"/>
      <w:sz w:val="24"/>
    </w:rPr>
  </w:style>
  <w:style w:type="paragraph" w:customStyle="1" w:styleId="155">
    <w:name w:val="样式 首行缩进:  2 字符 行距: 最小值 24 磅 Char"/>
    <w:basedOn w:val="1"/>
    <w:link w:val="154"/>
    <w:qFormat/>
    <w:uiPriority w:val="0"/>
    <w:pPr>
      <w:spacing w:line="480" w:lineRule="atLeast"/>
      <w:ind w:firstLine="560" w:firstLineChars="200"/>
    </w:pPr>
    <w:rPr>
      <w:rFonts w:eastAsia="ˎ̥"/>
      <w:sz w:val="24"/>
      <w:szCs w:val="20"/>
    </w:rPr>
  </w:style>
  <w:style w:type="character" w:customStyle="1" w:styleId="156">
    <w:name w:val="disabled"/>
    <w:qFormat/>
    <w:uiPriority w:val="0"/>
    <w:rPr>
      <w:vanish/>
    </w:rPr>
  </w:style>
  <w:style w:type="character" w:customStyle="1" w:styleId="157">
    <w:name w:val="正文1 Char"/>
    <w:link w:val="158"/>
    <w:qFormat/>
    <w:uiPriority w:val="0"/>
    <w:rPr>
      <w:rFonts w:eastAsia="ˎ̥"/>
      <w:snapToGrid/>
      <w:sz w:val="24"/>
    </w:rPr>
  </w:style>
  <w:style w:type="paragraph" w:customStyle="1" w:styleId="158">
    <w:name w:val="正文1"/>
    <w:basedOn w:val="1"/>
    <w:link w:val="157"/>
    <w:qFormat/>
    <w:uiPriority w:val="0"/>
    <w:pPr>
      <w:adjustRightInd w:val="0"/>
      <w:snapToGrid w:val="0"/>
      <w:spacing w:line="480" w:lineRule="exact"/>
      <w:ind w:firstLine="200" w:firstLineChars="200"/>
    </w:pPr>
    <w:rPr>
      <w:rFonts w:eastAsia="ˎ̥"/>
      <w:snapToGrid w:val="0"/>
      <w:kern w:val="0"/>
      <w:sz w:val="24"/>
      <w:szCs w:val="20"/>
    </w:rPr>
  </w:style>
  <w:style w:type="character" w:customStyle="1" w:styleId="159">
    <w:name w:val="热电厂正文 Char"/>
    <w:link w:val="160"/>
    <w:qFormat/>
    <w:uiPriority w:val="0"/>
    <w:rPr>
      <w:rFonts w:eastAsia="ˎ̥"/>
      <w:kern w:val="2"/>
      <w:sz w:val="24"/>
    </w:rPr>
  </w:style>
  <w:style w:type="paragraph" w:customStyle="1" w:styleId="160">
    <w:name w:val="热电厂正文"/>
    <w:basedOn w:val="1"/>
    <w:link w:val="159"/>
    <w:qFormat/>
    <w:uiPriority w:val="0"/>
    <w:pPr>
      <w:spacing w:line="440" w:lineRule="exact"/>
      <w:ind w:firstLine="480" w:firstLineChars="200"/>
    </w:pPr>
    <w:rPr>
      <w:rFonts w:eastAsia="ˎ̥"/>
      <w:sz w:val="24"/>
      <w:szCs w:val="20"/>
    </w:rPr>
  </w:style>
  <w:style w:type="character" w:customStyle="1" w:styleId="161">
    <w:name w:val="dan7-1 Char"/>
    <w:link w:val="162"/>
    <w:qFormat/>
    <w:uiPriority w:val="0"/>
    <w:rPr>
      <w:rFonts w:eastAsia="ˎ̥"/>
      <w:kern w:val="2"/>
      <w:sz w:val="24"/>
    </w:rPr>
  </w:style>
  <w:style w:type="paragraph" w:customStyle="1" w:styleId="162">
    <w:name w:val="dan7-1"/>
    <w:basedOn w:val="1"/>
    <w:link w:val="161"/>
    <w:qFormat/>
    <w:uiPriority w:val="0"/>
    <w:pPr>
      <w:spacing w:before="40" w:after="40" w:line="360" w:lineRule="auto"/>
      <w:ind w:firstLine="200" w:firstLineChars="200"/>
    </w:pPr>
    <w:rPr>
      <w:rFonts w:eastAsia="ˎ̥"/>
      <w:sz w:val="24"/>
      <w:szCs w:val="20"/>
    </w:rPr>
  </w:style>
  <w:style w:type="character" w:customStyle="1" w:styleId="163">
    <w:name w:val="标题 3 Char1 Char Char1"/>
    <w:qFormat/>
    <w:uiPriority w:val="0"/>
    <w:rPr>
      <w:rFonts w:eastAsia="ˎ̥"/>
      <w:b/>
      <w:kern w:val="2"/>
      <w:sz w:val="32"/>
      <w:lang w:val="en-US" w:eastAsia="zh-CN"/>
    </w:rPr>
  </w:style>
  <w:style w:type="character" w:customStyle="1" w:styleId="164">
    <w:name w:val="标题 2 Char Char Char"/>
    <w:qFormat/>
    <w:uiPriority w:val="0"/>
    <w:rPr>
      <w:rFonts w:ascii="ˎ̥" w:hAnsi="ˎ̥" w:eastAsia="ˎ̥"/>
      <w:sz w:val="28"/>
      <w:lang w:val="en-US" w:eastAsia="zh-CN"/>
    </w:rPr>
  </w:style>
  <w:style w:type="character" w:customStyle="1" w:styleId="165">
    <w:name w:val="正文(首行缩进) Char"/>
    <w:link w:val="166"/>
    <w:qFormat/>
    <w:uiPriority w:val="0"/>
    <w:rPr>
      <w:rFonts w:eastAsia="ˎ̥"/>
      <w:snapToGrid/>
      <w:sz w:val="24"/>
    </w:rPr>
  </w:style>
  <w:style w:type="paragraph" w:customStyle="1" w:styleId="166">
    <w:name w:val="正文(首行缩进)"/>
    <w:basedOn w:val="1"/>
    <w:link w:val="165"/>
    <w:qFormat/>
    <w:uiPriority w:val="0"/>
    <w:pPr>
      <w:adjustRightInd w:val="0"/>
      <w:snapToGrid w:val="0"/>
      <w:spacing w:line="360" w:lineRule="auto"/>
      <w:ind w:firstLine="200" w:firstLineChars="200"/>
    </w:pPr>
    <w:rPr>
      <w:rFonts w:eastAsia="ˎ̥"/>
      <w:snapToGrid w:val="0"/>
      <w:kern w:val="0"/>
      <w:sz w:val="24"/>
      <w:szCs w:val="20"/>
    </w:rPr>
  </w:style>
  <w:style w:type="character" w:customStyle="1" w:styleId="167">
    <w:name w:val="Se Char"/>
    <w:qFormat/>
    <w:uiPriority w:val="0"/>
    <w:rPr>
      <w:rFonts w:ascii="ˎ̥" w:hAnsi="ˎ̥" w:eastAsia="ˎ̥"/>
      <w:b/>
      <w:sz w:val="32"/>
      <w:lang w:val="en-US" w:eastAsia="zh-CN"/>
    </w:rPr>
  </w:style>
  <w:style w:type="character" w:customStyle="1" w:styleId="168">
    <w:name w:val="Char Char151"/>
    <w:qFormat/>
    <w:uiPriority w:val="0"/>
    <w:rPr>
      <w:rFonts w:ascii="ˎ̥" w:hAnsi="ˎ̥" w:eastAsia="ˎ̥"/>
      <w:kern w:val="24"/>
      <w:sz w:val="24"/>
    </w:rPr>
  </w:style>
  <w:style w:type="character" w:customStyle="1" w:styleId="169">
    <w:name w:val="text_edit editable-title"/>
    <w:qFormat/>
    <w:uiPriority w:val="0"/>
  </w:style>
  <w:style w:type="character" w:customStyle="1" w:styleId="170">
    <w:name w:val="样式1 Char"/>
    <w:link w:val="171"/>
    <w:qFormat/>
    <w:uiPriority w:val="0"/>
    <w:rPr>
      <w:rFonts w:eastAsia="ˎ̥"/>
      <w:kern w:val="2"/>
      <w:sz w:val="24"/>
    </w:rPr>
  </w:style>
  <w:style w:type="paragraph" w:customStyle="1" w:styleId="171">
    <w:name w:val="样式1"/>
    <w:basedOn w:val="10"/>
    <w:link w:val="170"/>
    <w:qFormat/>
    <w:uiPriority w:val="0"/>
    <w:pPr>
      <w:widowControl/>
      <w:snapToGrid w:val="0"/>
      <w:spacing w:before="0" w:after="0" w:line="480" w:lineRule="atLeast"/>
      <w:ind w:firstLine="454"/>
    </w:pPr>
    <w:rPr>
      <w:rFonts w:ascii="Times New Roman" w:hAnsi="Times New Roman"/>
      <w:b w:val="0"/>
      <w:bCs w:val="0"/>
      <w:sz w:val="24"/>
      <w:szCs w:val="20"/>
    </w:rPr>
  </w:style>
  <w:style w:type="character" w:customStyle="1" w:styleId="172">
    <w:name w:val="Char Char9"/>
    <w:qFormat/>
    <w:uiPriority w:val="0"/>
    <w:rPr>
      <w:rFonts w:ascii="ˎ̥" w:hAnsi="Times New Roman" w:eastAsia="ˎ̥"/>
      <w:sz w:val="18"/>
    </w:rPr>
  </w:style>
  <w:style w:type="character" w:customStyle="1" w:styleId="173">
    <w:name w:val="正文（首行缩进两字） Char Char6"/>
    <w:qFormat/>
    <w:uiPriority w:val="0"/>
    <w:rPr>
      <w:rFonts w:ascii="ˎ̥" w:eastAsia="ˎ̥"/>
      <w:kern w:val="2"/>
      <w:sz w:val="28"/>
      <w:lang w:val="en-US" w:eastAsia="zh-CN"/>
    </w:rPr>
  </w:style>
  <w:style w:type="character" w:customStyle="1" w:styleId="174">
    <w:name w:val="unnamed11"/>
    <w:qFormat/>
    <w:uiPriority w:val="0"/>
    <w:rPr>
      <w:rFonts w:hint="eastAsia" w:ascii="ˎ̥" w:hAnsi="ˎ̥" w:eastAsia="ˎ̥"/>
      <w:sz w:val="18"/>
    </w:rPr>
  </w:style>
  <w:style w:type="character" w:customStyle="1" w:styleId="175">
    <w:name w:val="nr1"/>
    <w:qFormat/>
    <w:uiPriority w:val="0"/>
    <w:rPr>
      <w:sz w:val="18"/>
    </w:rPr>
  </w:style>
  <w:style w:type="character" w:customStyle="1" w:styleId="176">
    <w:name w:val="Char Char12"/>
    <w:qFormat/>
    <w:uiPriority w:val="0"/>
    <w:rPr>
      <w:rFonts w:ascii="ˎ̥" w:hAnsi="ˎ̥" w:eastAsia="ˎ̥"/>
      <w:sz w:val="24"/>
      <w:lang w:val="en-US" w:eastAsia="zh-CN"/>
    </w:rPr>
  </w:style>
  <w:style w:type="character" w:customStyle="1" w:styleId="177">
    <w:name w:val="标题 1 Char Char Char1"/>
    <w:qFormat/>
    <w:uiPriority w:val="0"/>
    <w:rPr>
      <w:rFonts w:ascii="ˎ̥" w:hAnsi="ˎ̥" w:eastAsia="ˎ̥"/>
      <w:sz w:val="24"/>
      <w:lang w:val="en-US" w:eastAsia="zh-CN"/>
    </w:rPr>
  </w:style>
  <w:style w:type="character" w:customStyle="1" w:styleId="178">
    <w:name w:val="样式 首行缩进:  2 字符 Char"/>
    <w:link w:val="179"/>
    <w:qFormat/>
    <w:uiPriority w:val="0"/>
    <w:rPr>
      <w:rFonts w:eastAsia="ˎ̥"/>
      <w:kern w:val="2"/>
      <w:sz w:val="24"/>
    </w:rPr>
  </w:style>
  <w:style w:type="paragraph" w:customStyle="1" w:styleId="179">
    <w:name w:val="样式 首行缩进:  2 字符"/>
    <w:basedOn w:val="1"/>
    <w:link w:val="178"/>
    <w:qFormat/>
    <w:uiPriority w:val="0"/>
    <w:pPr>
      <w:spacing w:line="460" w:lineRule="exact"/>
      <w:ind w:firstLine="471"/>
    </w:pPr>
    <w:rPr>
      <w:rFonts w:eastAsia="ˎ̥"/>
      <w:sz w:val="24"/>
      <w:szCs w:val="20"/>
    </w:rPr>
  </w:style>
  <w:style w:type="character" w:customStyle="1" w:styleId="180">
    <w:name w:val="表头及表尾 Char"/>
    <w:link w:val="181"/>
    <w:qFormat/>
    <w:uiPriority w:val="0"/>
    <w:rPr>
      <w:b/>
      <w:snapToGrid/>
      <w:sz w:val="21"/>
    </w:rPr>
  </w:style>
  <w:style w:type="paragraph" w:customStyle="1" w:styleId="181">
    <w:name w:val="表头及表尾"/>
    <w:link w:val="180"/>
    <w:qFormat/>
    <w:uiPriority w:val="0"/>
    <w:pPr>
      <w:tabs>
        <w:tab w:val="center" w:pos="4200"/>
        <w:tab w:val="right" w:pos="8400"/>
      </w:tabs>
      <w:adjustRightInd w:val="0"/>
      <w:snapToGrid w:val="0"/>
      <w:spacing w:line="360" w:lineRule="auto"/>
      <w:jc w:val="center"/>
    </w:pPr>
    <w:rPr>
      <w:rFonts w:ascii="Times New Roman" w:hAnsi="Times New Roman" w:eastAsia="宋体" w:cs="Times New Roman"/>
      <w:b/>
      <w:snapToGrid w:val="0"/>
      <w:sz w:val="21"/>
      <w:lang w:val="en-US" w:eastAsia="zh-CN" w:bidi="ar-SA"/>
    </w:rPr>
  </w:style>
  <w:style w:type="character" w:customStyle="1" w:styleId="182">
    <w:name w:val="标题 1 Char Char1"/>
    <w:qFormat/>
    <w:uiPriority w:val="0"/>
    <w:rPr>
      <w:rFonts w:ascii="ˎ̥" w:hAnsi="ˎ̥" w:eastAsia="ˎ̥"/>
      <w:sz w:val="24"/>
      <w:lang w:val="en-US" w:eastAsia="zh-CN"/>
    </w:rPr>
  </w:style>
  <w:style w:type="character" w:customStyle="1" w:styleId="183">
    <w:name w:val="表格正文 Char"/>
    <w:link w:val="184"/>
    <w:qFormat/>
    <w:uiPriority w:val="0"/>
    <w:rPr>
      <w:rFonts w:eastAsia="ˎ̥"/>
      <w:kern w:val="2"/>
      <w:sz w:val="24"/>
    </w:rPr>
  </w:style>
  <w:style w:type="paragraph" w:customStyle="1" w:styleId="184">
    <w:name w:val="表格正文"/>
    <w:basedOn w:val="1"/>
    <w:link w:val="183"/>
    <w:qFormat/>
    <w:uiPriority w:val="0"/>
    <w:pPr>
      <w:jc w:val="center"/>
    </w:pPr>
    <w:rPr>
      <w:rFonts w:eastAsia="ˎ̥"/>
      <w:sz w:val="24"/>
      <w:szCs w:val="20"/>
    </w:rPr>
  </w:style>
  <w:style w:type="character" w:customStyle="1" w:styleId="185">
    <w:name w:val="未命名51"/>
    <w:qFormat/>
    <w:uiPriority w:val="0"/>
    <w:rPr>
      <w:sz w:val="23"/>
    </w:rPr>
  </w:style>
  <w:style w:type="character" w:customStyle="1" w:styleId="186">
    <w:name w:val="普通文字 Char2"/>
    <w:qFormat/>
    <w:uiPriority w:val="0"/>
    <w:rPr>
      <w:rFonts w:eastAsia="ˎ̥"/>
      <w:spacing w:val="8"/>
      <w:kern w:val="2"/>
      <w:sz w:val="24"/>
      <w:lang w:val="en-US" w:eastAsia="zh-CN" w:bidi="ar-SA"/>
    </w:rPr>
  </w:style>
  <w:style w:type="character" w:customStyle="1" w:styleId="187">
    <w:name w:val="表头 Char"/>
    <w:link w:val="188"/>
    <w:qFormat/>
    <w:uiPriority w:val="0"/>
    <w:rPr>
      <w:rFonts w:eastAsia="ˎ̥"/>
      <w:b/>
      <w:kern w:val="2"/>
      <w:sz w:val="24"/>
      <w:szCs w:val="24"/>
    </w:rPr>
  </w:style>
  <w:style w:type="paragraph" w:customStyle="1" w:styleId="188">
    <w:name w:val="表头"/>
    <w:basedOn w:val="158"/>
    <w:next w:val="158"/>
    <w:link w:val="187"/>
    <w:qFormat/>
    <w:uiPriority w:val="0"/>
    <w:pPr>
      <w:ind w:firstLine="0" w:firstLineChars="0"/>
      <w:jc w:val="center"/>
    </w:pPr>
    <w:rPr>
      <w:b/>
      <w:snapToGrid/>
      <w:kern w:val="2"/>
      <w:szCs w:val="24"/>
    </w:rPr>
  </w:style>
  <w:style w:type="character" w:customStyle="1" w:styleId="189">
    <w:name w:val="tit02"/>
    <w:qFormat/>
    <w:uiPriority w:val="0"/>
  </w:style>
  <w:style w:type="character" w:customStyle="1" w:styleId="190">
    <w:name w:val="headline-content"/>
    <w:qFormat/>
    <w:uiPriority w:val="0"/>
  </w:style>
  <w:style w:type="character" w:customStyle="1" w:styleId="191">
    <w:name w:val="正文文本1.35 Char Char"/>
    <w:link w:val="192"/>
    <w:qFormat/>
    <w:uiPriority w:val="0"/>
    <w:rPr>
      <w:rFonts w:cs="ˎ̥"/>
      <w:kern w:val="2"/>
      <w:sz w:val="24"/>
      <w:szCs w:val="24"/>
    </w:rPr>
  </w:style>
  <w:style w:type="paragraph" w:customStyle="1" w:styleId="192">
    <w:name w:val="正文文本1.35"/>
    <w:basedOn w:val="4"/>
    <w:link w:val="191"/>
    <w:qFormat/>
    <w:uiPriority w:val="0"/>
    <w:pPr>
      <w:widowControl w:val="0"/>
      <w:adjustRightInd w:val="0"/>
      <w:spacing w:before="0" w:after="0" w:line="440" w:lineRule="exact"/>
      <w:ind w:right="0" w:firstLine="480" w:firstLineChars="200"/>
    </w:pPr>
    <w:rPr>
      <w:rFonts w:cs="ˎ̥"/>
      <w:kern w:val="2"/>
      <w:sz w:val="24"/>
      <w:szCs w:val="24"/>
    </w:rPr>
  </w:style>
  <w:style w:type="character" w:customStyle="1" w:styleId="193">
    <w:name w:val="正文缩进 Char"/>
    <w:qFormat/>
    <w:uiPriority w:val="0"/>
    <w:rPr>
      <w:rFonts w:eastAsia="ˎ̥"/>
      <w:kern w:val="2"/>
      <w:sz w:val="24"/>
      <w:lang w:val="en-US" w:eastAsia="zh-CN"/>
    </w:rPr>
  </w:style>
  <w:style w:type="character" w:customStyle="1" w:styleId="194">
    <w:name w:val="正文文字缩进 2 Char1"/>
    <w:qFormat/>
    <w:uiPriority w:val="0"/>
    <w:rPr>
      <w:rFonts w:ascii="ˎ̥" w:hAnsi="ˎ̥" w:eastAsia="ˎ̥"/>
      <w:sz w:val="28"/>
      <w:lang w:val="en-US" w:eastAsia="zh-CN"/>
    </w:rPr>
  </w:style>
  <w:style w:type="character" w:customStyle="1" w:styleId="195">
    <w:name w:val="example2"/>
    <w:qFormat/>
    <w:uiPriority w:val="0"/>
  </w:style>
  <w:style w:type="character" w:customStyle="1" w:styleId="196">
    <w:name w:val="正文文本缩进 3 Char Char Char"/>
    <w:qFormat/>
    <w:uiPriority w:val="0"/>
    <w:rPr>
      <w:rFonts w:eastAsia="ˎ̥"/>
      <w:kern w:val="2"/>
      <w:sz w:val="16"/>
      <w:lang w:val="en-US" w:eastAsia="zh-CN"/>
    </w:rPr>
  </w:style>
  <w:style w:type="character" w:customStyle="1" w:styleId="197">
    <w:name w:val="正文缩进4 Char"/>
    <w:qFormat/>
    <w:uiPriority w:val="0"/>
    <w:rPr>
      <w:rFonts w:eastAsia="ˎ̥"/>
      <w:kern w:val="2"/>
      <w:sz w:val="24"/>
      <w:lang w:val="en-US" w:eastAsia="zh-CN"/>
    </w:rPr>
  </w:style>
  <w:style w:type="character" w:customStyle="1" w:styleId="198">
    <w:name w:val="新正文样式 Char"/>
    <w:link w:val="199"/>
    <w:qFormat/>
    <w:uiPriority w:val="0"/>
    <w:rPr>
      <w:rFonts w:eastAsia="ˎ̥"/>
      <w:spacing w:val="20"/>
      <w:kern w:val="2"/>
      <w:sz w:val="24"/>
    </w:rPr>
  </w:style>
  <w:style w:type="paragraph" w:customStyle="1" w:styleId="199">
    <w:name w:val="新正文样式"/>
    <w:basedOn w:val="1"/>
    <w:link w:val="198"/>
    <w:qFormat/>
    <w:uiPriority w:val="0"/>
    <w:pPr>
      <w:tabs>
        <w:tab w:val="left" w:pos="567"/>
      </w:tabs>
      <w:spacing w:line="360" w:lineRule="auto"/>
      <w:ind w:firstLine="567"/>
    </w:pPr>
    <w:rPr>
      <w:rFonts w:eastAsia="ˎ̥"/>
      <w:spacing w:val="20"/>
      <w:sz w:val="24"/>
      <w:szCs w:val="20"/>
    </w:rPr>
  </w:style>
  <w:style w:type="character" w:customStyle="1" w:styleId="200">
    <w:name w:val="1编制日期 Char"/>
    <w:link w:val="201"/>
    <w:qFormat/>
    <w:uiPriority w:val="0"/>
    <w:rPr>
      <w:b/>
      <w:sz w:val="32"/>
      <w:szCs w:val="24"/>
    </w:rPr>
  </w:style>
  <w:style w:type="paragraph" w:customStyle="1" w:styleId="201">
    <w:name w:val="1编制日期"/>
    <w:next w:val="1"/>
    <w:link w:val="200"/>
    <w:qFormat/>
    <w:uiPriority w:val="0"/>
    <w:pPr>
      <w:spacing w:line="360" w:lineRule="auto"/>
      <w:jc w:val="center"/>
    </w:pPr>
    <w:rPr>
      <w:rFonts w:ascii="Times New Roman" w:hAnsi="Times New Roman" w:eastAsia="宋体" w:cs="Times New Roman"/>
      <w:b/>
      <w:sz w:val="32"/>
      <w:szCs w:val="24"/>
      <w:lang w:val="en-US" w:eastAsia="zh-CN" w:bidi="ar-SA"/>
    </w:rPr>
  </w:style>
  <w:style w:type="character" w:customStyle="1" w:styleId="202">
    <w:name w:val="正文（首行缩进两字） Char Char1 Char"/>
    <w:link w:val="203"/>
    <w:qFormat/>
    <w:uiPriority w:val="0"/>
    <w:rPr>
      <w:rFonts w:ascii="ˎ̥" w:hAnsi="ˎ̥" w:eastAsia="ˎ̥"/>
      <w:color w:val="000000"/>
      <w:kern w:val="2"/>
      <w:sz w:val="24"/>
    </w:rPr>
  </w:style>
  <w:style w:type="paragraph" w:customStyle="1" w:styleId="203">
    <w:name w:val="正文（首行缩进两字） Char Char Char2"/>
    <w:basedOn w:val="1"/>
    <w:next w:val="1"/>
    <w:link w:val="202"/>
    <w:qFormat/>
    <w:uiPriority w:val="0"/>
    <w:pPr>
      <w:spacing w:line="440" w:lineRule="exact"/>
      <w:ind w:firstLine="200" w:firstLineChars="200"/>
    </w:pPr>
    <w:rPr>
      <w:rFonts w:ascii="ˎ̥" w:hAnsi="ˎ̥" w:eastAsia="ˎ̥"/>
      <w:color w:val="000000"/>
      <w:sz w:val="24"/>
      <w:szCs w:val="20"/>
    </w:rPr>
  </w:style>
  <w:style w:type="character" w:customStyle="1" w:styleId="204">
    <w:name w:val="unnamed31"/>
    <w:qFormat/>
    <w:uiPriority w:val="0"/>
    <w:rPr>
      <w:sz w:val="21"/>
    </w:rPr>
  </w:style>
  <w:style w:type="character" w:customStyle="1" w:styleId="205">
    <w:name w:val="heading1"/>
    <w:qFormat/>
    <w:uiPriority w:val="0"/>
    <w:rPr>
      <w:rFonts w:hint="default" w:ascii="ˎ̥" w:hAnsi="ˎ̥"/>
      <w:b/>
      <w:i/>
      <w:color w:val="000000"/>
      <w:sz w:val="32"/>
    </w:rPr>
  </w:style>
  <w:style w:type="character" w:customStyle="1" w:styleId="206">
    <w:name w:val="无间隔 Char"/>
    <w:link w:val="207"/>
    <w:qFormat/>
    <w:uiPriority w:val="0"/>
    <w:rPr>
      <w:kern w:val="2"/>
      <w:sz w:val="22"/>
    </w:rPr>
  </w:style>
  <w:style w:type="paragraph" w:styleId="207">
    <w:name w:val="No Spacing"/>
    <w:link w:val="206"/>
    <w:qFormat/>
    <w:uiPriority w:val="0"/>
    <w:rPr>
      <w:rFonts w:ascii="Times New Roman" w:hAnsi="Times New Roman" w:eastAsia="宋体" w:cs="Times New Roman"/>
      <w:kern w:val="2"/>
      <w:sz w:val="22"/>
      <w:lang w:val="en-US" w:eastAsia="zh-CN" w:bidi="ar-SA"/>
    </w:rPr>
  </w:style>
  <w:style w:type="character" w:customStyle="1" w:styleId="208">
    <w:name w:val="日期 字符"/>
    <w:semiHidden/>
    <w:qFormat/>
    <w:uiPriority w:val="0"/>
    <w:rPr>
      <w:rFonts w:ascii="Times New Roman" w:hAnsi="Times New Roman" w:eastAsia="宋体" w:cs="Times New Roman"/>
      <w:sz w:val="24"/>
      <w:szCs w:val="24"/>
    </w:rPr>
  </w:style>
  <w:style w:type="character" w:customStyle="1" w:styleId="209">
    <w:name w:val="正文文本 字符1"/>
    <w:semiHidden/>
    <w:qFormat/>
    <w:uiPriority w:val="0"/>
    <w:rPr>
      <w:rFonts w:ascii="Times New Roman" w:hAnsi="Times New Roman" w:eastAsia="宋体" w:cs="Times New Roman"/>
      <w:sz w:val="24"/>
      <w:szCs w:val="24"/>
    </w:rPr>
  </w:style>
  <w:style w:type="character" w:customStyle="1" w:styleId="210">
    <w:name w:val="样式 报告正文 + 首行缩进:  2 字符 Char"/>
    <w:link w:val="211"/>
    <w:qFormat/>
    <w:uiPriority w:val="0"/>
    <w:rPr>
      <w:rFonts w:eastAsia="ˎ̥"/>
      <w:kern w:val="2"/>
      <w:sz w:val="24"/>
    </w:rPr>
  </w:style>
  <w:style w:type="paragraph" w:customStyle="1" w:styleId="211">
    <w:name w:val="样式 报告正文 + 首行缩进:  2 字符"/>
    <w:basedOn w:val="1"/>
    <w:link w:val="210"/>
    <w:qFormat/>
    <w:uiPriority w:val="0"/>
    <w:pPr>
      <w:autoSpaceDE w:val="0"/>
      <w:autoSpaceDN w:val="0"/>
      <w:spacing w:line="360" w:lineRule="auto"/>
      <w:ind w:firstLine="200" w:firstLineChars="200"/>
    </w:pPr>
    <w:rPr>
      <w:rFonts w:eastAsia="ˎ̥"/>
      <w:sz w:val="24"/>
      <w:szCs w:val="20"/>
    </w:rPr>
  </w:style>
  <w:style w:type="character" w:customStyle="1" w:styleId="212">
    <w:name w:val="普通文字 Char Char Char Char"/>
    <w:qFormat/>
    <w:uiPriority w:val="0"/>
    <w:rPr>
      <w:rFonts w:ascii="ˎ̥" w:hAnsi="ˎ̥" w:eastAsia="ˎ̥"/>
      <w:kern w:val="2"/>
      <w:sz w:val="24"/>
      <w:lang w:val="en-US" w:eastAsia="zh-CN"/>
    </w:rPr>
  </w:style>
  <w:style w:type="character" w:customStyle="1" w:styleId="213">
    <w:name w:val="正文文本缩进 3 Char1"/>
    <w:qFormat/>
    <w:uiPriority w:val="0"/>
    <w:rPr>
      <w:kern w:val="2"/>
      <w:sz w:val="16"/>
      <w:szCs w:val="16"/>
    </w:rPr>
  </w:style>
  <w:style w:type="character" w:customStyle="1" w:styleId="214">
    <w:name w:val="text_l1"/>
    <w:qFormat/>
    <w:uiPriority w:val="0"/>
    <w:rPr>
      <w:color w:val="000066"/>
      <w:sz w:val="18"/>
    </w:rPr>
  </w:style>
  <w:style w:type="character" w:customStyle="1" w:styleId="215">
    <w:name w:val="Char Char13"/>
    <w:qFormat/>
    <w:uiPriority w:val="0"/>
    <w:rPr>
      <w:rFonts w:eastAsia="ˎ̥"/>
      <w:sz w:val="24"/>
      <w:lang w:val="en-US" w:eastAsia="zh-CN"/>
    </w:rPr>
  </w:style>
  <w:style w:type="character" w:customStyle="1" w:styleId="216">
    <w:name w:val="表1 Char"/>
    <w:link w:val="217"/>
    <w:qFormat/>
    <w:uiPriority w:val="0"/>
    <w:rPr>
      <w:sz w:val="21"/>
    </w:rPr>
  </w:style>
  <w:style w:type="paragraph" w:customStyle="1" w:styleId="217">
    <w:name w:val="表1"/>
    <w:next w:val="1"/>
    <w:link w:val="216"/>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218">
    <w:name w:val="标题 41"/>
    <w:qFormat/>
    <w:uiPriority w:val="0"/>
    <w:rPr>
      <w:rFonts w:ascii="ˎ̥" w:hAnsi="ˎ̥" w:eastAsia="ˎ̥"/>
      <w:b/>
      <w:kern w:val="2"/>
      <w:sz w:val="28"/>
      <w:lang w:val="en-US" w:eastAsia="zh-CN"/>
    </w:rPr>
  </w:style>
  <w:style w:type="character" w:customStyle="1" w:styleId="219">
    <w:name w:val="样式 标题 3 + 宋体 四号 Char Char"/>
    <w:link w:val="220"/>
    <w:qFormat/>
    <w:uiPriority w:val="0"/>
    <w:rPr>
      <w:rFonts w:ascii="ˎ̥" w:hAnsi="ˎ̥" w:eastAsia="ˎ̥"/>
      <w:b/>
      <w:kern w:val="2"/>
      <w:sz w:val="28"/>
    </w:rPr>
  </w:style>
  <w:style w:type="paragraph" w:customStyle="1" w:styleId="220">
    <w:name w:val="样式 标题 3 + 宋体 四号 Char"/>
    <w:basedOn w:val="8"/>
    <w:link w:val="219"/>
    <w:qFormat/>
    <w:uiPriority w:val="0"/>
    <w:pPr>
      <w:widowControl w:val="0"/>
      <w:spacing w:beforeLines="80" w:afterLines="40" w:line="360" w:lineRule="auto"/>
      <w:ind w:left="200" w:leftChars="200"/>
    </w:pPr>
    <w:rPr>
      <w:rFonts w:ascii="ˎ̥" w:hAnsi="ˎ̥"/>
      <w:b/>
      <w:sz w:val="28"/>
    </w:rPr>
  </w:style>
  <w:style w:type="character" w:customStyle="1" w:styleId="221">
    <w:name w:val="首行缩进"/>
    <w:qFormat/>
    <w:uiPriority w:val="0"/>
    <w:rPr>
      <w:rFonts w:ascii="ˎ̥" w:hAnsi="ˎ̥" w:eastAsia="ˎ̥"/>
      <w:kern w:val="2"/>
      <w:sz w:val="24"/>
      <w:lang w:val="en-US" w:eastAsia="zh-CN"/>
    </w:rPr>
  </w:style>
  <w:style w:type="character" w:customStyle="1" w:styleId="222">
    <w:name w:val="标题 3 Char Char2"/>
    <w:qFormat/>
    <w:uiPriority w:val="0"/>
    <w:rPr>
      <w:rFonts w:eastAsia="ˎ̥"/>
      <w:b/>
      <w:bCs/>
      <w:kern w:val="2"/>
      <w:sz w:val="32"/>
      <w:szCs w:val="32"/>
      <w:lang w:val="en-US" w:eastAsia="zh-CN" w:bidi="ar-SA"/>
    </w:rPr>
  </w:style>
  <w:style w:type="character" w:customStyle="1" w:styleId="223">
    <w:name w:val="apple-style-span"/>
    <w:qFormat/>
    <w:uiPriority w:val="0"/>
  </w:style>
  <w:style w:type="character" w:customStyle="1" w:styleId="224">
    <w:name w:val="Char Char"/>
    <w:link w:val="225"/>
    <w:qFormat/>
    <w:uiPriority w:val="0"/>
    <w:rPr>
      <w:rFonts w:ascii="ˎ̥" w:hAnsi="ˎ̥" w:eastAsia="ˎ̥"/>
      <w:sz w:val="28"/>
    </w:rPr>
  </w:style>
  <w:style w:type="paragraph" w:customStyle="1" w:styleId="225">
    <w:name w:val="Char2"/>
    <w:basedOn w:val="1"/>
    <w:link w:val="224"/>
    <w:qFormat/>
    <w:uiPriority w:val="0"/>
    <w:pPr>
      <w:snapToGrid w:val="0"/>
      <w:spacing w:line="360" w:lineRule="auto"/>
      <w:ind w:firstLine="529" w:firstLineChars="200"/>
    </w:pPr>
    <w:rPr>
      <w:rFonts w:ascii="ˎ̥" w:hAnsi="ˎ̥" w:eastAsia="ˎ̥"/>
      <w:kern w:val="0"/>
      <w:sz w:val="28"/>
      <w:szCs w:val="20"/>
    </w:rPr>
  </w:style>
  <w:style w:type="character" w:customStyle="1" w:styleId="226">
    <w:name w:val="表头1 Char"/>
    <w:link w:val="227"/>
    <w:qFormat/>
    <w:uiPriority w:val="0"/>
    <w:rPr>
      <w:rFonts w:eastAsia="ˎ̥"/>
      <w:sz w:val="21"/>
    </w:rPr>
  </w:style>
  <w:style w:type="paragraph" w:customStyle="1" w:styleId="227">
    <w:name w:val="表头1"/>
    <w:basedOn w:val="1"/>
    <w:next w:val="1"/>
    <w:link w:val="226"/>
    <w:qFormat/>
    <w:uiPriority w:val="0"/>
    <w:pPr>
      <w:tabs>
        <w:tab w:val="left" w:pos="605"/>
      </w:tabs>
      <w:adjustRightInd w:val="0"/>
      <w:snapToGrid w:val="0"/>
      <w:jc w:val="center"/>
    </w:pPr>
    <w:rPr>
      <w:rFonts w:eastAsia="ˎ̥"/>
      <w:kern w:val="0"/>
      <w:szCs w:val="20"/>
    </w:rPr>
  </w:style>
  <w:style w:type="character" w:customStyle="1" w:styleId="228">
    <w:name w:val="报告正文 Char1"/>
    <w:link w:val="229"/>
    <w:qFormat/>
    <w:uiPriority w:val="0"/>
    <w:rPr>
      <w:rFonts w:eastAsia="ˎ̥"/>
      <w:kern w:val="2"/>
      <w:sz w:val="24"/>
    </w:rPr>
  </w:style>
  <w:style w:type="paragraph" w:customStyle="1" w:styleId="229">
    <w:name w:val="报告正文"/>
    <w:basedOn w:val="1"/>
    <w:next w:val="1"/>
    <w:link w:val="228"/>
    <w:qFormat/>
    <w:uiPriority w:val="0"/>
    <w:pPr>
      <w:spacing w:line="360" w:lineRule="auto"/>
    </w:pPr>
    <w:rPr>
      <w:rFonts w:eastAsia="ˎ̥"/>
      <w:sz w:val="24"/>
      <w:szCs w:val="20"/>
    </w:rPr>
  </w:style>
  <w:style w:type="character" w:customStyle="1" w:styleId="230">
    <w:name w:val="纯文本 Char"/>
    <w:qFormat/>
    <w:uiPriority w:val="0"/>
    <w:rPr>
      <w:rFonts w:ascii="宋体" w:hAnsi="Courier New" w:cs="Courier New"/>
      <w:kern w:val="2"/>
      <w:sz w:val="21"/>
      <w:szCs w:val="21"/>
    </w:rPr>
  </w:style>
  <w:style w:type="character" w:customStyle="1" w:styleId="231">
    <w:name w:val="znspantitle"/>
    <w:qFormat/>
    <w:uiPriority w:val="0"/>
    <w:rPr>
      <w:b/>
      <w:bCs/>
      <w:color w:val="333333"/>
    </w:rPr>
  </w:style>
  <w:style w:type="character" w:customStyle="1" w:styleId="232">
    <w:name w:val="普通(网站) Char"/>
    <w:qFormat/>
    <w:locked/>
    <w:uiPriority w:val="0"/>
    <w:rPr>
      <w:rFonts w:ascii="宋体" w:hAnsi="宋体" w:eastAsia="宋体"/>
      <w:sz w:val="24"/>
    </w:rPr>
  </w:style>
  <w:style w:type="character" w:customStyle="1" w:styleId="233">
    <w:name w:val="尾注文本 Char1"/>
    <w:qFormat/>
    <w:uiPriority w:val="0"/>
    <w:rPr>
      <w:kern w:val="2"/>
      <w:sz w:val="21"/>
      <w:szCs w:val="24"/>
    </w:rPr>
  </w:style>
  <w:style w:type="character" w:customStyle="1" w:styleId="234">
    <w:name w:val="kait"/>
    <w:qFormat/>
    <w:uiPriority w:val="0"/>
  </w:style>
  <w:style w:type="character" w:customStyle="1" w:styleId="235">
    <w:name w:val="批注文字 字符1"/>
    <w:semiHidden/>
    <w:qFormat/>
    <w:uiPriority w:val="0"/>
    <w:rPr>
      <w:rFonts w:ascii="Times New Roman" w:hAnsi="Times New Roman" w:eastAsia="宋体" w:cs="Times New Roman"/>
      <w:sz w:val="24"/>
      <w:szCs w:val="24"/>
    </w:rPr>
  </w:style>
  <w:style w:type="character" w:customStyle="1" w:styleId="236">
    <w:name w:val="样式 样式 首行缩进:  2 字符 行距: 最小值 24 磅 + 首行缩进:  2 字符 Char Char"/>
    <w:link w:val="237"/>
    <w:qFormat/>
    <w:uiPriority w:val="0"/>
    <w:rPr>
      <w:rFonts w:eastAsia="ˎ̥"/>
      <w:kern w:val="2"/>
      <w:sz w:val="24"/>
    </w:rPr>
  </w:style>
  <w:style w:type="paragraph" w:customStyle="1" w:styleId="237">
    <w:name w:val="样式 样式 首行缩进:  2 字符 行距: 最小值 24 磅 + 首行缩进:  2 字符 Char"/>
    <w:basedOn w:val="1"/>
    <w:link w:val="236"/>
    <w:qFormat/>
    <w:uiPriority w:val="0"/>
    <w:pPr>
      <w:spacing w:line="480" w:lineRule="atLeast"/>
      <w:ind w:firstLine="480" w:firstLineChars="200"/>
    </w:pPr>
    <w:rPr>
      <w:rFonts w:eastAsia="ˎ̥"/>
      <w:sz w:val="24"/>
      <w:szCs w:val="20"/>
    </w:rPr>
  </w:style>
  <w:style w:type="character" w:customStyle="1" w:styleId="238">
    <w:name w:val="样式 正文文本缩进 2正文文字缩进 2 + 四号 蓝色 Char Char Char"/>
    <w:link w:val="239"/>
    <w:qFormat/>
    <w:uiPriority w:val="0"/>
    <w:rPr>
      <w:rFonts w:ascii="ˎ̥" w:hAnsi="ˎ̥" w:eastAsia="ˎ̥"/>
      <w:color w:val="0000FF"/>
      <w:sz w:val="24"/>
    </w:rPr>
  </w:style>
  <w:style w:type="paragraph" w:customStyle="1" w:styleId="239">
    <w:name w:val="样式 正文文本缩进 2正文文字缩进 2 + 四号 蓝色 Char Char"/>
    <w:basedOn w:val="43"/>
    <w:link w:val="238"/>
    <w:qFormat/>
    <w:uiPriority w:val="0"/>
    <w:pPr>
      <w:adjustRightInd w:val="0"/>
      <w:spacing w:line="480" w:lineRule="exact"/>
      <w:ind w:firstLine="709" w:firstLineChars="0"/>
      <w:textAlignment w:val="baseline"/>
    </w:pPr>
    <w:rPr>
      <w:rFonts w:ascii="ˎ̥" w:eastAsia="ˎ̥"/>
      <w:color w:val="0000FF"/>
      <w:kern w:val="0"/>
    </w:rPr>
  </w:style>
  <w:style w:type="character" w:customStyle="1" w:styleId="240">
    <w:name w:val="正文文本缩进 Char Char"/>
    <w:qFormat/>
    <w:uiPriority w:val="0"/>
    <w:rPr>
      <w:rFonts w:ascii="ˎ̥" w:hAnsi="ˎ̥" w:eastAsia="ˎ̥"/>
      <w:color w:val="000000"/>
      <w:kern w:val="2"/>
      <w:sz w:val="21"/>
      <w:lang w:val="zh-CN" w:eastAsia="zh-CN"/>
    </w:rPr>
  </w:style>
  <w:style w:type="character" w:customStyle="1" w:styleId="241">
    <w:name w:val="正文文本缩进 31"/>
    <w:qFormat/>
    <w:uiPriority w:val="0"/>
    <w:rPr>
      <w:rFonts w:eastAsia="ˎ̥"/>
      <w:b/>
      <w:kern w:val="2"/>
      <w:sz w:val="24"/>
      <w:lang w:val="en-US" w:eastAsia="zh-CN"/>
    </w:rPr>
  </w:style>
  <w:style w:type="character" w:customStyle="1" w:styleId="242">
    <w:name w:val="正文文字 Char1"/>
    <w:qFormat/>
    <w:uiPriority w:val="0"/>
    <w:rPr>
      <w:rFonts w:ascii="ˎ̥" w:hAnsi="ˎ̥" w:eastAsia="ˎ̥"/>
      <w:kern w:val="2"/>
      <w:sz w:val="24"/>
      <w:lang w:val="en-US" w:eastAsia="zh-CN"/>
    </w:rPr>
  </w:style>
  <w:style w:type="character" w:customStyle="1" w:styleId="243">
    <w:name w:val="正文2 Char"/>
    <w:link w:val="244"/>
    <w:qFormat/>
    <w:uiPriority w:val="0"/>
    <w:rPr>
      <w:rFonts w:ascii="ˎ̥" w:hAnsi="ˎ̥" w:eastAsia="ˎ̥"/>
      <w:kern w:val="2"/>
      <w:sz w:val="24"/>
    </w:rPr>
  </w:style>
  <w:style w:type="paragraph" w:customStyle="1" w:styleId="244">
    <w:name w:val="正文2"/>
    <w:basedOn w:val="1"/>
    <w:link w:val="243"/>
    <w:qFormat/>
    <w:uiPriority w:val="0"/>
    <w:pPr>
      <w:spacing w:line="360" w:lineRule="auto"/>
      <w:ind w:firstLine="480" w:firstLineChars="200"/>
    </w:pPr>
    <w:rPr>
      <w:rFonts w:ascii="ˎ̥" w:hAnsi="ˎ̥" w:eastAsia="ˎ̥"/>
      <w:sz w:val="24"/>
      <w:szCs w:val="20"/>
    </w:rPr>
  </w:style>
  <w:style w:type="character" w:customStyle="1" w:styleId="245">
    <w:name w:val="正文文本 3 Char1"/>
    <w:qFormat/>
    <w:uiPriority w:val="0"/>
    <w:rPr>
      <w:kern w:val="2"/>
      <w:sz w:val="16"/>
      <w:szCs w:val="16"/>
    </w:rPr>
  </w:style>
  <w:style w:type="character" w:customStyle="1" w:styleId="246">
    <w:name w:val="正文文本 2 Char1"/>
    <w:qFormat/>
    <w:uiPriority w:val="0"/>
    <w:rPr>
      <w:kern w:val="2"/>
      <w:sz w:val="21"/>
      <w:szCs w:val="24"/>
    </w:rPr>
  </w:style>
  <w:style w:type="paragraph" w:customStyle="1" w:styleId="247">
    <w:name w:val="标题4"/>
    <w:basedOn w:val="62"/>
    <w:next w:val="158"/>
    <w:qFormat/>
    <w:uiPriority w:val="0"/>
    <w:pPr>
      <w:spacing w:before="0" w:after="0" w:line="480" w:lineRule="exact"/>
      <w:jc w:val="left"/>
      <w:outlineLvl w:val="3"/>
    </w:pPr>
    <w:rPr>
      <w:rFonts w:ascii="Times New Roman" w:hAnsi="Times New Roman"/>
      <w:sz w:val="24"/>
      <w:szCs w:val="24"/>
    </w:rPr>
  </w:style>
  <w:style w:type="paragraph" w:customStyle="1" w:styleId="248">
    <w:name w:val="xl32"/>
    <w:basedOn w:val="1"/>
    <w:qFormat/>
    <w:uiPriority w:val="0"/>
    <w:pPr>
      <w:widowControl/>
      <w:spacing w:before="100" w:beforeAutospacing="1" w:after="100" w:afterAutospacing="1"/>
      <w:jc w:val="center"/>
      <w:textAlignment w:val="top"/>
    </w:pPr>
    <w:rPr>
      <w:rFonts w:ascii="ˎ̥" w:hAnsi="ˎ̥" w:eastAsia="ˎ̥"/>
      <w:b/>
      <w:kern w:val="0"/>
      <w:sz w:val="32"/>
      <w:szCs w:val="20"/>
    </w:rPr>
  </w:style>
  <w:style w:type="paragraph" w:customStyle="1" w:styleId="249">
    <w:name w:val="表头8"/>
    <w:basedOn w:val="250"/>
    <w:qFormat/>
    <w:uiPriority w:val="0"/>
    <w:pPr>
      <w:tabs>
        <w:tab w:val="left" w:pos="625"/>
        <w:tab w:val="left" w:pos="843"/>
        <w:tab w:val="left" w:pos="903"/>
        <w:tab w:val="left" w:pos="1728"/>
        <w:tab w:val="left" w:pos="1774"/>
      </w:tabs>
      <w:ind w:left="845"/>
    </w:pPr>
  </w:style>
  <w:style w:type="paragraph" w:customStyle="1" w:styleId="250">
    <w:name w:val="表头6"/>
    <w:basedOn w:val="251"/>
    <w:qFormat/>
    <w:uiPriority w:val="0"/>
    <w:pPr>
      <w:tabs>
        <w:tab w:val="left" w:pos="625"/>
        <w:tab w:val="left" w:pos="843"/>
        <w:tab w:val="left" w:pos="1774"/>
      </w:tabs>
      <w:ind w:left="992" w:leftChars="0" w:hanging="363"/>
    </w:pPr>
  </w:style>
  <w:style w:type="paragraph" w:customStyle="1" w:styleId="251">
    <w:name w:val="表头5"/>
    <w:basedOn w:val="1"/>
    <w:qFormat/>
    <w:uiPriority w:val="0"/>
    <w:pPr>
      <w:tabs>
        <w:tab w:val="left" w:pos="625"/>
      </w:tabs>
      <w:adjustRightInd w:val="0"/>
      <w:snapToGrid w:val="0"/>
      <w:spacing w:beforeLines="100" w:afterLines="50" w:line="240" w:lineRule="atLeast"/>
      <w:ind w:left="950" w:leftChars="250" w:hanging="425"/>
    </w:pPr>
    <w:rPr>
      <w:b/>
      <w:sz w:val="24"/>
      <w:szCs w:val="20"/>
    </w:rPr>
  </w:style>
  <w:style w:type="paragraph" w:customStyle="1" w:styleId="252">
    <w:name w:val="样式 粉红 首行缩进:  2 字符"/>
    <w:basedOn w:val="1"/>
    <w:qFormat/>
    <w:uiPriority w:val="0"/>
    <w:pPr>
      <w:spacing w:line="480" w:lineRule="exact"/>
      <w:ind w:firstLine="480" w:firstLineChars="200"/>
    </w:pPr>
    <w:rPr>
      <w:color w:val="FF0000"/>
      <w:sz w:val="24"/>
      <w:szCs w:val="20"/>
    </w:rPr>
  </w:style>
  <w:style w:type="paragraph" w:customStyle="1" w:styleId="253">
    <w:name w:val="样式 正文文字 + 首行缩进:  2 字符 行距: 最小值 24 磅"/>
    <w:basedOn w:val="1"/>
    <w:qFormat/>
    <w:uiPriority w:val="0"/>
    <w:pPr>
      <w:adjustRightInd w:val="0"/>
      <w:snapToGrid w:val="0"/>
      <w:spacing w:line="480" w:lineRule="atLeast"/>
      <w:ind w:firstLine="480" w:firstLineChars="200"/>
    </w:pPr>
    <w:rPr>
      <w:sz w:val="24"/>
      <w:szCs w:val="20"/>
    </w:rPr>
  </w:style>
  <w:style w:type="paragraph" w:customStyle="1" w:styleId="254">
    <w:name w:val="xl40"/>
    <w:basedOn w:val="1"/>
    <w:qFormat/>
    <w:uiPriority w:val="0"/>
    <w:pPr>
      <w:widowControl/>
      <w:pBdr>
        <w:left w:val="single" w:color="auto" w:sz="4" w:space="0"/>
        <w:right w:val="single" w:color="auto" w:sz="4" w:space="0"/>
      </w:pBdr>
      <w:spacing w:before="100" w:beforeAutospacing="1" w:after="100" w:afterAutospacing="1"/>
      <w:jc w:val="left"/>
      <w:textAlignment w:val="center"/>
    </w:pPr>
    <w:rPr>
      <w:kern w:val="0"/>
      <w:sz w:val="18"/>
      <w:szCs w:val="20"/>
    </w:rPr>
  </w:style>
  <w:style w:type="paragraph" w:customStyle="1" w:styleId="255">
    <w:name w:val="正式表格"/>
    <w:basedOn w:val="256"/>
    <w:qFormat/>
    <w:uiPriority w:val="0"/>
    <w:pPr>
      <w:spacing w:before="60" w:after="60" w:line="240" w:lineRule="auto"/>
      <w:ind w:firstLine="0"/>
      <w:jc w:val="center"/>
      <w:textAlignment w:val="auto"/>
    </w:pPr>
    <w:rPr>
      <w:sz w:val="24"/>
    </w:rPr>
  </w:style>
  <w:style w:type="paragraph" w:customStyle="1" w:styleId="256">
    <w:name w:val="正式文字"/>
    <w:basedOn w:val="38"/>
    <w:qFormat/>
    <w:uiPriority w:val="0"/>
    <w:pPr>
      <w:adjustRightInd w:val="0"/>
      <w:snapToGrid w:val="0"/>
      <w:spacing w:line="312" w:lineRule="auto"/>
      <w:ind w:firstLine="567"/>
      <w:textAlignment w:val="baseline"/>
    </w:pPr>
    <w:rPr>
      <w:rFonts w:eastAsia="宋体"/>
      <w:spacing w:val="6"/>
      <w:sz w:val="28"/>
    </w:rPr>
  </w:style>
  <w:style w:type="paragraph" w:customStyle="1" w:styleId="257">
    <w:name w:val="main"/>
    <w:basedOn w:val="1"/>
    <w:qFormat/>
    <w:uiPriority w:val="0"/>
    <w:pPr>
      <w:widowControl/>
      <w:spacing w:before="100" w:beforeAutospacing="1" w:after="100" w:afterAutospacing="1"/>
      <w:ind w:firstLine="400"/>
      <w:jc w:val="left"/>
    </w:pPr>
    <w:rPr>
      <w:rFonts w:eastAsia="ˎ̥"/>
      <w:color w:val="0033CC"/>
      <w:kern w:val="0"/>
      <w:sz w:val="18"/>
      <w:szCs w:val="20"/>
    </w:rPr>
  </w:style>
  <w:style w:type="paragraph" w:customStyle="1" w:styleId="258">
    <w:name w:val="表格内文字"/>
    <w:basedOn w:val="4"/>
    <w:qFormat/>
    <w:uiPriority w:val="0"/>
    <w:pPr>
      <w:widowControl w:val="0"/>
      <w:snapToGrid/>
      <w:spacing w:before="0" w:after="0" w:line="320" w:lineRule="exact"/>
      <w:ind w:right="0"/>
      <w:jc w:val="center"/>
    </w:pPr>
    <w:rPr>
      <w:spacing w:val="10"/>
      <w:kern w:val="2"/>
      <w:sz w:val="24"/>
      <w:szCs w:val="20"/>
    </w:rPr>
  </w:style>
  <w:style w:type="paragraph" w:customStyle="1" w:styleId="259">
    <w:name w:val="封皮字体1"/>
    <w:basedOn w:val="1"/>
    <w:qFormat/>
    <w:uiPriority w:val="0"/>
    <w:pPr>
      <w:spacing w:line="360" w:lineRule="auto"/>
      <w:jc w:val="center"/>
    </w:pPr>
    <w:rPr>
      <w:rFonts w:ascii="ˎ̥" w:eastAsia="ˎ̥"/>
      <w:sz w:val="44"/>
      <w:szCs w:val="20"/>
    </w:rPr>
  </w:style>
  <w:style w:type="paragraph" w:customStyle="1" w:styleId="260">
    <w:name w:val="章标题"/>
    <w:next w:val="1"/>
    <w:qFormat/>
    <w:uiPriority w:val="0"/>
    <w:pPr>
      <w:tabs>
        <w:tab w:val="left" w:pos="567"/>
        <w:tab w:val="left" w:pos="903"/>
        <w:tab w:val="left" w:pos="1320"/>
      </w:tabs>
      <w:spacing w:before="50" w:after="50"/>
      <w:ind w:left="903" w:hanging="315"/>
      <w:jc w:val="both"/>
      <w:outlineLvl w:val="1"/>
    </w:pPr>
    <w:rPr>
      <w:rFonts w:ascii="ˎ̥" w:hAnsi="Times New Roman" w:eastAsia="ˎ̥" w:cs="Times New Roman"/>
      <w:sz w:val="21"/>
      <w:lang w:val="en-US" w:eastAsia="zh-CN" w:bidi="ar-SA"/>
    </w:rPr>
  </w:style>
  <w:style w:type="paragraph" w:customStyle="1" w:styleId="261">
    <w:name w:val="WPS Plain"/>
    <w:qFormat/>
    <w:uiPriority w:val="0"/>
    <w:rPr>
      <w:rFonts w:ascii="Times New Roman" w:hAnsi="Times New Roman" w:eastAsia="宋体" w:cs="ˎ̥"/>
      <w:color w:val="000000"/>
      <w:kern w:val="2"/>
      <w:sz w:val="24"/>
      <w:szCs w:val="24"/>
      <w:lang w:val="en-US" w:eastAsia="zh-CN" w:bidi="ar-SA"/>
    </w:rPr>
  </w:style>
  <w:style w:type="paragraph" w:customStyle="1" w:styleId="262">
    <w:name w:val="样式 题目 + 左侧:  1 字符 右侧:  1 字符"/>
    <w:basedOn w:val="7"/>
    <w:qFormat/>
    <w:uiPriority w:val="0"/>
    <w:pPr>
      <w:overflowPunct/>
      <w:adjustRightInd w:val="0"/>
      <w:spacing w:before="100" w:beforeAutospacing="1" w:after="100" w:afterAutospacing="1" w:line="360" w:lineRule="auto"/>
      <w:ind w:left="0" w:right="238" w:firstLine="0"/>
      <w:jc w:val="center"/>
    </w:pPr>
    <w:rPr>
      <w:rFonts w:eastAsia="ˎ̥"/>
      <w:bCs w:val="0"/>
      <w:snapToGrid w:val="0"/>
      <w:color w:val="auto"/>
      <w:kern w:val="0"/>
      <w:sz w:val="24"/>
      <w:szCs w:val="20"/>
    </w:rPr>
  </w:style>
  <w:style w:type="paragraph" w:customStyle="1" w:styleId="263">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ˎ̥" w:hAnsi="ˎ̥"/>
      <w:kern w:val="0"/>
      <w:szCs w:val="20"/>
    </w:rPr>
  </w:style>
  <w:style w:type="paragraph" w:customStyle="1" w:styleId="264">
    <w:name w:val="正文内容"/>
    <w:basedOn w:val="1"/>
    <w:qFormat/>
    <w:uiPriority w:val="0"/>
    <w:pPr>
      <w:spacing w:line="360" w:lineRule="auto"/>
      <w:ind w:firstLine="200" w:firstLineChars="200"/>
    </w:pPr>
    <w:rPr>
      <w:rFonts w:ascii="ˎ̥"/>
      <w:sz w:val="24"/>
      <w:szCs w:val="20"/>
    </w:rPr>
  </w:style>
  <w:style w:type="paragraph" w:customStyle="1" w:styleId="265">
    <w:name w:val="1"/>
    <w:basedOn w:val="1"/>
    <w:next w:val="38"/>
    <w:qFormat/>
    <w:uiPriority w:val="0"/>
    <w:rPr>
      <w:rFonts w:ascii="ˎ̥" w:hAnsi="ˎ̥"/>
      <w:szCs w:val="20"/>
    </w:rPr>
  </w:style>
  <w:style w:type="paragraph" w:customStyle="1" w:styleId="266">
    <w:name w:val="样式 标题 1 + 首行缩进:  2 字符"/>
    <w:basedOn w:val="7"/>
    <w:qFormat/>
    <w:uiPriority w:val="0"/>
    <w:pPr>
      <w:overflowPunct/>
      <w:snapToGrid/>
      <w:spacing w:before="240" w:after="240" w:line="440" w:lineRule="atLeast"/>
      <w:ind w:left="0" w:firstLine="0"/>
    </w:pPr>
    <w:rPr>
      <w:rFonts w:eastAsia="宋体"/>
      <w:bCs w:val="0"/>
      <w:color w:val="auto"/>
      <w:szCs w:val="20"/>
    </w:rPr>
  </w:style>
  <w:style w:type="paragraph" w:customStyle="1" w:styleId="267">
    <w:name w:val="表格居中"/>
    <w:basedOn w:val="1"/>
    <w:qFormat/>
    <w:uiPriority w:val="0"/>
    <w:pPr>
      <w:jc w:val="center"/>
    </w:pPr>
    <w:rPr>
      <w:sz w:val="24"/>
      <w:szCs w:val="20"/>
    </w:rPr>
  </w:style>
  <w:style w:type="paragraph" w:customStyle="1" w:styleId="268">
    <w:name w:val="项目符号1"/>
    <w:basedOn w:val="1"/>
    <w:qFormat/>
    <w:uiPriority w:val="0"/>
    <w:pPr>
      <w:tabs>
        <w:tab w:val="left" w:pos="1200"/>
      </w:tabs>
      <w:overflowPunct w:val="0"/>
      <w:snapToGrid w:val="0"/>
      <w:spacing w:line="480" w:lineRule="exact"/>
      <w:ind w:left="1200" w:firstLine="567"/>
    </w:pPr>
    <w:rPr>
      <w:rFonts w:ascii="ˎ̥" w:hAnsi="ˎ̥" w:eastAsia="ˎ̥"/>
      <w:sz w:val="28"/>
      <w:szCs w:val="20"/>
    </w:rPr>
  </w:style>
  <w:style w:type="paragraph" w:customStyle="1" w:styleId="269">
    <w:name w:val="大妹正文 Char"/>
    <w:basedOn w:val="7"/>
    <w:qFormat/>
    <w:uiPriority w:val="0"/>
    <w:pPr>
      <w:keepNext w:val="0"/>
      <w:overflowPunct/>
      <w:snapToGrid/>
      <w:spacing w:before="0" w:afterLines="100" w:line="240" w:lineRule="exact"/>
      <w:ind w:left="-126" w:leftChars="-60" w:right="-54" w:rightChars="-54" w:firstLine="0"/>
      <w:jc w:val="left"/>
      <w:outlineLvl w:val="9"/>
    </w:pPr>
    <w:rPr>
      <w:rFonts w:ascii="ˎ̥" w:eastAsia="宋体"/>
      <w:b w:val="0"/>
      <w:bCs w:val="0"/>
      <w:color w:val="auto"/>
      <w:sz w:val="24"/>
      <w:szCs w:val="20"/>
    </w:rPr>
  </w:style>
  <w:style w:type="paragraph" w:customStyle="1" w:styleId="270">
    <w:name w:val="zhang正文"/>
    <w:basedOn w:val="31"/>
    <w:qFormat/>
    <w:uiPriority w:val="0"/>
    <w:pPr>
      <w:autoSpaceDE w:val="0"/>
      <w:autoSpaceDN w:val="0"/>
      <w:adjustRightInd w:val="0"/>
      <w:snapToGrid w:val="0"/>
      <w:spacing w:after="0" w:line="360" w:lineRule="auto"/>
      <w:ind w:left="0" w:leftChars="0" w:firstLine="539"/>
      <w:textAlignment w:val="baseline"/>
    </w:pPr>
    <w:rPr>
      <w:rFonts w:eastAsia="ˎ̥"/>
      <w:kern w:val="0"/>
      <w:sz w:val="28"/>
      <w:szCs w:val="20"/>
    </w:rPr>
  </w:style>
  <w:style w:type="paragraph" w:customStyle="1" w:styleId="271">
    <w:name w:val="Char Char Char Char Char Char1 Char Char Char Char"/>
    <w:basedOn w:val="1"/>
    <w:qFormat/>
    <w:uiPriority w:val="0"/>
    <w:pPr>
      <w:widowControl/>
      <w:spacing w:after="160" w:line="240" w:lineRule="exact"/>
      <w:jc w:val="left"/>
    </w:pPr>
    <w:rPr>
      <w:rFonts w:ascii="ˎ̥" w:hAnsi="ˎ̥"/>
      <w:kern w:val="0"/>
      <w:sz w:val="20"/>
      <w:szCs w:val="20"/>
      <w:lang w:eastAsia="en-US"/>
    </w:rPr>
  </w:style>
  <w:style w:type="paragraph" w:customStyle="1" w:styleId="272">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szCs w:val="20"/>
    </w:rPr>
  </w:style>
  <w:style w:type="paragraph" w:customStyle="1" w:styleId="273">
    <w:name w:val="样式 样式 四号 首行缩进:  2 字符 + 首行缩进:  2 字符"/>
    <w:basedOn w:val="1"/>
    <w:qFormat/>
    <w:uiPriority w:val="0"/>
    <w:pPr>
      <w:spacing w:line="480" w:lineRule="atLeast"/>
      <w:ind w:firstLine="480" w:firstLineChars="200"/>
    </w:pPr>
    <w:rPr>
      <w:sz w:val="24"/>
      <w:szCs w:val="20"/>
    </w:rPr>
  </w:style>
  <w:style w:type="paragraph" w:customStyle="1" w:styleId="274">
    <w:name w:val="表格左对齐"/>
    <w:basedOn w:val="1"/>
    <w:qFormat/>
    <w:uiPriority w:val="0"/>
    <w:pPr>
      <w:spacing w:line="264" w:lineRule="auto"/>
      <w:jc w:val="center"/>
    </w:pPr>
    <w:rPr>
      <w:rFonts w:eastAsia="ˎ̥"/>
      <w:szCs w:val="20"/>
    </w:rPr>
  </w:style>
  <w:style w:type="paragraph" w:customStyle="1" w:styleId="275">
    <w:name w:val="Char1 Char Char Char2"/>
    <w:basedOn w:val="1"/>
    <w:qFormat/>
    <w:uiPriority w:val="0"/>
    <w:pPr>
      <w:snapToGrid w:val="0"/>
      <w:spacing w:line="360" w:lineRule="auto"/>
      <w:ind w:firstLine="529" w:firstLineChars="200"/>
    </w:pPr>
    <w:rPr>
      <w:rFonts w:ascii="ˎ̥" w:hAnsi="ˎ̥"/>
      <w:b/>
      <w:szCs w:val="20"/>
    </w:rPr>
  </w:style>
  <w:style w:type="paragraph" w:customStyle="1" w:styleId="276">
    <w:name w:val="样式 样式 标题 4 + 首行缩进:  2 字符1 + 首行缩进:  2 字符"/>
    <w:basedOn w:val="277"/>
    <w:qFormat/>
    <w:uiPriority w:val="0"/>
    <w:pPr>
      <w:ind w:firstLine="482"/>
    </w:pPr>
    <w:rPr>
      <w:rFonts w:ascii="Times New Roman" w:hAnsi="Times New Roman"/>
    </w:rPr>
  </w:style>
  <w:style w:type="paragraph" w:customStyle="1" w:styleId="277">
    <w:name w:val="样式 标题 4 + 首行缩进:  2 字符1"/>
    <w:basedOn w:val="10"/>
    <w:qFormat/>
    <w:uiPriority w:val="0"/>
    <w:pPr>
      <w:adjustRightInd w:val="0"/>
      <w:snapToGrid w:val="0"/>
      <w:spacing w:before="0" w:after="0" w:line="480" w:lineRule="atLeast"/>
      <w:ind w:firstLine="480" w:firstLineChars="200"/>
    </w:pPr>
    <w:rPr>
      <w:bCs w:val="0"/>
      <w:sz w:val="24"/>
      <w:szCs w:val="20"/>
    </w:rPr>
  </w:style>
  <w:style w:type="paragraph" w:customStyle="1" w:styleId="278">
    <w:name w:val="样式 正文首行缩进 2 + 首行缩进:  2 字符"/>
    <w:basedOn w:val="65"/>
    <w:qFormat/>
    <w:uiPriority w:val="0"/>
    <w:pPr>
      <w:ind w:left="0" w:leftChars="0" w:firstLine="480"/>
    </w:pPr>
  </w:style>
  <w:style w:type="paragraph" w:customStyle="1" w:styleId="279">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ˎ̥" w:hAnsi="ˎ̥" w:eastAsia="ˎ̥"/>
      <w:kern w:val="0"/>
      <w:sz w:val="20"/>
      <w:szCs w:val="20"/>
    </w:rPr>
  </w:style>
  <w:style w:type="paragraph" w:customStyle="1" w:styleId="280">
    <w:name w:val="样式4"/>
    <w:basedOn w:val="1"/>
    <w:qFormat/>
    <w:uiPriority w:val="0"/>
    <w:pPr>
      <w:snapToGrid w:val="0"/>
      <w:spacing w:line="460" w:lineRule="exact"/>
      <w:ind w:firstLine="420"/>
    </w:pPr>
    <w:rPr>
      <w:rFonts w:ascii="ˎ̥" w:hAnsi="ˎ̥"/>
      <w:sz w:val="24"/>
      <w:szCs w:val="20"/>
    </w:rPr>
  </w:style>
  <w:style w:type="paragraph" w:customStyle="1" w:styleId="281">
    <w:name w:val="正文-中宋 小4"/>
    <w:qFormat/>
    <w:uiPriority w:val="0"/>
    <w:pPr>
      <w:overflowPunct w:val="0"/>
      <w:autoSpaceDE w:val="0"/>
      <w:autoSpaceDN w:val="0"/>
      <w:adjustRightInd w:val="0"/>
      <w:snapToGrid w:val="0"/>
      <w:spacing w:line="500" w:lineRule="exact"/>
      <w:ind w:firstLine="480" w:firstLineChars="200"/>
      <w:textAlignment w:val="center"/>
    </w:pPr>
    <w:rPr>
      <w:rFonts w:ascii="Times New Roman" w:hAnsi="Times New Roman" w:eastAsia="ˎ̥" w:cs="Times New Roman"/>
      <w:sz w:val="24"/>
      <w:lang w:val="en-US" w:eastAsia="zh-CN" w:bidi="ar-SA"/>
    </w:rPr>
  </w:style>
  <w:style w:type="paragraph" w:customStyle="1" w:styleId="282">
    <w:name w:val="表格内正文"/>
    <w:qFormat/>
    <w:uiPriority w:val="0"/>
    <w:pPr>
      <w:widowControl w:val="0"/>
      <w:spacing w:line="360" w:lineRule="exact"/>
      <w:ind w:firstLine="420" w:firstLineChars="200"/>
      <w:jc w:val="both"/>
    </w:pPr>
    <w:rPr>
      <w:rFonts w:ascii="Times New Roman" w:hAnsi="Times New Roman" w:eastAsia="宋体" w:cs="Times New Roman"/>
      <w:kern w:val="2"/>
      <w:sz w:val="21"/>
      <w:lang w:val="en-US" w:eastAsia="zh-CN" w:bidi="ar-SA"/>
    </w:rPr>
  </w:style>
  <w:style w:type="paragraph" w:customStyle="1" w:styleId="283">
    <w:name w:val="Char1 Char Char Char1"/>
    <w:basedOn w:val="1"/>
    <w:qFormat/>
    <w:uiPriority w:val="0"/>
    <w:pPr>
      <w:snapToGrid w:val="0"/>
      <w:spacing w:line="360" w:lineRule="auto"/>
      <w:ind w:firstLine="529" w:firstLineChars="200"/>
    </w:pPr>
    <w:rPr>
      <w:rFonts w:ascii="ˎ̥" w:hAnsi="ˎ̥"/>
      <w:b/>
      <w:szCs w:val="20"/>
    </w:rPr>
  </w:style>
  <w:style w:type="paragraph" w:customStyle="1" w:styleId="284">
    <w:name w:val="正文样式1"/>
    <w:basedOn w:val="1"/>
    <w:qFormat/>
    <w:uiPriority w:val="0"/>
    <w:pPr>
      <w:adjustRightInd w:val="0"/>
      <w:snapToGrid w:val="0"/>
      <w:spacing w:line="360" w:lineRule="auto"/>
      <w:ind w:firstLine="510"/>
      <w:textAlignment w:val="baseline"/>
    </w:pPr>
    <w:rPr>
      <w:kern w:val="24"/>
      <w:sz w:val="24"/>
      <w:szCs w:val="20"/>
    </w:rPr>
  </w:style>
  <w:style w:type="paragraph" w:customStyle="1" w:styleId="285">
    <w:name w:val="样式 五号 居中 行距: 最小值 18 磅"/>
    <w:basedOn w:val="1"/>
    <w:qFormat/>
    <w:uiPriority w:val="0"/>
    <w:pPr>
      <w:spacing w:line="360" w:lineRule="atLeast"/>
      <w:jc w:val="center"/>
    </w:pPr>
    <w:rPr>
      <w:szCs w:val="20"/>
    </w:rPr>
  </w:style>
  <w:style w:type="paragraph" w:customStyle="1" w:styleId="286">
    <w:name w:val="五级条标题"/>
    <w:basedOn w:val="287"/>
    <w:next w:val="1"/>
    <w:qFormat/>
    <w:uiPriority w:val="0"/>
    <w:pPr>
      <w:tabs>
        <w:tab w:val="left" w:pos="360"/>
        <w:tab w:val="left" w:pos="709"/>
        <w:tab w:val="left" w:pos="851"/>
        <w:tab w:val="left" w:pos="992"/>
        <w:tab w:val="left" w:pos="1134"/>
        <w:tab w:val="left" w:pos="1276"/>
        <w:tab w:val="left" w:pos="1740"/>
        <w:tab w:val="left" w:pos="2160"/>
        <w:tab w:val="left" w:pos="2580"/>
        <w:tab w:val="left" w:pos="3000"/>
        <w:tab w:val="left" w:pos="3420"/>
      </w:tabs>
      <w:ind w:left="1276" w:hanging="1276"/>
      <w:outlineLvl w:val="6"/>
    </w:pPr>
  </w:style>
  <w:style w:type="paragraph" w:customStyle="1" w:styleId="287">
    <w:name w:val="四级条标题"/>
    <w:basedOn w:val="288"/>
    <w:next w:val="1"/>
    <w:qFormat/>
    <w:uiPriority w:val="0"/>
    <w:pPr>
      <w:tabs>
        <w:tab w:val="left" w:pos="360"/>
        <w:tab w:val="left" w:pos="709"/>
        <w:tab w:val="left" w:pos="851"/>
        <w:tab w:val="left" w:pos="992"/>
        <w:tab w:val="left" w:pos="1134"/>
        <w:tab w:val="left" w:pos="1740"/>
        <w:tab w:val="left" w:pos="2160"/>
        <w:tab w:val="left" w:pos="2580"/>
        <w:tab w:val="left" w:pos="3000"/>
      </w:tabs>
      <w:ind w:left="1134" w:hanging="1134"/>
      <w:outlineLvl w:val="5"/>
    </w:pPr>
  </w:style>
  <w:style w:type="paragraph" w:customStyle="1" w:styleId="288">
    <w:name w:val="三级条标题"/>
    <w:basedOn w:val="289"/>
    <w:next w:val="1"/>
    <w:qFormat/>
    <w:uiPriority w:val="0"/>
    <w:pPr>
      <w:tabs>
        <w:tab w:val="left" w:pos="360"/>
        <w:tab w:val="left" w:pos="709"/>
        <w:tab w:val="left" w:pos="851"/>
        <w:tab w:val="left" w:pos="992"/>
        <w:tab w:val="left" w:pos="1740"/>
        <w:tab w:val="left" w:pos="2160"/>
        <w:tab w:val="left" w:pos="2580"/>
      </w:tabs>
      <w:ind w:left="992" w:hanging="992"/>
      <w:outlineLvl w:val="4"/>
    </w:pPr>
  </w:style>
  <w:style w:type="paragraph" w:customStyle="1" w:styleId="289">
    <w:name w:val="二级条标题"/>
    <w:basedOn w:val="290"/>
    <w:next w:val="1"/>
    <w:qFormat/>
    <w:uiPriority w:val="0"/>
    <w:pPr>
      <w:tabs>
        <w:tab w:val="left" w:pos="360"/>
        <w:tab w:val="left" w:pos="709"/>
        <w:tab w:val="left" w:pos="851"/>
        <w:tab w:val="left" w:pos="1740"/>
        <w:tab w:val="left" w:pos="2160"/>
      </w:tabs>
      <w:ind w:left="851" w:hanging="851"/>
      <w:outlineLvl w:val="3"/>
    </w:pPr>
  </w:style>
  <w:style w:type="paragraph" w:customStyle="1" w:styleId="290">
    <w:name w:val="一级条标题"/>
    <w:basedOn w:val="260"/>
    <w:next w:val="1"/>
    <w:qFormat/>
    <w:uiPriority w:val="0"/>
    <w:pPr>
      <w:tabs>
        <w:tab w:val="left" w:pos="360"/>
        <w:tab w:val="left" w:pos="709"/>
        <w:tab w:val="left" w:pos="1740"/>
        <w:tab w:val="clear" w:pos="567"/>
        <w:tab w:val="clear" w:pos="903"/>
        <w:tab w:val="clear" w:pos="1320"/>
      </w:tabs>
      <w:spacing w:before="0" w:after="0"/>
      <w:ind w:left="709" w:hanging="709"/>
      <w:outlineLvl w:val="2"/>
    </w:pPr>
  </w:style>
  <w:style w:type="paragraph" w:customStyle="1" w:styleId="291">
    <w:name w:val="段落"/>
    <w:basedOn w:val="1"/>
    <w:qFormat/>
    <w:uiPriority w:val="0"/>
    <w:pPr>
      <w:widowControl/>
      <w:spacing w:beforeLines="100" w:line="288" w:lineRule="auto"/>
      <w:ind w:firstLine="420" w:firstLineChars="200"/>
      <w:jc w:val="left"/>
    </w:pPr>
    <w:rPr>
      <w:rFonts w:ascii="ˎ̥"/>
      <w:kern w:val="0"/>
      <w:szCs w:val="20"/>
    </w:rPr>
  </w:style>
  <w:style w:type="paragraph" w:customStyle="1" w:styleId="292">
    <w:name w:val="reader-word-layer reader-word-s7-1"/>
    <w:basedOn w:val="1"/>
    <w:qFormat/>
    <w:uiPriority w:val="0"/>
    <w:pPr>
      <w:widowControl/>
      <w:spacing w:before="100" w:beforeAutospacing="1" w:after="100" w:afterAutospacing="1"/>
      <w:jc w:val="left"/>
    </w:pPr>
    <w:rPr>
      <w:rFonts w:ascii="ˎ̥" w:hAnsi="ˎ̥" w:cs="ˎ̥"/>
      <w:kern w:val="0"/>
      <w:sz w:val="24"/>
    </w:rPr>
  </w:style>
  <w:style w:type="paragraph" w:customStyle="1" w:styleId="293">
    <w:name w:val="样式 标题 3标题 3 Char条标题1.1.13h33rd levelH3l3CT + 段前: 0.5 行 ..."/>
    <w:basedOn w:val="8"/>
    <w:qFormat/>
    <w:uiPriority w:val="0"/>
    <w:pPr>
      <w:widowControl w:val="0"/>
      <w:tabs>
        <w:tab w:val="left" w:pos="720"/>
        <w:tab w:val="left" w:pos="900"/>
        <w:tab w:val="left" w:pos="1260"/>
        <w:tab w:val="left" w:pos="1800"/>
      </w:tabs>
      <w:adjustRightInd w:val="0"/>
      <w:spacing w:beforeLines="50" w:afterLines="50"/>
      <w:ind w:left="1080" w:hanging="1080"/>
      <w:textAlignment w:val="baseline"/>
    </w:pPr>
    <w:rPr>
      <w:rFonts w:ascii="ˎ̥" w:hAnsi="ˎ̥"/>
      <w:sz w:val="28"/>
    </w:rPr>
  </w:style>
  <w:style w:type="paragraph" w:customStyle="1" w:styleId="294">
    <w:name w:val="样式 样式 样式 样式 样式 样式 样式 正文缩进 + 首行缩进:  2 字符1 + 首行缩进:  2 字符1 + 四号 + 首..."/>
    <w:basedOn w:val="1"/>
    <w:qFormat/>
    <w:uiPriority w:val="0"/>
    <w:pPr>
      <w:spacing w:line="520" w:lineRule="exact"/>
      <w:ind w:firstLine="592" w:firstLineChars="200"/>
    </w:pPr>
    <w:rPr>
      <w:rFonts w:ascii="ˎ̥" w:eastAsia="ˎ̥"/>
      <w:kern w:val="0"/>
      <w:sz w:val="28"/>
      <w:szCs w:val="20"/>
    </w:rPr>
  </w:style>
  <w:style w:type="paragraph" w:customStyle="1" w:styleId="295">
    <w:name w:val="图名"/>
    <w:basedOn w:val="1"/>
    <w:next w:val="1"/>
    <w:qFormat/>
    <w:uiPriority w:val="0"/>
    <w:pPr>
      <w:tabs>
        <w:tab w:val="left" w:pos="360"/>
        <w:tab w:val="left" w:pos="3780"/>
        <w:tab w:val="left" w:pos="4680"/>
      </w:tabs>
      <w:jc w:val="center"/>
    </w:pPr>
    <w:rPr>
      <w:b/>
      <w:sz w:val="24"/>
      <w:szCs w:val="20"/>
    </w:rPr>
  </w:style>
  <w:style w:type="paragraph" w:customStyle="1" w:styleId="296">
    <w:name w:val="xl63"/>
    <w:basedOn w:val="1"/>
    <w:qFormat/>
    <w:uiPriority w:val="0"/>
    <w:pPr>
      <w:widowControl/>
      <w:spacing w:before="100" w:after="100"/>
      <w:jc w:val="center"/>
      <w:textAlignment w:val="center"/>
    </w:pPr>
    <w:rPr>
      <w:rFonts w:hint="eastAsia" w:ascii="ˎ̥" w:hAnsi="ˎ̥" w:eastAsia="ˎ̥"/>
      <w:kern w:val="0"/>
      <w:sz w:val="24"/>
      <w:szCs w:val="20"/>
    </w:rPr>
  </w:style>
  <w:style w:type="paragraph" w:customStyle="1" w:styleId="297">
    <w:name w:val="块项目"/>
    <w:next w:val="1"/>
    <w:qFormat/>
    <w:uiPriority w:val="0"/>
    <w:pPr>
      <w:tabs>
        <w:tab w:val="left" w:pos="840"/>
      </w:tabs>
      <w:spacing w:before="120" w:after="120"/>
      <w:ind w:firstLine="420"/>
    </w:pPr>
    <w:rPr>
      <w:rFonts w:ascii="Times New Roman" w:hAnsi="Times New Roman" w:eastAsia="宋体" w:cs="Times New Roman"/>
      <w:b/>
      <w:spacing w:val="20"/>
      <w:sz w:val="24"/>
      <w:lang w:val="en-US" w:eastAsia="zh-CN" w:bidi="ar-SA"/>
    </w:rPr>
  </w:style>
  <w:style w:type="paragraph" w:customStyle="1" w:styleId="298">
    <w:name w:val="样式 首行缩进:  2 字符1"/>
    <w:basedOn w:val="1"/>
    <w:qFormat/>
    <w:uiPriority w:val="0"/>
    <w:pPr>
      <w:spacing w:line="480" w:lineRule="exact"/>
      <w:ind w:firstLine="420" w:firstLineChars="200"/>
    </w:pPr>
    <w:rPr>
      <w:rFonts w:ascii="ˎ̥"/>
      <w:kern w:val="0"/>
      <w:sz w:val="24"/>
      <w:szCs w:val="20"/>
    </w:rPr>
  </w:style>
  <w:style w:type="paragraph" w:customStyle="1" w:styleId="299">
    <w:name w:val="编号标题"/>
    <w:basedOn w:val="8"/>
    <w:qFormat/>
    <w:uiPriority w:val="0"/>
    <w:pPr>
      <w:widowControl w:val="0"/>
      <w:spacing w:before="160" w:after="0" w:line="460" w:lineRule="exact"/>
      <w:ind w:firstLine="420" w:firstLineChars="200"/>
      <w:outlineLvl w:val="9"/>
    </w:pPr>
    <w:rPr>
      <w:rFonts w:ascii="ˎ̥" w:hAnsi="ˎ̥"/>
      <w:color w:val="000000"/>
      <w:sz w:val="21"/>
    </w:rPr>
  </w:style>
  <w:style w:type="paragraph" w:customStyle="1" w:styleId="300">
    <w:name w:val="基准页眉样式"/>
    <w:basedOn w:val="4"/>
    <w:qFormat/>
    <w:uiPriority w:val="0"/>
    <w:pPr>
      <w:keepLines/>
      <w:tabs>
        <w:tab w:val="center" w:pos="-18551"/>
        <w:tab w:val="right" w:pos="4320"/>
      </w:tabs>
      <w:snapToGrid/>
      <w:spacing w:before="0" w:after="0" w:line="240" w:lineRule="atLeast"/>
      <w:ind w:right="0"/>
      <w:jc w:val="center"/>
    </w:pPr>
    <w:rPr>
      <w:rFonts w:ascii="ˎ̥" w:hAnsi="ˎ̥"/>
      <w:smallCaps/>
      <w:spacing w:val="15"/>
      <w:sz w:val="21"/>
      <w:szCs w:val="20"/>
    </w:rPr>
  </w:style>
  <w:style w:type="paragraph" w:customStyle="1" w:styleId="301">
    <w:name w:val="简单回函地址"/>
    <w:basedOn w:val="1"/>
    <w:qFormat/>
    <w:uiPriority w:val="0"/>
    <w:pPr>
      <w:keepNext/>
      <w:spacing w:line="400" w:lineRule="exact"/>
    </w:pPr>
    <w:rPr>
      <w:spacing w:val="8"/>
      <w:kern w:val="28"/>
      <w:sz w:val="24"/>
      <w:szCs w:val="20"/>
    </w:rPr>
  </w:style>
  <w:style w:type="paragraph" w:customStyle="1" w:styleId="30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ˎ̥" w:hAnsi="ˎ̥" w:eastAsia="ˎ̥"/>
      <w:color w:val="008000"/>
      <w:kern w:val="0"/>
      <w:sz w:val="20"/>
      <w:szCs w:val="20"/>
    </w:rPr>
  </w:style>
  <w:style w:type="paragraph" w:customStyle="1" w:styleId="303">
    <w:name w:val="样式 题注 + 首行缩进:  2 字符"/>
    <w:basedOn w:val="1"/>
    <w:qFormat/>
    <w:uiPriority w:val="0"/>
    <w:pPr>
      <w:spacing w:before="100" w:beforeAutospacing="1" w:after="100" w:afterAutospacing="1" w:line="360" w:lineRule="auto"/>
      <w:ind w:firstLine="200" w:firstLineChars="200"/>
    </w:pPr>
    <w:rPr>
      <w:rFonts w:ascii="ˎ̥" w:hAnsi="ˎ̥" w:eastAsia="ˎ̥"/>
      <w:sz w:val="24"/>
      <w:szCs w:val="20"/>
    </w:rPr>
  </w:style>
  <w:style w:type="paragraph" w:customStyle="1" w:styleId="304">
    <w:name w:val="正式节"/>
    <w:basedOn w:val="38"/>
    <w:qFormat/>
    <w:uiPriority w:val="0"/>
    <w:pPr>
      <w:adjustRightInd w:val="0"/>
      <w:snapToGrid w:val="0"/>
      <w:spacing w:before="120" w:after="120" w:line="312" w:lineRule="auto"/>
      <w:ind w:firstLine="567"/>
      <w:textAlignment w:val="baseline"/>
    </w:pPr>
    <w:rPr>
      <w:rFonts w:eastAsia="宋体"/>
      <w:b/>
      <w:spacing w:val="6"/>
      <w:sz w:val="32"/>
    </w:rPr>
  </w:style>
  <w:style w:type="paragraph" w:customStyle="1" w:styleId="305">
    <w:name w:val="生物拉丁文"/>
    <w:basedOn w:val="1"/>
    <w:qFormat/>
    <w:uiPriority w:val="0"/>
    <w:pPr>
      <w:tabs>
        <w:tab w:val="left" w:pos="-120"/>
        <w:tab w:val="left" w:pos="625"/>
      </w:tabs>
      <w:overflowPunct w:val="0"/>
      <w:topLinePunct/>
      <w:autoSpaceDE w:val="0"/>
      <w:adjustRightInd w:val="0"/>
      <w:snapToGrid w:val="0"/>
      <w:spacing w:before="60" w:afterLines="50" w:line="0" w:lineRule="atLeast"/>
      <w:ind w:firstLine="454"/>
    </w:pPr>
    <w:rPr>
      <w:i/>
      <w:spacing w:val="20"/>
      <w:sz w:val="24"/>
      <w:szCs w:val="20"/>
    </w:rPr>
  </w:style>
  <w:style w:type="paragraph" w:customStyle="1" w:styleId="306">
    <w:name w:val="我的表头"/>
    <w:basedOn w:val="1"/>
    <w:qFormat/>
    <w:uiPriority w:val="0"/>
    <w:pPr>
      <w:spacing w:line="440" w:lineRule="exact"/>
      <w:ind w:firstLine="200" w:firstLineChars="200"/>
      <w:jc w:val="left"/>
    </w:pPr>
    <w:rPr>
      <w:b/>
      <w:sz w:val="24"/>
      <w:szCs w:val="20"/>
    </w:rPr>
  </w:style>
  <w:style w:type="paragraph" w:customStyle="1" w:styleId="307">
    <w:name w:val="样式 样式 标题 3 + 首行缩进:  2 字符 段前: 6 磅 段后: 6 磅 行距: 最小值 24 磅 + 首行缩进:  1..."/>
    <w:basedOn w:val="308"/>
    <w:qFormat/>
    <w:uiPriority w:val="0"/>
    <w:pPr>
      <w:ind w:firstLine="280"/>
    </w:pPr>
    <w:rPr>
      <w:b w:val="0"/>
    </w:rPr>
  </w:style>
  <w:style w:type="paragraph" w:customStyle="1" w:styleId="308">
    <w:name w:val="样式 标题 3 + 首行缩进:  2 字符 段前: 6 磅 段后: 6 磅 行距: 最小值 24 磅"/>
    <w:basedOn w:val="8"/>
    <w:qFormat/>
    <w:uiPriority w:val="0"/>
    <w:pPr>
      <w:widowControl w:val="0"/>
      <w:adjustRightInd w:val="0"/>
      <w:snapToGrid w:val="0"/>
      <w:spacing w:line="480" w:lineRule="atLeast"/>
      <w:ind w:firstLine="100" w:firstLineChars="100"/>
    </w:pPr>
    <w:rPr>
      <w:b/>
      <w:sz w:val="28"/>
    </w:rPr>
  </w:style>
  <w:style w:type="paragraph" w:customStyle="1" w:styleId="309">
    <w:name w:val="样式 首行缩进:  0.80 厘米 段前: 7.8 磅"/>
    <w:basedOn w:val="1"/>
    <w:qFormat/>
    <w:uiPriority w:val="0"/>
    <w:pPr>
      <w:adjustRightInd w:val="0"/>
      <w:snapToGrid w:val="0"/>
      <w:spacing w:before="156" w:line="312" w:lineRule="auto"/>
      <w:ind w:firstLine="480"/>
    </w:pPr>
    <w:rPr>
      <w:sz w:val="24"/>
      <w:szCs w:val="20"/>
    </w:rPr>
  </w:style>
  <w:style w:type="paragraph" w:customStyle="1" w:styleId="310">
    <w:name w:val="样式5"/>
    <w:basedOn w:val="1"/>
    <w:qFormat/>
    <w:uiPriority w:val="0"/>
    <w:pPr>
      <w:snapToGrid w:val="0"/>
      <w:spacing w:line="360" w:lineRule="auto"/>
      <w:ind w:firstLine="510"/>
    </w:pPr>
    <w:rPr>
      <w:sz w:val="24"/>
    </w:rPr>
  </w:style>
  <w:style w:type="paragraph" w:customStyle="1" w:styleId="311">
    <w:name w:val="6"/>
    <w:basedOn w:val="8"/>
    <w:qFormat/>
    <w:uiPriority w:val="0"/>
    <w:pPr>
      <w:widowControl w:val="0"/>
      <w:tabs>
        <w:tab w:val="left" w:pos="360"/>
        <w:tab w:val="left" w:pos="900"/>
      </w:tabs>
      <w:snapToGrid w:val="0"/>
      <w:spacing w:line="360" w:lineRule="auto"/>
      <w:ind w:left="542" w:leftChars="-12" w:firstLine="200" w:firstLineChars="200"/>
      <w:jc w:val="left"/>
    </w:pPr>
    <w:rPr>
      <w:rFonts w:ascii="ˎ̥" w:hAnsi="ˎ̥"/>
      <w:b/>
      <w:sz w:val="28"/>
    </w:rPr>
  </w:style>
  <w:style w:type="paragraph" w:customStyle="1" w:styleId="312">
    <w:name w:val="Char Char Char Char"/>
    <w:basedOn w:val="1"/>
    <w:qFormat/>
    <w:uiPriority w:val="0"/>
    <w:rPr>
      <w:szCs w:val="20"/>
    </w:rPr>
  </w:style>
  <w:style w:type="paragraph" w:customStyle="1" w:styleId="313">
    <w:name w:val="公式"/>
    <w:basedOn w:val="1"/>
    <w:qFormat/>
    <w:uiPriority w:val="0"/>
    <w:pPr>
      <w:adjustRightInd w:val="0"/>
      <w:spacing w:before="50" w:after="50" w:line="440" w:lineRule="exact"/>
      <w:ind w:firstLine="200"/>
      <w:textAlignment w:val="baseline"/>
    </w:pPr>
    <w:rPr>
      <w:sz w:val="28"/>
      <w:szCs w:val="20"/>
    </w:rPr>
  </w:style>
  <w:style w:type="paragraph" w:customStyle="1" w:styleId="314">
    <w:name w:val="3标题(治)"/>
    <w:basedOn w:val="8"/>
    <w:qFormat/>
    <w:uiPriority w:val="0"/>
    <w:pPr>
      <w:widowControl w:val="0"/>
      <w:tabs>
        <w:tab w:val="left" w:pos="1260"/>
        <w:tab w:val="left" w:pos="1800"/>
      </w:tabs>
      <w:adjustRightInd w:val="0"/>
      <w:spacing w:before="0" w:after="0" w:line="360" w:lineRule="auto"/>
      <w:textAlignment w:val="baseline"/>
    </w:pPr>
    <w:rPr>
      <w:b/>
      <w:sz w:val="28"/>
    </w:rPr>
  </w:style>
  <w:style w:type="paragraph" w:customStyle="1" w:styleId="315">
    <w:name w:val="TOC 标题1"/>
    <w:basedOn w:val="7"/>
    <w:next w:val="1"/>
    <w:qFormat/>
    <w:uiPriority w:val="0"/>
    <w:pPr>
      <w:overflowPunct/>
      <w:snapToGrid/>
      <w:spacing w:before="480" w:after="0" w:line="276" w:lineRule="auto"/>
      <w:ind w:left="0" w:firstLine="0"/>
      <w:jc w:val="left"/>
      <w:outlineLvl w:val="9"/>
    </w:pPr>
    <w:rPr>
      <w:rFonts w:ascii="ˎ̥" w:hAnsi="ˎ̥" w:eastAsia="宋体"/>
      <w:bCs w:val="0"/>
      <w:color w:val="365F91"/>
      <w:kern w:val="2"/>
      <w:sz w:val="28"/>
      <w:szCs w:val="20"/>
    </w:rPr>
  </w:style>
  <w:style w:type="paragraph" w:customStyle="1" w:styleId="316">
    <w:name w:val="style4"/>
    <w:basedOn w:val="1"/>
    <w:qFormat/>
    <w:uiPriority w:val="0"/>
    <w:pPr>
      <w:widowControl/>
      <w:spacing w:before="100" w:beforeAutospacing="1" w:after="100" w:afterAutospacing="1" w:line="450" w:lineRule="atLeast"/>
      <w:jc w:val="left"/>
    </w:pPr>
    <w:rPr>
      <w:rFonts w:ascii="ˎ̥" w:hAnsi="ˎ̥" w:eastAsia="ˎ̥"/>
      <w:kern w:val="0"/>
      <w:szCs w:val="20"/>
    </w:rPr>
  </w:style>
  <w:style w:type="paragraph" w:customStyle="1" w:styleId="317">
    <w:name w:val="生物中文类名"/>
    <w:basedOn w:val="1"/>
    <w:qFormat/>
    <w:uiPriority w:val="0"/>
    <w:pPr>
      <w:tabs>
        <w:tab w:val="left" w:pos="-120"/>
      </w:tabs>
      <w:overflowPunct w:val="0"/>
      <w:topLinePunct/>
      <w:autoSpaceDE w:val="0"/>
      <w:adjustRightInd w:val="0"/>
      <w:snapToGrid w:val="0"/>
      <w:spacing w:before="60" w:afterLines="50" w:line="310" w:lineRule="atLeast"/>
      <w:ind w:firstLine="454"/>
    </w:pPr>
    <w:rPr>
      <w:b/>
      <w:spacing w:val="20"/>
      <w:sz w:val="24"/>
      <w:szCs w:val="20"/>
    </w:rPr>
  </w:style>
  <w:style w:type="paragraph" w:customStyle="1" w:styleId="318">
    <w:name w:val="样式 题注 + 首行缩进:  2 字符1"/>
    <w:basedOn w:val="22"/>
    <w:qFormat/>
    <w:uiPriority w:val="0"/>
    <w:pPr>
      <w:keepNext/>
      <w:overflowPunct/>
      <w:topLinePunct w:val="0"/>
      <w:autoSpaceDE/>
      <w:autoSpaceDN/>
      <w:adjustRightInd/>
      <w:snapToGrid/>
      <w:spacing w:before="152" w:after="160" w:line="360" w:lineRule="auto"/>
      <w:ind w:firstLine="200" w:firstLineChars="200"/>
      <w:jc w:val="both"/>
      <w:textAlignment w:val="auto"/>
    </w:pPr>
    <w:rPr>
      <w:b w:val="0"/>
      <w:spacing w:val="0"/>
      <w:kern w:val="2"/>
    </w:rPr>
  </w:style>
  <w:style w:type="paragraph" w:customStyle="1" w:styleId="319">
    <w:name w:val="1.1.1"/>
    <w:basedOn w:val="1"/>
    <w:qFormat/>
    <w:uiPriority w:val="0"/>
    <w:rPr>
      <w:rFonts w:ascii="ˎ̥"/>
      <w:sz w:val="24"/>
      <w:szCs w:val="20"/>
    </w:rPr>
  </w:style>
  <w:style w:type="paragraph" w:customStyle="1" w:styleId="320">
    <w:name w:val="农业部一"/>
    <w:next w:val="4"/>
    <w:qFormat/>
    <w:uiPriority w:val="0"/>
    <w:pPr>
      <w:widowControl w:val="0"/>
      <w:topLinePunct/>
      <w:spacing w:line="360" w:lineRule="atLeast"/>
      <w:jc w:val="center"/>
    </w:pPr>
    <w:rPr>
      <w:rFonts w:ascii="Times New Roman" w:hAnsi="Times New Roman" w:eastAsia="宋体" w:cs="Times New Roman"/>
      <w:kern w:val="2"/>
      <w:sz w:val="24"/>
      <w:lang w:val="en-US" w:eastAsia="zh-CN" w:bidi="ar-SA"/>
    </w:rPr>
  </w:style>
  <w:style w:type="paragraph" w:customStyle="1" w:styleId="321">
    <w:name w:val="样式 小四 首行缩进:  0.74 厘米 行距: 固定值 20 磅"/>
    <w:basedOn w:val="1"/>
    <w:qFormat/>
    <w:uiPriority w:val="0"/>
    <w:pPr>
      <w:spacing w:line="440" w:lineRule="exact"/>
      <w:ind w:firstLine="454"/>
    </w:pPr>
    <w:rPr>
      <w:sz w:val="24"/>
      <w:szCs w:val="20"/>
    </w:rPr>
  </w:style>
  <w:style w:type="paragraph" w:customStyle="1" w:styleId="322">
    <w:name w:val="正文文本 21"/>
    <w:basedOn w:val="1"/>
    <w:qFormat/>
    <w:uiPriority w:val="0"/>
    <w:pPr>
      <w:adjustRightInd w:val="0"/>
      <w:spacing w:line="432" w:lineRule="auto"/>
      <w:ind w:firstLine="480"/>
    </w:pPr>
    <w:rPr>
      <w:sz w:val="24"/>
      <w:szCs w:val="20"/>
    </w:rPr>
  </w:style>
  <w:style w:type="paragraph" w:customStyle="1" w:styleId="323">
    <w:name w:val="二级无标题条"/>
    <w:basedOn w:val="1"/>
    <w:qFormat/>
    <w:uiPriority w:val="0"/>
    <w:rPr>
      <w:szCs w:val="20"/>
    </w:rPr>
  </w:style>
  <w:style w:type="paragraph" w:customStyle="1" w:styleId="324">
    <w:name w:val="表格001"/>
    <w:basedOn w:val="1"/>
    <w:qFormat/>
    <w:uiPriority w:val="0"/>
    <w:pPr>
      <w:jc w:val="center"/>
    </w:pPr>
    <w:rPr>
      <w:szCs w:val="20"/>
    </w:rPr>
  </w:style>
  <w:style w:type="paragraph" w:customStyle="1" w:styleId="325">
    <w:name w:val="样式 首行缩进:  2 字符9"/>
    <w:basedOn w:val="1"/>
    <w:qFormat/>
    <w:uiPriority w:val="0"/>
    <w:pPr>
      <w:spacing w:line="520" w:lineRule="exact"/>
      <w:ind w:firstLine="560" w:firstLineChars="200"/>
    </w:pPr>
    <w:rPr>
      <w:sz w:val="24"/>
      <w:szCs w:val="20"/>
    </w:rPr>
  </w:style>
  <w:style w:type="paragraph" w:customStyle="1" w:styleId="326">
    <w:name w:val="Char Char5 Char Char Char Char Char Char Char Char Char2 Char"/>
    <w:basedOn w:val="8"/>
    <w:qFormat/>
    <w:uiPriority w:val="0"/>
    <w:pPr>
      <w:widowControl w:val="0"/>
      <w:tabs>
        <w:tab w:val="left" w:pos="360"/>
        <w:tab w:val="left" w:pos="900"/>
      </w:tabs>
      <w:snapToGrid w:val="0"/>
      <w:spacing w:line="360" w:lineRule="auto"/>
      <w:ind w:left="542" w:leftChars="-12" w:firstLine="200" w:firstLineChars="200"/>
      <w:jc w:val="left"/>
    </w:pPr>
    <w:rPr>
      <w:snapToGrid w:val="0"/>
    </w:rPr>
  </w:style>
  <w:style w:type="paragraph" w:customStyle="1" w:styleId="327">
    <w:name w:val="表格下注"/>
    <w:qFormat/>
    <w:uiPriority w:val="0"/>
    <w:pPr>
      <w:autoSpaceDE w:val="0"/>
      <w:autoSpaceDN w:val="0"/>
      <w:ind w:firstLine="200" w:firstLineChars="200"/>
      <w:jc w:val="both"/>
    </w:pPr>
    <w:rPr>
      <w:rFonts w:ascii="Times New Roman" w:hAnsi="Times New Roman" w:eastAsia="ˎ̥" w:cs="Times New Roman"/>
      <w:sz w:val="21"/>
      <w:lang w:val="en-US" w:eastAsia="zh-CN" w:bidi="ar-SA"/>
    </w:rPr>
  </w:style>
  <w:style w:type="paragraph" w:customStyle="1" w:styleId="328">
    <w:name w:val="font11"/>
    <w:basedOn w:val="1"/>
    <w:qFormat/>
    <w:uiPriority w:val="0"/>
    <w:pPr>
      <w:widowControl/>
      <w:spacing w:before="100" w:beforeAutospacing="1" w:after="100" w:afterAutospacing="1"/>
      <w:jc w:val="left"/>
    </w:pPr>
    <w:rPr>
      <w:rFonts w:eastAsia="ˎ̥"/>
      <w:color w:val="000000"/>
      <w:kern w:val="0"/>
      <w:sz w:val="18"/>
      <w:szCs w:val="20"/>
    </w:rPr>
  </w:style>
  <w:style w:type="paragraph" w:customStyle="1" w:styleId="329">
    <w:name w:val="样式 正文文字 + 两端对齐 首行缩进:  0.92 厘米 行距: 单倍行距"/>
    <w:basedOn w:val="4"/>
    <w:qFormat/>
    <w:uiPriority w:val="0"/>
    <w:pPr>
      <w:widowControl w:val="0"/>
      <w:snapToGrid/>
      <w:spacing w:before="0" w:after="0" w:line="240" w:lineRule="auto"/>
      <w:ind w:right="0" w:firstLine="522"/>
    </w:pPr>
    <w:rPr>
      <w:rFonts w:ascii="ˎ̥" w:hAnsi="ˎ̥"/>
      <w:kern w:val="2"/>
      <w:sz w:val="28"/>
      <w:szCs w:val="20"/>
    </w:rPr>
  </w:style>
  <w:style w:type="paragraph" w:customStyle="1" w:styleId="330">
    <w:name w:val="标题  1"/>
    <w:basedOn w:val="1"/>
    <w:qFormat/>
    <w:uiPriority w:val="0"/>
    <w:pPr>
      <w:tabs>
        <w:tab w:val="left" w:pos="425"/>
      </w:tabs>
      <w:spacing w:line="360" w:lineRule="auto"/>
      <w:ind w:left="425" w:hanging="425"/>
    </w:pPr>
    <w:rPr>
      <w:rFonts w:ascii="ˎ̥" w:hAnsi="ˎ̥"/>
      <w:sz w:val="24"/>
      <w:szCs w:val="20"/>
    </w:rPr>
  </w:style>
  <w:style w:type="paragraph" w:customStyle="1" w:styleId="331">
    <w:name w:val="样式 小四 黑色 首行缩进:  0.74 厘米 行距: 固定值 20 磅"/>
    <w:basedOn w:val="1"/>
    <w:qFormat/>
    <w:uiPriority w:val="0"/>
    <w:pPr>
      <w:spacing w:line="440" w:lineRule="exact"/>
      <w:ind w:firstLine="454"/>
    </w:pPr>
    <w:rPr>
      <w:color w:val="000000"/>
      <w:sz w:val="24"/>
      <w:szCs w:val="20"/>
    </w:rPr>
  </w:style>
  <w:style w:type="paragraph" w:customStyle="1" w:styleId="332">
    <w:name w:val="附录五级条标题"/>
    <w:basedOn w:val="333"/>
    <w:next w:val="1"/>
    <w:qFormat/>
    <w:uiPriority w:val="0"/>
    <w:pPr>
      <w:tabs>
        <w:tab w:val="left" w:pos="567"/>
        <w:tab w:val="left" w:pos="709"/>
        <w:tab w:val="left" w:pos="851"/>
        <w:tab w:val="left" w:pos="992"/>
        <w:tab w:val="left" w:pos="1134"/>
        <w:tab w:val="left" w:pos="1276"/>
        <w:tab w:val="left" w:pos="1320"/>
        <w:tab w:val="left" w:pos="1740"/>
        <w:tab w:val="left" w:pos="2160"/>
        <w:tab w:val="left" w:pos="2580"/>
        <w:tab w:val="left" w:pos="3000"/>
        <w:tab w:val="left" w:pos="3420"/>
      </w:tabs>
      <w:ind w:left="1276" w:hanging="1276"/>
      <w:outlineLvl w:val="6"/>
    </w:pPr>
  </w:style>
  <w:style w:type="paragraph" w:customStyle="1" w:styleId="333">
    <w:name w:val="附录四级条标题"/>
    <w:basedOn w:val="334"/>
    <w:next w:val="1"/>
    <w:qFormat/>
    <w:uiPriority w:val="0"/>
    <w:pPr>
      <w:tabs>
        <w:tab w:val="left" w:pos="567"/>
        <w:tab w:val="left" w:pos="709"/>
        <w:tab w:val="left" w:pos="851"/>
        <w:tab w:val="left" w:pos="992"/>
        <w:tab w:val="left" w:pos="1134"/>
        <w:tab w:val="left" w:pos="1320"/>
        <w:tab w:val="left" w:pos="1740"/>
        <w:tab w:val="left" w:pos="2160"/>
        <w:tab w:val="left" w:pos="2580"/>
        <w:tab w:val="left" w:pos="3000"/>
      </w:tabs>
      <w:ind w:left="1134" w:hanging="1134"/>
      <w:outlineLvl w:val="5"/>
    </w:pPr>
  </w:style>
  <w:style w:type="paragraph" w:customStyle="1" w:styleId="334">
    <w:name w:val="附录三级条标题"/>
    <w:basedOn w:val="335"/>
    <w:next w:val="1"/>
    <w:qFormat/>
    <w:uiPriority w:val="0"/>
    <w:pPr>
      <w:tabs>
        <w:tab w:val="left" w:pos="567"/>
        <w:tab w:val="left" w:pos="709"/>
        <w:tab w:val="left" w:pos="851"/>
        <w:tab w:val="left" w:pos="992"/>
        <w:tab w:val="left" w:pos="1320"/>
        <w:tab w:val="left" w:pos="1740"/>
        <w:tab w:val="left" w:pos="2160"/>
        <w:tab w:val="left" w:pos="2580"/>
      </w:tabs>
      <w:ind w:left="992" w:hanging="992"/>
      <w:outlineLvl w:val="4"/>
    </w:pPr>
  </w:style>
  <w:style w:type="paragraph" w:customStyle="1" w:styleId="335">
    <w:name w:val="附录二级条标题"/>
    <w:basedOn w:val="336"/>
    <w:next w:val="1"/>
    <w:qFormat/>
    <w:uiPriority w:val="0"/>
    <w:pPr>
      <w:tabs>
        <w:tab w:val="left" w:pos="567"/>
        <w:tab w:val="left" w:pos="709"/>
        <w:tab w:val="left" w:pos="851"/>
        <w:tab w:val="left" w:pos="1320"/>
        <w:tab w:val="left" w:pos="1740"/>
        <w:tab w:val="left" w:pos="2160"/>
      </w:tabs>
      <w:ind w:left="851" w:hanging="851"/>
      <w:outlineLvl w:val="3"/>
    </w:pPr>
  </w:style>
  <w:style w:type="paragraph" w:customStyle="1" w:styleId="336">
    <w:name w:val="附录一级条标题"/>
    <w:basedOn w:val="337"/>
    <w:next w:val="1"/>
    <w:qFormat/>
    <w:uiPriority w:val="0"/>
    <w:pPr>
      <w:tabs>
        <w:tab w:val="left" w:pos="567"/>
        <w:tab w:val="left" w:pos="709"/>
        <w:tab w:val="left" w:pos="1320"/>
        <w:tab w:val="left" w:pos="1740"/>
      </w:tabs>
      <w:autoSpaceDN w:val="0"/>
      <w:spacing w:beforeLines="0" w:afterLines="0"/>
      <w:ind w:left="709" w:hanging="709"/>
      <w:outlineLvl w:val="2"/>
    </w:pPr>
  </w:style>
  <w:style w:type="paragraph" w:customStyle="1" w:styleId="337">
    <w:name w:val="附录章标题"/>
    <w:next w:val="1"/>
    <w:qFormat/>
    <w:uiPriority w:val="0"/>
    <w:pPr>
      <w:tabs>
        <w:tab w:val="left" w:pos="567"/>
        <w:tab w:val="left" w:pos="1320"/>
      </w:tabs>
      <w:wordWrap w:val="0"/>
      <w:overflowPunct w:val="0"/>
      <w:autoSpaceDE w:val="0"/>
      <w:spacing w:beforeLines="50" w:afterLines="50"/>
      <w:ind w:left="567" w:hanging="567"/>
      <w:jc w:val="both"/>
      <w:textAlignment w:val="baseline"/>
      <w:outlineLvl w:val="1"/>
    </w:pPr>
    <w:rPr>
      <w:rFonts w:ascii="ˎ̥" w:hAnsi="Times New Roman" w:eastAsia="ˎ̥" w:cs="Times New Roman"/>
      <w:kern w:val="21"/>
      <w:sz w:val="21"/>
      <w:lang w:val="en-US" w:eastAsia="zh-CN" w:bidi="ar-SA"/>
    </w:rPr>
  </w:style>
  <w:style w:type="paragraph" w:customStyle="1" w:styleId="338">
    <w:name w:val="1标题3级"/>
    <w:basedOn w:val="1"/>
    <w:qFormat/>
    <w:uiPriority w:val="0"/>
    <w:pPr>
      <w:keepNext/>
      <w:snapToGrid w:val="0"/>
      <w:spacing w:beforeLines="50" w:afterLines="50"/>
      <w:jc w:val="left"/>
      <w:outlineLvl w:val="2"/>
    </w:pPr>
    <w:rPr>
      <w:rFonts w:eastAsia="ˎ̥"/>
      <w:b/>
      <w:sz w:val="24"/>
      <w:szCs w:val="20"/>
    </w:rPr>
  </w:style>
  <w:style w:type="paragraph" w:customStyle="1" w:styleId="339">
    <w:name w:val="样式 小四 首行缩进:  1.01 厘米 行距: 1.5 倍行距"/>
    <w:basedOn w:val="1"/>
    <w:qFormat/>
    <w:uiPriority w:val="0"/>
    <w:pPr>
      <w:adjustRightInd w:val="0"/>
      <w:snapToGrid w:val="0"/>
      <w:spacing w:line="360" w:lineRule="auto"/>
      <w:ind w:firstLine="200" w:firstLineChars="200"/>
    </w:pPr>
    <w:rPr>
      <w:snapToGrid w:val="0"/>
      <w:kern w:val="24"/>
      <w:sz w:val="24"/>
      <w:szCs w:val="20"/>
    </w:rPr>
  </w:style>
  <w:style w:type="paragraph" w:customStyle="1" w:styleId="340">
    <w:name w:val="表头居右"/>
    <w:basedOn w:val="188"/>
    <w:qFormat/>
    <w:uiPriority w:val="0"/>
    <w:pPr>
      <w:widowControl/>
      <w:adjustRightInd/>
      <w:snapToGrid/>
      <w:spacing w:beforeLines="100" w:line="240" w:lineRule="auto"/>
      <w:ind w:firstLine="240" w:firstLineChars="100"/>
    </w:pPr>
    <w:rPr>
      <w:b w:val="0"/>
      <w:kern w:val="0"/>
      <w:szCs w:val="20"/>
    </w:rPr>
  </w:style>
  <w:style w:type="paragraph" w:customStyle="1" w:styleId="341">
    <w:name w:val="样式 首行缩进:  2 字符17"/>
    <w:basedOn w:val="1"/>
    <w:qFormat/>
    <w:uiPriority w:val="0"/>
    <w:pPr>
      <w:spacing w:line="520" w:lineRule="exact"/>
      <w:ind w:firstLine="560" w:firstLineChars="200"/>
    </w:pPr>
    <w:rPr>
      <w:sz w:val="24"/>
      <w:szCs w:val="20"/>
    </w:rPr>
  </w:style>
  <w:style w:type="paragraph" w:customStyle="1" w:styleId="342">
    <w:name w:val="段"/>
    <w:qFormat/>
    <w:uiPriority w:val="0"/>
    <w:pPr>
      <w:autoSpaceDE w:val="0"/>
      <w:autoSpaceDN w:val="0"/>
      <w:ind w:firstLine="200" w:firstLineChars="200"/>
      <w:jc w:val="both"/>
    </w:pPr>
    <w:rPr>
      <w:rFonts w:ascii="ˎ̥" w:hAnsi="Times New Roman" w:eastAsia="宋体" w:cs="Times New Roman"/>
      <w:sz w:val="21"/>
      <w:lang w:val="en-US" w:eastAsia="zh-CN" w:bidi="ar-SA"/>
    </w:rPr>
  </w:style>
  <w:style w:type="paragraph" w:customStyle="1" w:styleId="343">
    <w:name w:val="4标题(治)"/>
    <w:basedOn w:val="1"/>
    <w:next w:val="1"/>
    <w:qFormat/>
    <w:uiPriority w:val="0"/>
    <w:pPr>
      <w:adjustRightInd w:val="0"/>
      <w:snapToGrid w:val="0"/>
      <w:spacing w:line="360" w:lineRule="auto"/>
      <w:textAlignment w:val="baseline"/>
      <w:outlineLvl w:val="3"/>
    </w:pPr>
    <w:rPr>
      <w:rFonts w:eastAsia="ˎ̥"/>
      <w:b/>
      <w:kern w:val="0"/>
      <w:sz w:val="28"/>
      <w:szCs w:val="20"/>
    </w:rPr>
  </w:style>
  <w:style w:type="paragraph" w:customStyle="1" w:styleId="344">
    <w:name w:val="样式 目录 2 + 左侧:  2 字符"/>
    <w:basedOn w:val="56"/>
    <w:qFormat/>
    <w:uiPriority w:val="0"/>
    <w:pPr>
      <w:tabs>
        <w:tab w:val="left" w:pos="1050"/>
        <w:tab w:val="right" w:leader="middleDot" w:pos="8296"/>
      </w:tabs>
      <w:spacing w:line="276" w:lineRule="auto"/>
      <w:ind w:left="420" w:leftChars="200" w:firstLine="0" w:firstLineChars="0"/>
    </w:pPr>
    <w:rPr>
      <w:rFonts w:ascii="ˎ̥" w:hAnsi="ˎ̥" w:eastAsia="ˎ̥"/>
      <w:sz w:val="24"/>
    </w:rPr>
  </w:style>
  <w:style w:type="paragraph" w:customStyle="1" w:styleId="345">
    <w:name w:val="样式 首行缩进:  2 字符16"/>
    <w:basedOn w:val="1"/>
    <w:qFormat/>
    <w:uiPriority w:val="0"/>
    <w:pPr>
      <w:spacing w:line="520" w:lineRule="exact"/>
      <w:ind w:firstLine="560" w:firstLineChars="200"/>
    </w:pPr>
    <w:rPr>
      <w:sz w:val="24"/>
      <w:szCs w:val="20"/>
    </w:rPr>
  </w:style>
  <w:style w:type="paragraph" w:customStyle="1" w:styleId="346">
    <w:name w:val="1表格"/>
    <w:basedOn w:val="347"/>
    <w:qFormat/>
    <w:uiPriority w:val="0"/>
    <w:pPr>
      <w:spacing w:line="360" w:lineRule="exact"/>
      <w:ind w:firstLine="0" w:firstLineChars="0"/>
      <w:jc w:val="center"/>
      <w:textAlignment w:val="center"/>
    </w:pPr>
    <w:rPr>
      <w:snapToGrid/>
      <w:kern w:val="2"/>
      <w:sz w:val="21"/>
    </w:rPr>
  </w:style>
  <w:style w:type="paragraph" w:customStyle="1" w:styleId="347">
    <w:name w:val="1文章"/>
    <w:basedOn w:val="1"/>
    <w:qFormat/>
    <w:uiPriority w:val="0"/>
    <w:pPr>
      <w:snapToGrid w:val="0"/>
      <w:spacing w:line="360" w:lineRule="auto"/>
      <w:ind w:firstLine="496" w:firstLineChars="200"/>
      <w:outlineLvl w:val="4"/>
    </w:pPr>
    <w:rPr>
      <w:snapToGrid w:val="0"/>
      <w:spacing w:val="4"/>
      <w:kern w:val="0"/>
      <w:sz w:val="24"/>
      <w:szCs w:val="20"/>
    </w:rPr>
  </w:style>
  <w:style w:type="paragraph" w:customStyle="1" w:styleId="348">
    <w:name w:val="样式 标题 4 + 四号"/>
    <w:basedOn w:val="10"/>
    <w:qFormat/>
    <w:uiPriority w:val="0"/>
    <w:pPr>
      <w:widowControl/>
      <w:snapToGrid w:val="0"/>
      <w:spacing w:before="60" w:after="60" w:line="480" w:lineRule="atLeast"/>
      <w:ind w:firstLine="200" w:firstLineChars="200"/>
    </w:pPr>
    <w:rPr>
      <w:rFonts w:ascii="Times New Roman" w:hAnsi="Times New Roman"/>
      <w:b w:val="0"/>
      <w:bCs w:val="0"/>
      <w:sz w:val="24"/>
      <w:szCs w:val="20"/>
    </w:rPr>
  </w:style>
  <w:style w:type="paragraph" w:customStyle="1" w:styleId="349">
    <w:name w:val="样式 样式 四号 首行缩进:  1.92 字符 + 宋体"/>
    <w:basedOn w:val="1"/>
    <w:qFormat/>
    <w:uiPriority w:val="0"/>
    <w:pPr>
      <w:widowControl/>
      <w:ind w:firstLine="560" w:firstLineChars="200"/>
    </w:pPr>
    <w:rPr>
      <w:rFonts w:ascii="ˎ̥" w:hAnsi="ˎ̥"/>
      <w:sz w:val="28"/>
      <w:szCs w:val="20"/>
    </w:rPr>
  </w:style>
  <w:style w:type="paragraph" w:customStyle="1" w:styleId="350">
    <w:name w:val="表名"/>
    <w:basedOn w:val="1"/>
    <w:qFormat/>
    <w:uiPriority w:val="0"/>
    <w:pPr>
      <w:spacing w:line="360" w:lineRule="exact"/>
      <w:jc w:val="center"/>
    </w:pPr>
    <w:rPr>
      <w:rFonts w:ascii="ˎ̥" w:hAnsi="ˎ̥"/>
      <w:b/>
      <w:sz w:val="24"/>
      <w:szCs w:val="20"/>
    </w:rPr>
  </w:style>
  <w:style w:type="paragraph" w:customStyle="1" w:styleId="351">
    <w:name w:val="我的样式（正文）"/>
    <w:basedOn w:val="1"/>
    <w:qFormat/>
    <w:uiPriority w:val="0"/>
    <w:pPr>
      <w:spacing w:line="440" w:lineRule="exact"/>
    </w:pPr>
    <w:rPr>
      <w:rFonts w:ascii="ˎ̥"/>
      <w:sz w:val="28"/>
      <w:szCs w:val="20"/>
    </w:rPr>
  </w:style>
  <w:style w:type="paragraph" w:customStyle="1" w:styleId="352">
    <w:name w:val="font6"/>
    <w:basedOn w:val="1"/>
    <w:qFormat/>
    <w:uiPriority w:val="0"/>
    <w:pPr>
      <w:widowControl/>
      <w:spacing w:before="100" w:beforeAutospacing="1" w:after="100" w:afterAutospacing="1"/>
      <w:jc w:val="left"/>
    </w:pPr>
    <w:rPr>
      <w:rFonts w:hint="eastAsia" w:ascii="ˎ̥" w:hAnsi="ˎ̥"/>
      <w:color w:val="000000"/>
      <w:kern w:val="0"/>
      <w:sz w:val="24"/>
      <w:szCs w:val="20"/>
    </w:rPr>
  </w:style>
  <w:style w:type="paragraph" w:customStyle="1" w:styleId="353">
    <w:name w:val="reader-word-layer reader-word-s7-15"/>
    <w:basedOn w:val="1"/>
    <w:qFormat/>
    <w:uiPriority w:val="0"/>
    <w:pPr>
      <w:widowControl/>
      <w:spacing w:before="100" w:beforeAutospacing="1" w:after="100" w:afterAutospacing="1"/>
      <w:jc w:val="left"/>
    </w:pPr>
    <w:rPr>
      <w:rFonts w:ascii="ˎ̥" w:hAnsi="ˎ̥" w:cs="ˎ̥"/>
      <w:kern w:val="0"/>
      <w:sz w:val="24"/>
    </w:rPr>
  </w:style>
  <w:style w:type="paragraph" w:customStyle="1" w:styleId="354">
    <w:name w:val="默认段落字体 Para Char Char Char Char"/>
    <w:basedOn w:val="1"/>
    <w:qFormat/>
    <w:uiPriority w:val="0"/>
    <w:pPr>
      <w:spacing w:line="360" w:lineRule="auto"/>
      <w:ind w:firstLine="200" w:firstLineChars="200"/>
    </w:pPr>
    <w:rPr>
      <w:rFonts w:ascii="ˎ̥" w:hAnsi="ˎ̥"/>
      <w:sz w:val="24"/>
      <w:szCs w:val="20"/>
    </w:rPr>
  </w:style>
  <w:style w:type="paragraph" w:customStyle="1" w:styleId="355">
    <w:name w:val="5文章(治)"/>
    <w:basedOn w:val="1"/>
    <w:qFormat/>
    <w:uiPriority w:val="0"/>
    <w:pPr>
      <w:spacing w:line="360" w:lineRule="auto"/>
      <w:ind w:firstLine="480" w:firstLineChars="200"/>
    </w:pPr>
    <w:rPr>
      <w:sz w:val="24"/>
      <w:szCs w:val="20"/>
    </w:rPr>
  </w:style>
  <w:style w:type="paragraph" w:customStyle="1" w:styleId="356">
    <w:name w:val="font9"/>
    <w:basedOn w:val="1"/>
    <w:qFormat/>
    <w:uiPriority w:val="0"/>
    <w:pPr>
      <w:widowControl/>
      <w:spacing w:before="100" w:beforeAutospacing="1" w:after="100" w:afterAutospacing="1"/>
      <w:jc w:val="left"/>
    </w:pPr>
    <w:rPr>
      <w:rFonts w:hint="eastAsia" w:ascii="ˎ̥" w:hAnsi="ˎ̥"/>
      <w:b/>
      <w:color w:val="000000"/>
      <w:kern w:val="0"/>
      <w:sz w:val="18"/>
      <w:szCs w:val="20"/>
    </w:rPr>
  </w:style>
  <w:style w:type="paragraph" w:customStyle="1" w:styleId="357">
    <w:name w:val="表注-西江"/>
    <w:basedOn w:val="358"/>
    <w:qFormat/>
    <w:uiPriority w:val="0"/>
    <w:pPr>
      <w:tabs>
        <w:tab w:val="left" w:pos="-120"/>
      </w:tabs>
      <w:spacing w:before="120"/>
      <w:jc w:val="both"/>
    </w:pPr>
    <w:rPr>
      <w:rFonts w:ascii="ˎ̥" w:hAnsi="ˎ̥"/>
      <w:sz w:val="21"/>
    </w:rPr>
  </w:style>
  <w:style w:type="paragraph" w:customStyle="1" w:styleId="358">
    <w:name w:val="表名称"/>
    <w:basedOn w:val="1"/>
    <w:qFormat/>
    <w:uiPriority w:val="0"/>
    <w:pPr>
      <w:tabs>
        <w:tab w:val="left" w:pos="-120"/>
      </w:tabs>
      <w:overflowPunct w:val="0"/>
      <w:topLinePunct/>
      <w:autoSpaceDE w:val="0"/>
      <w:adjustRightInd w:val="0"/>
      <w:snapToGrid w:val="0"/>
      <w:spacing w:after="240"/>
      <w:jc w:val="center"/>
      <w:textAlignment w:val="baseline"/>
    </w:pPr>
    <w:rPr>
      <w:spacing w:val="16"/>
      <w:kern w:val="0"/>
      <w:sz w:val="24"/>
      <w:szCs w:val="20"/>
    </w:rPr>
  </w:style>
  <w:style w:type="paragraph" w:customStyle="1" w:styleId="35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ˎ̥" w:hAnsi="ˎ̥" w:eastAsia="ˎ̥"/>
      <w:kern w:val="0"/>
      <w:sz w:val="20"/>
      <w:szCs w:val="20"/>
    </w:rPr>
  </w:style>
  <w:style w:type="paragraph" w:customStyle="1" w:styleId="360">
    <w:name w:val="xl30"/>
    <w:basedOn w:val="1"/>
    <w:qFormat/>
    <w:uiPriority w:val="0"/>
    <w:pPr>
      <w:keepNext/>
      <w:widowControl/>
      <w:pBdr>
        <w:bottom w:val="single" w:color="auto" w:sz="4" w:space="0"/>
        <w:right w:val="single" w:color="auto" w:sz="4" w:space="0"/>
      </w:pBdr>
      <w:spacing w:before="100" w:beforeAutospacing="1" w:after="100" w:afterAutospacing="1" w:line="400" w:lineRule="exact"/>
      <w:jc w:val="center"/>
      <w:textAlignment w:val="center"/>
    </w:pPr>
    <w:rPr>
      <w:rFonts w:ascii="ˎ̥" w:hAnsi="ˎ̥"/>
      <w:spacing w:val="8"/>
      <w:kern w:val="0"/>
      <w:sz w:val="24"/>
      <w:szCs w:val="20"/>
    </w:rPr>
  </w:style>
  <w:style w:type="paragraph" w:customStyle="1" w:styleId="361">
    <w:name w:val="WW-普通文字"/>
    <w:basedOn w:val="1"/>
    <w:qFormat/>
    <w:uiPriority w:val="0"/>
    <w:pPr>
      <w:suppressAutoHyphens/>
    </w:pPr>
    <w:rPr>
      <w:rFonts w:ascii="ˎ̥" w:hAnsi="ˎ̥"/>
      <w:kern w:val="1"/>
      <w:szCs w:val="20"/>
      <w:lang w:eastAsia="ar-SA"/>
    </w:rPr>
  </w:style>
  <w:style w:type="paragraph" w:customStyle="1" w:styleId="362">
    <w:name w:val="表注"/>
    <w:basedOn w:val="1"/>
    <w:qFormat/>
    <w:uiPriority w:val="0"/>
    <w:pPr>
      <w:tabs>
        <w:tab w:val="left" w:pos="625"/>
      </w:tabs>
      <w:overflowPunct w:val="0"/>
      <w:topLinePunct/>
      <w:autoSpaceDE w:val="0"/>
      <w:adjustRightInd w:val="0"/>
      <w:snapToGrid w:val="0"/>
      <w:spacing w:before="120" w:afterLines="50" w:line="288" w:lineRule="auto"/>
      <w:ind w:left="625" w:hanging="425"/>
      <w:jc w:val="center"/>
      <w:textAlignment w:val="baseline"/>
    </w:pPr>
    <w:rPr>
      <w:b/>
      <w:spacing w:val="20"/>
      <w:kern w:val="0"/>
      <w:sz w:val="28"/>
      <w:szCs w:val="20"/>
    </w:rPr>
  </w:style>
  <w:style w:type="paragraph" w:customStyle="1" w:styleId="363">
    <w:name w:val="标题一"/>
    <w:basedOn w:val="1"/>
    <w:next w:val="7"/>
    <w:qFormat/>
    <w:uiPriority w:val="0"/>
    <w:pPr>
      <w:tabs>
        <w:tab w:val="left" w:pos="720"/>
        <w:tab w:val="left" w:pos="876"/>
        <w:tab w:val="left" w:pos="1064"/>
      </w:tabs>
      <w:ind w:left="876" w:hanging="360"/>
    </w:pPr>
    <w:rPr>
      <w:sz w:val="28"/>
      <w:szCs w:val="20"/>
    </w:rPr>
  </w:style>
  <w:style w:type="paragraph" w:customStyle="1" w:styleId="364">
    <w:name w:val="Char2 Char Char Char Char Char Char Char Char Char Char Char Char Char Char Char"/>
    <w:basedOn w:val="1"/>
    <w:qFormat/>
    <w:uiPriority w:val="0"/>
    <w:pPr>
      <w:autoSpaceDE w:val="0"/>
      <w:autoSpaceDN w:val="0"/>
      <w:adjustRightInd w:val="0"/>
      <w:snapToGrid w:val="0"/>
      <w:spacing w:before="50" w:after="50" w:line="360" w:lineRule="auto"/>
      <w:ind w:firstLine="560" w:firstLineChars="200"/>
    </w:pPr>
    <w:rPr>
      <w:rFonts w:eastAsia="ˎ̥"/>
      <w:color w:val="000000"/>
      <w:sz w:val="24"/>
    </w:rPr>
  </w:style>
  <w:style w:type="paragraph" w:customStyle="1" w:styleId="365">
    <w:name w:val="Default"/>
    <w:qFormat/>
    <w:uiPriority w:val="0"/>
    <w:pPr>
      <w:widowControl w:val="0"/>
      <w:autoSpaceDE w:val="0"/>
      <w:autoSpaceDN w:val="0"/>
      <w:adjustRightInd w:val="0"/>
    </w:pPr>
    <w:rPr>
      <w:rFonts w:ascii="ˎ̥" w:hAnsi="Times New Roman" w:eastAsia="ˎ̥" w:cs="Times New Roman"/>
      <w:color w:val="000000"/>
      <w:sz w:val="24"/>
      <w:lang w:val="en-US" w:eastAsia="zh-CN" w:bidi="ar-SA"/>
    </w:rPr>
  </w:style>
  <w:style w:type="paragraph" w:customStyle="1" w:styleId="366">
    <w:name w:val="样式 标题 3标题 3 Char + 黑色 行距: 固定值 26 磅"/>
    <w:basedOn w:val="8"/>
    <w:qFormat/>
    <w:uiPriority w:val="0"/>
    <w:pPr>
      <w:widowControl w:val="0"/>
      <w:tabs>
        <w:tab w:val="left" w:pos="720"/>
        <w:tab w:val="left" w:pos="900"/>
        <w:tab w:val="left" w:pos="1260"/>
        <w:tab w:val="left" w:pos="1800"/>
      </w:tabs>
      <w:adjustRightInd w:val="0"/>
      <w:spacing w:beforeLines="100" w:afterLines="100" w:line="520" w:lineRule="exact"/>
      <w:ind w:left="1042" w:hanging="1042"/>
      <w:textAlignment w:val="baseline"/>
    </w:pPr>
    <w:rPr>
      <w:rFonts w:ascii="ˎ̥" w:hAnsi="ˎ̥"/>
      <w:sz w:val="30"/>
    </w:rPr>
  </w:style>
  <w:style w:type="paragraph" w:customStyle="1" w:styleId="367">
    <w:name w:val="a)"/>
    <w:basedOn w:val="1"/>
    <w:qFormat/>
    <w:uiPriority w:val="0"/>
    <w:rPr>
      <w:szCs w:val="20"/>
    </w:rPr>
  </w:style>
  <w:style w:type="paragraph" w:customStyle="1" w:styleId="368">
    <w:name w:val="样式 标题 3标题 3 Char + 小四 黑色"/>
    <w:basedOn w:val="8"/>
    <w:qFormat/>
    <w:uiPriority w:val="0"/>
    <w:pPr>
      <w:widowControl w:val="0"/>
      <w:tabs>
        <w:tab w:val="left" w:pos="720"/>
        <w:tab w:val="left" w:pos="900"/>
        <w:tab w:val="left" w:pos="1260"/>
        <w:tab w:val="left" w:pos="1800"/>
      </w:tabs>
      <w:adjustRightInd w:val="0"/>
      <w:spacing w:beforeLines="50" w:afterLines="50"/>
      <w:ind w:left="-567" w:firstLine="567"/>
      <w:textAlignment w:val="baseline"/>
    </w:pPr>
    <w:rPr>
      <w:rFonts w:ascii="ˎ̥" w:hAnsi="ˎ̥"/>
      <w:color w:val="000000"/>
      <w:sz w:val="28"/>
    </w:rPr>
  </w:style>
  <w:style w:type="paragraph" w:customStyle="1" w:styleId="369">
    <w:name w:val="A标题"/>
    <w:basedOn w:val="10"/>
    <w:qFormat/>
    <w:uiPriority w:val="0"/>
    <w:pPr>
      <w:tabs>
        <w:tab w:val="left" w:pos="-120"/>
        <w:tab w:val="left" w:pos="625"/>
      </w:tabs>
      <w:spacing w:before="60" w:after="60" w:line="264" w:lineRule="auto"/>
      <w:ind w:left="625" w:hanging="425"/>
      <w:jc w:val="left"/>
    </w:pPr>
    <w:rPr>
      <w:rFonts w:ascii="Times New Roman" w:hAnsi="Times New Roman"/>
      <w:b w:val="0"/>
      <w:bCs w:val="0"/>
      <w:spacing w:val="20"/>
      <w:sz w:val="24"/>
      <w:szCs w:val="20"/>
    </w:rPr>
  </w:style>
  <w:style w:type="paragraph" w:customStyle="1" w:styleId="370">
    <w:name w:val="表格字体"/>
    <w:qFormat/>
    <w:uiPriority w:val="0"/>
    <w:pPr>
      <w:spacing w:line="320" w:lineRule="exact"/>
      <w:jc w:val="center"/>
    </w:pPr>
    <w:rPr>
      <w:rFonts w:ascii="Times New Roman" w:hAnsi="Times New Roman" w:eastAsia="ˎ̥" w:cs="Times New Roman"/>
      <w:kern w:val="2"/>
      <w:sz w:val="21"/>
      <w:lang w:val="en-US" w:eastAsia="zh-CN" w:bidi="ar-SA"/>
    </w:rPr>
  </w:style>
  <w:style w:type="paragraph" w:customStyle="1" w:styleId="371">
    <w:name w:val="流程图"/>
    <w:basedOn w:val="4"/>
    <w:qFormat/>
    <w:uiPriority w:val="0"/>
    <w:pPr>
      <w:widowControl w:val="0"/>
      <w:snapToGrid/>
      <w:spacing w:before="0" w:after="120" w:line="360" w:lineRule="auto"/>
      <w:ind w:right="0" w:firstLine="480" w:firstLineChars="200"/>
    </w:pPr>
    <w:rPr>
      <w:kern w:val="2"/>
      <w:szCs w:val="20"/>
    </w:rPr>
  </w:style>
  <w:style w:type="paragraph" w:customStyle="1" w:styleId="372">
    <w:name w:val="标题11"/>
    <w:basedOn w:val="1"/>
    <w:qFormat/>
    <w:uiPriority w:val="0"/>
    <w:pPr>
      <w:keepNext/>
      <w:keepLines/>
      <w:tabs>
        <w:tab w:val="left" w:pos="1134"/>
      </w:tabs>
      <w:spacing w:before="120" w:line="360" w:lineRule="auto"/>
      <w:jc w:val="left"/>
    </w:pPr>
    <w:rPr>
      <w:b/>
      <w:sz w:val="28"/>
      <w:szCs w:val="20"/>
    </w:rPr>
  </w:style>
  <w:style w:type="paragraph" w:customStyle="1" w:styleId="373">
    <w:name w:val="样式 标题 3 + 宋体 黑色 首行缩进:  2 字符 段前: 6 磅 段后: 6 磅 行距: 最小值 24 磅"/>
    <w:basedOn w:val="8"/>
    <w:qFormat/>
    <w:uiPriority w:val="0"/>
    <w:pPr>
      <w:widowControl w:val="0"/>
      <w:adjustRightInd w:val="0"/>
      <w:snapToGrid w:val="0"/>
      <w:spacing w:line="480" w:lineRule="atLeast"/>
      <w:ind w:firstLine="200" w:firstLineChars="200"/>
    </w:pPr>
    <w:rPr>
      <w:rFonts w:ascii="ˎ̥" w:hAnsi="ˎ̥"/>
      <w:b/>
      <w:color w:val="000000"/>
      <w:sz w:val="28"/>
    </w:rPr>
  </w:style>
  <w:style w:type="paragraph" w:customStyle="1" w:styleId="374">
    <w:name w:val="p0"/>
    <w:basedOn w:val="1"/>
    <w:qFormat/>
    <w:uiPriority w:val="0"/>
    <w:pPr>
      <w:widowControl/>
    </w:pPr>
    <w:rPr>
      <w:color w:val="000000"/>
      <w:kern w:val="0"/>
      <w:sz w:val="28"/>
      <w:szCs w:val="28"/>
    </w:rPr>
  </w:style>
  <w:style w:type="paragraph" w:customStyle="1" w:styleId="375">
    <w:name w:val="表内五中"/>
    <w:basedOn w:val="1"/>
    <w:qFormat/>
    <w:uiPriority w:val="0"/>
    <w:pPr>
      <w:tabs>
        <w:tab w:val="left" w:pos="-120"/>
      </w:tabs>
      <w:spacing w:before="60" w:line="310" w:lineRule="atLeast"/>
      <w:jc w:val="center"/>
    </w:pPr>
    <w:rPr>
      <w:szCs w:val="20"/>
    </w:rPr>
  </w:style>
  <w:style w:type="paragraph" w:customStyle="1" w:styleId="376">
    <w:name w:val="样式 标题 3标题 3 Char + 段前: 0 磅 段后: 0 磅 行距: 最小值 24 磅"/>
    <w:basedOn w:val="8"/>
    <w:qFormat/>
    <w:uiPriority w:val="0"/>
    <w:pPr>
      <w:widowControl w:val="0"/>
      <w:tabs>
        <w:tab w:val="left" w:pos="720"/>
        <w:tab w:val="left" w:pos="900"/>
        <w:tab w:val="left" w:pos="1260"/>
        <w:tab w:val="left" w:pos="1800"/>
      </w:tabs>
      <w:adjustRightInd w:val="0"/>
      <w:spacing w:beforeLines="50" w:afterLines="50"/>
      <w:ind w:left="-567" w:firstLine="567"/>
      <w:textAlignment w:val="baseline"/>
    </w:pPr>
    <w:rPr>
      <w:rFonts w:ascii="ˎ̥" w:hAnsi="ˎ̥"/>
      <w:sz w:val="30"/>
    </w:rPr>
  </w:style>
  <w:style w:type="paragraph" w:customStyle="1" w:styleId="377">
    <w:name w:val="正文首行缩进 2 + Times New Roman"/>
    <w:basedOn w:val="1"/>
    <w:qFormat/>
    <w:uiPriority w:val="0"/>
    <w:pPr>
      <w:tabs>
        <w:tab w:val="left" w:pos="0"/>
        <w:tab w:val="left" w:pos="870"/>
        <w:tab w:val="left" w:pos="3150"/>
      </w:tabs>
      <w:autoSpaceDE w:val="0"/>
      <w:autoSpaceDN w:val="0"/>
      <w:spacing w:line="360" w:lineRule="auto"/>
      <w:ind w:firstLine="200" w:firstLineChars="200"/>
    </w:pPr>
    <w:rPr>
      <w:kern w:val="0"/>
      <w:sz w:val="24"/>
      <w:szCs w:val="20"/>
    </w:rPr>
  </w:style>
  <w:style w:type="paragraph" w:customStyle="1" w:styleId="378">
    <w:name w:val="表头居左"/>
    <w:basedOn w:val="340"/>
    <w:qFormat/>
    <w:uiPriority w:val="0"/>
    <w:pPr>
      <w:spacing w:beforeLines="0" w:line="260" w:lineRule="exact"/>
      <w:ind w:firstLine="254"/>
      <w:jc w:val="both"/>
    </w:pPr>
  </w:style>
  <w:style w:type="paragraph" w:customStyle="1" w:styleId="379">
    <w:name w:val="1目录"/>
    <w:basedOn w:val="338"/>
    <w:qFormat/>
    <w:uiPriority w:val="0"/>
    <w:pPr>
      <w:keepNext w:val="0"/>
      <w:tabs>
        <w:tab w:val="left" w:leader="middleDot" w:pos="8190"/>
      </w:tabs>
      <w:spacing w:beforeLines="0" w:afterLines="0"/>
      <w:ind w:left="80" w:leftChars="80"/>
      <w:jc w:val="both"/>
      <w:textAlignment w:val="center"/>
    </w:pPr>
    <w:rPr>
      <w:b w:val="0"/>
    </w:rPr>
  </w:style>
  <w:style w:type="paragraph" w:customStyle="1" w:styleId="380">
    <w:name w:val="样式 Arial 行距: 多倍行距 1.45 字行"/>
    <w:basedOn w:val="1"/>
    <w:qFormat/>
    <w:uiPriority w:val="0"/>
    <w:pPr>
      <w:spacing w:line="480" w:lineRule="exact"/>
      <w:ind w:firstLine="500"/>
    </w:pPr>
    <w:rPr>
      <w:sz w:val="24"/>
      <w:szCs w:val="20"/>
    </w:rPr>
  </w:style>
  <w:style w:type="paragraph" w:customStyle="1" w:styleId="381">
    <w:name w:val="_Style 2"/>
    <w:basedOn w:val="1"/>
    <w:next w:val="1"/>
    <w:qFormat/>
    <w:uiPriority w:val="1"/>
    <w:pPr>
      <w:spacing w:line="440" w:lineRule="exact"/>
      <w:ind w:firstLine="420" w:firstLineChars="200"/>
    </w:pPr>
    <w:rPr>
      <w:sz w:val="24"/>
      <w:szCs w:val="20"/>
    </w:rPr>
  </w:style>
  <w:style w:type="paragraph" w:customStyle="1" w:styleId="38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ˎ̥" w:hAnsi="ˎ̥" w:eastAsia="ˎ̥"/>
      <w:kern w:val="0"/>
      <w:sz w:val="20"/>
      <w:szCs w:val="20"/>
    </w:rPr>
  </w:style>
  <w:style w:type="paragraph" w:customStyle="1" w:styleId="383">
    <w:name w:val="五号表格"/>
    <w:basedOn w:val="1"/>
    <w:qFormat/>
    <w:uiPriority w:val="0"/>
    <w:pPr>
      <w:spacing w:line="240" w:lineRule="atLeast"/>
      <w:jc w:val="center"/>
    </w:pPr>
  </w:style>
  <w:style w:type="paragraph" w:customStyle="1" w:styleId="384">
    <w:name w:val="正文文本 22"/>
    <w:basedOn w:val="1"/>
    <w:qFormat/>
    <w:uiPriority w:val="0"/>
    <w:pPr>
      <w:adjustRightInd w:val="0"/>
      <w:spacing w:line="432" w:lineRule="auto"/>
      <w:ind w:firstLine="480"/>
    </w:pPr>
    <w:rPr>
      <w:sz w:val="24"/>
      <w:szCs w:val="20"/>
    </w:rPr>
  </w:style>
  <w:style w:type="paragraph" w:customStyle="1" w:styleId="385">
    <w:name w:val="Char Char Char2 Char"/>
    <w:basedOn w:val="1"/>
    <w:qFormat/>
    <w:uiPriority w:val="0"/>
    <w:pPr>
      <w:spacing w:line="360" w:lineRule="auto"/>
      <w:ind w:firstLine="200" w:firstLineChars="200"/>
    </w:pPr>
    <w:rPr>
      <w:rFonts w:ascii="ˎ̥" w:hAnsi="ˎ̥"/>
      <w:sz w:val="24"/>
      <w:szCs w:val="20"/>
    </w:rPr>
  </w:style>
  <w:style w:type="paragraph" w:customStyle="1" w:styleId="386">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ˎ̥"/>
      <w:kern w:val="0"/>
      <w:sz w:val="20"/>
      <w:szCs w:val="20"/>
    </w:rPr>
  </w:style>
  <w:style w:type="paragraph" w:customStyle="1" w:styleId="387">
    <w:name w:val="a表格"/>
    <w:basedOn w:val="1"/>
    <w:qFormat/>
    <w:uiPriority w:val="0"/>
    <w:pPr>
      <w:snapToGrid w:val="0"/>
      <w:jc w:val="center"/>
    </w:pPr>
    <w:rPr>
      <w:szCs w:val="20"/>
    </w:rPr>
  </w:style>
  <w:style w:type="paragraph" w:customStyle="1" w:styleId="388">
    <w:name w:val="1表格头"/>
    <w:basedOn w:val="1"/>
    <w:qFormat/>
    <w:uiPriority w:val="0"/>
    <w:pPr>
      <w:snapToGrid w:val="0"/>
      <w:spacing w:line="300" w:lineRule="auto"/>
      <w:jc w:val="center"/>
      <w:outlineLvl w:val="3"/>
    </w:pPr>
    <w:rPr>
      <w:rFonts w:eastAsia="ˎ̥"/>
      <w:b/>
      <w:spacing w:val="4"/>
      <w:sz w:val="24"/>
      <w:szCs w:val="20"/>
    </w:rPr>
  </w:style>
  <w:style w:type="paragraph" w:customStyle="1" w:styleId="389">
    <w:name w:val="reader-word-layer reader-word-s7-9"/>
    <w:basedOn w:val="1"/>
    <w:qFormat/>
    <w:uiPriority w:val="0"/>
    <w:pPr>
      <w:widowControl/>
      <w:spacing w:before="100" w:beforeAutospacing="1" w:after="100" w:afterAutospacing="1"/>
      <w:jc w:val="left"/>
    </w:pPr>
    <w:rPr>
      <w:rFonts w:ascii="ˎ̥" w:hAnsi="ˎ̥" w:cs="ˎ̥"/>
      <w:kern w:val="0"/>
      <w:sz w:val="24"/>
    </w:rPr>
  </w:style>
  <w:style w:type="paragraph" w:customStyle="1" w:styleId="390">
    <w:name w:val="Char"/>
    <w:basedOn w:val="1"/>
    <w:qFormat/>
    <w:uiPriority w:val="0"/>
    <w:pPr>
      <w:snapToGrid w:val="0"/>
      <w:spacing w:line="360" w:lineRule="auto"/>
      <w:ind w:firstLine="529" w:firstLineChars="200"/>
    </w:pPr>
    <w:rPr>
      <w:rFonts w:ascii="ˎ̥" w:hAnsi="ˎ̥"/>
      <w:b/>
      <w:szCs w:val="20"/>
    </w:rPr>
  </w:style>
  <w:style w:type="paragraph" w:customStyle="1" w:styleId="391">
    <w:name w:val="中文报告书样式"/>
    <w:basedOn w:val="1"/>
    <w:qFormat/>
    <w:uiPriority w:val="0"/>
    <w:pPr>
      <w:adjustRightInd w:val="0"/>
      <w:spacing w:line="520" w:lineRule="exact"/>
      <w:ind w:firstLine="578"/>
      <w:textAlignment w:val="baseline"/>
    </w:pPr>
    <w:rPr>
      <w:kern w:val="24"/>
      <w:sz w:val="28"/>
      <w:szCs w:val="20"/>
    </w:rPr>
  </w:style>
  <w:style w:type="paragraph" w:customStyle="1" w:styleId="392">
    <w:name w:val="样式 首行缩进:  2 字符2"/>
    <w:basedOn w:val="1"/>
    <w:qFormat/>
    <w:uiPriority w:val="0"/>
    <w:pPr>
      <w:spacing w:line="520" w:lineRule="exact"/>
      <w:ind w:firstLine="560" w:firstLineChars="200"/>
    </w:pPr>
    <w:rPr>
      <w:sz w:val="24"/>
      <w:szCs w:val="20"/>
    </w:rPr>
  </w:style>
  <w:style w:type="paragraph" w:customStyle="1" w:styleId="393">
    <w:name w:val="表第一列"/>
    <w:basedOn w:val="64"/>
    <w:qFormat/>
    <w:uiPriority w:val="0"/>
    <w:pPr>
      <w:keepNext/>
      <w:keepLines/>
      <w:widowControl w:val="0"/>
      <w:tabs>
        <w:tab w:val="left" w:pos="1727"/>
        <w:tab w:val="left" w:pos="1884"/>
        <w:tab w:val="left" w:pos="2940"/>
      </w:tabs>
      <w:adjustRightInd w:val="0"/>
      <w:snapToGrid w:val="0"/>
      <w:spacing w:line="0" w:lineRule="atLeast"/>
      <w:ind w:firstLine="0"/>
      <w:jc w:val="center"/>
    </w:pPr>
    <w:rPr>
      <w:rFonts w:ascii="ˎ̥" w:hAnsi="ˎ̥"/>
      <w:color w:val="000000"/>
      <w:spacing w:val="-4"/>
      <w:kern w:val="2"/>
      <w:sz w:val="21"/>
    </w:rPr>
  </w:style>
  <w:style w:type="paragraph" w:customStyle="1" w:styleId="394">
    <w:name w:val="表文"/>
    <w:basedOn w:val="1"/>
    <w:qFormat/>
    <w:uiPriority w:val="0"/>
    <w:pPr>
      <w:ind w:firstLine="497" w:firstLineChars="200"/>
      <w:jc w:val="center"/>
    </w:pPr>
    <w:rPr>
      <w:rFonts w:ascii="ˎ̥" w:hAnsi="ˎ̥" w:eastAsia="ˎ̥"/>
      <w:spacing w:val="-8"/>
      <w:sz w:val="24"/>
      <w:szCs w:val="20"/>
      <w:lang w:val="zh-CN"/>
    </w:rPr>
  </w:style>
  <w:style w:type="paragraph" w:customStyle="1" w:styleId="395">
    <w:name w:val="正文+宋体"/>
    <w:basedOn w:val="1"/>
    <w:qFormat/>
    <w:uiPriority w:val="0"/>
    <w:pPr>
      <w:tabs>
        <w:tab w:val="left" w:pos="4680"/>
      </w:tabs>
      <w:jc w:val="center"/>
    </w:pPr>
    <w:rPr>
      <w:rFonts w:ascii="ˎ̥" w:hAnsi="ˎ̥"/>
      <w:color w:val="0000FF"/>
      <w:spacing w:val="-12"/>
      <w:szCs w:val="21"/>
    </w:rPr>
  </w:style>
  <w:style w:type="paragraph" w:customStyle="1" w:styleId="396">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ascii="ˎ̥" w:hAnsi="ˎ̥" w:eastAsia="ˎ̥"/>
      <w:color w:val="008000"/>
      <w:kern w:val="0"/>
      <w:sz w:val="20"/>
      <w:szCs w:val="20"/>
    </w:rPr>
  </w:style>
  <w:style w:type="paragraph" w:customStyle="1" w:styleId="39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398">
    <w:name w:val="图题注"/>
    <w:basedOn w:val="22"/>
    <w:qFormat/>
    <w:uiPriority w:val="0"/>
    <w:pPr>
      <w:overflowPunct/>
      <w:topLinePunct w:val="0"/>
      <w:autoSpaceDE/>
      <w:autoSpaceDN/>
      <w:adjustRightInd/>
      <w:spacing w:after="240" w:line="240" w:lineRule="auto"/>
      <w:textAlignment w:val="auto"/>
    </w:pPr>
    <w:rPr>
      <w:b w:val="0"/>
      <w:spacing w:val="0"/>
    </w:rPr>
  </w:style>
  <w:style w:type="paragraph" w:customStyle="1" w:styleId="399">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400">
    <w:name w:val="封皮字体3"/>
    <w:basedOn w:val="259"/>
    <w:qFormat/>
    <w:uiPriority w:val="0"/>
    <w:pPr>
      <w:spacing w:line="720" w:lineRule="auto"/>
    </w:pPr>
    <w:rPr>
      <w:sz w:val="30"/>
    </w:rPr>
  </w:style>
  <w:style w:type="paragraph" w:customStyle="1" w:styleId="401">
    <w:name w:val="样式 样式 首行缩进:  2 字符19 + 首行缩进:  2 字符"/>
    <w:basedOn w:val="1"/>
    <w:qFormat/>
    <w:uiPriority w:val="0"/>
    <w:pPr>
      <w:spacing w:line="520" w:lineRule="exact"/>
      <w:ind w:firstLine="480" w:firstLineChars="200"/>
    </w:pPr>
    <w:rPr>
      <w:sz w:val="24"/>
      <w:szCs w:val="20"/>
    </w:rPr>
  </w:style>
  <w:style w:type="paragraph" w:customStyle="1" w:styleId="402">
    <w:name w:val="font7"/>
    <w:basedOn w:val="1"/>
    <w:qFormat/>
    <w:uiPriority w:val="0"/>
    <w:pPr>
      <w:widowControl/>
      <w:spacing w:before="100" w:beforeAutospacing="1" w:after="100" w:afterAutospacing="1"/>
      <w:jc w:val="left"/>
    </w:pPr>
    <w:rPr>
      <w:rFonts w:eastAsia="ˎ̥"/>
      <w:kern w:val="0"/>
      <w:sz w:val="20"/>
      <w:szCs w:val="20"/>
    </w:rPr>
  </w:style>
  <w:style w:type="paragraph" w:customStyle="1" w:styleId="403">
    <w:name w:val="样式6"/>
    <w:basedOn w:val="10"/>
    <w:qFormat/>
    <w:uiPriority w:val="0"/>
    <w:pPr>
      <w:tabs>
        <w:tab w:val="left" w:pos="720"/>
      </w:tabs>
      <w:spacing w:before="0" w:after="0" w:line="480" w:lineRule="exact"/>
      <w:ind w:firstLine="567"/>
    </w:pPr>
    <w:rPr>
      <w:rFonts w:ascii="Times New Roman" w:hAnsi="Times New Roman"/>
      <w:bCs w:val="0"/>
      <w:szCs w:val="20"/>
    </w:rPr>
  </w:style>
  <w:style w:type="paragraph" w:customStyle="1" w:styleId="404">
    <w:name w:val="表头文字"/>
    <w:basedOn w:val="1"/>
    <w:qFormat/>
    <w:uiPriority w:val="0"/>
    <w:pPr>
      <w:jc w:val="center"/>
    </w:pPr>
    <w:rPr>
      <w:rFonts w:eastAsia="ˎ̥"/>
      <w:sz w:val="24"/>
      <w:szCs w:val="20"/>
    </w:rPr>
  </w:style>
  <w:style w:type="paragraph" w:customStyle="1" w:styleId="405">
    <w:name w:val="表格右"/>
    <w:basedOn w:val="138"/>
    <w:qFormat/>
    <w:uiPriority w:val="0"/>
    <w:pPr>
      <w:suppressAutoHyphens/>
      <w:adjustRightInd/>
      <w:spacing w:beforeLines="0" w:afterLines="0" w:line="240" w:lineRule="auto"/>
      <w:ind w:firstLine="351" w:firstLineChars="167"/>
      <w:jc w:val="both"/>
    </w:pPr>
    <w:rPr>
      <w:rFonts w:ascii="ˎ̥" w:hAnsi="ˎ̥"/>
      <w:kern w:val="1"/>
      <w:sz w:val="21"/>
      <w:szCs w:val="20"/>
      <w:lang w:val="zh-CN"/>
    </w:rPr>
  </w:style>
  <w:style w:type="paragraph" w:customStyle="1" w:styleId="406">
    <w:name w:val="样式 标题 3 + 首行缩进:  2 字符"/>
    <w:basedOn w:val="8"/>
    <w:qFormat/>
    <w:uiPriority w:val="0"/>
    <w:pPr>
      <w:widowControl w:val="0"/>
      <w:spacing w:before="60" w:after="60" w:line="440" w:lineRule="atLeast"/>
    </w:pPr>
    <w:rPr>
      <w:b/>
    </w:rPr>
  </w:style>
  <w:style w:type="paragraph" w:customStyle="1" w:styleId="407">
    <w:name w:val="文"/>
    <w:basedOn w:val="1"/>
    <w:qFormat/>
    <w:uiPriority w:val="0"/>
    <w:pPr>
      <w:spacing w:line="360" w:lineRule="auto"/>
      <w:ind w:firstLine="480" w:firstLineChars="200"/>
    </w:pPr>
    <w:rPr>
      <w:sz w:val="24"/>
      <w:szCs w:val="20"/>
    </w:rPr>
  </w:style>
  <w:style w:type="paragraph" w:customStyle="1" w:styleId="408">
    <w:name w:val="新正文"/>
    <w:basedOn w:val="1"/>
    <w:qFormat/>
    <w:uiPriority w:val="0"/>
    <w:pPr>
      <w:spacing w:line="480" w:lineRule="exact"/>
      <w:ind w:firstLine="482"/>
    </w:pPr>
    <w:rPr>
      <w:rFonts w:hint="eastAsia" w:ascii="ˎ̥" w:eastAsia="ˎ̥"/>
      <w:kern w:val="0"/>
      <w:sz w:val="28"/>
      <w:szCs w:val="20"/>
    </w:rPr>
  </w:style>
  <w:style w:type="paragraph" w:customStyle="1" w:styleId="409">
    <w:name w:val="题目"/>
    <w:basedOn w:val="7"/>
    <w:next w:val="1"/>
    <w:qFormat/>
    <w:uiPriority w:val="0"/>
    <w:pPr>
      <w:overflowPunct/>
      <w:snapToGrid/>
      <w:spacing w:before="100" w:beforeAutospacing="1" w:after="100" w:afterAutospacing="1" w:line="240" w:lineRule="auto"/>
      <w:ind w:left="100" w:leftChars="100" w:right="100" w:rightChars="100" w:firstLine="0"/>
      <w:jc w:val="center"/>
    </w:pPr>
    <w:rPr>
      <w:rFonts w:eastAsia="ˎ̥"/>
      <w:bCs w:val="0"/>
      <w:color w:val="auto"/>
      <w:szCs w:val="20"/>
    </w:rPr>
  </w:style>
  <w:style w:type="paragraph" w:customStyle="1" w:styleId="410">
    <w:name w:val="样式 标题 1 + 首行缩进:  2 字符 段前: 12 磅 段后: 12 磅 行距: 最小值 24 磅"/>
    <w:basedOn w:val="7"/>
    <w:qFormat/>
    <w:uiPriority w:val="0"/>
    <w:pPr>
      <w:overflowPunct/>
      <w:adjustRightInd w:val="0"/>
      <w:spacing w:before="240" w:after="240" w:line="480" w:lineRule="atLeast"/>
      <w:ind w:left="0" w:firstLine="0"/>
    </w:pPr>
    <w:rPr>
      <w:rFonts w:eastAsia="宋体"/>
      <w:bCs w:val="0"/>
      <w:color w:val="auto"/>
      <w:sz w:val="32"/>
      <w:szCs w:val="20"/>
    </w:rPr>
  </w:style>
  <w:style w:type="paragraph" w:customStyle="1" w:styleId="411">
    <w:name w:val="表内"/>
    <w:basedOn w:val="1"/>
    <w:qFormat/>
    <w:uiPriority w:val="0"/>
    <w:pPr>
      <w:jc w:val="center"/>
    </w:pPr>
    <w:rPr>
      <w:szCs w:val="20"/>
    </w:rPr>
  </w:style>
  <w:style w:type="paragraph" w:customStyle="1" w:styleId="412">
    <w:name w:val="样式 正文（首行缩进两字） + 宋体 小四 加粗 行距: 固定值 24 磅"/>
    <w:basedOn w:val="1"/>
    <w:qFormat/>
    <w:uiPriority w:val="0"/>
    <w:pPr>
      <w:adjustRightInd w:val="0"/>
      <w:spacing w:line="480" w:lineRule="exact"/>
      <w:ind w:firstLine="480" w:firstLineChars="200"/>
      <w:textAlignment w:val="baseline"/>
    </w:pPr>
    <w:rPr>
      <w:sz w:val="24"/>
      <w:szCs w:val="20"/>
      <w:lang w:val="en-GB"/>
    </w:rPr>
  </w:style>
  <w:style w:type="paragraph" w:customStyle="1" w:styleId="413">
    <w:name w:val="条题"/>
    <w:basedOn w:val="1"/>
    <w:qFormat/>
    <w:uiPriority w:val="0"/>
    <w:pPr>
      <w:tabs>
        <w:tab w:val="left" w:pos="360"/>
        <w:tab w:val="left" w:pos="720"/>
        <w:tab w:val="left" w:pos="1640"/>
      </w:tabs>
      <w:spacing w:beforeLines="50" w:line="480" w:lineRule="exact"/>
      <w:ind w:left="360" w:hanging="360"/>
    </w:pPr>
    <w:rPr>
      <w:color w:val="000000"/>
      <w:sz w:val="24"/>
      <w:szCs w:val="20"/>
    </w:rPr>
  </w:style>
  <w:style w:type="paragraph" w:customStyle="1" w:styleId="414">
    <w:name w:val="2"/>
    <w:basedOn w:val="1"/>
    <w:qFormat/>
    <w:uiPriority w:val="0"/>
    <w:pPr>
      <w:snapToGrid w:val="0"/>
      <w:spacing w:line="360" w:lineRule="auto"/>
      <w:ind w:firstLine="529" w:firstLineChars="200"/>
    </w:pPr>
    <w:rPr>
      <w:szCs w:val="20"/>
    </w:rPr>
  </w:style>
  <w:style w:type="paragraph" w:customStyle="1" w:styleId="415">
    <w:name w:val="标准"/>
    <w:basedOn w:val="1"/>
    <w:qFormat/>
    <w:uiPriority w:val="0"/>
    <w:pPr>
      <w:adjustRightInd w:val="0"/>
      <w:spacing w:line="480" w:lineRule="exact"/>
      <w:ind w:firstLine="200" w:firstLineChars="200"/>
      <w:jc w:val="distribute"/>
      <w:textAlignment w:val="baseline"/>
    </w:pPr>
    <w:rPr>
      <w:rFonts w:ascii="ˎ̥" w:eastAsia="ˎ̥"/>
      <w:kern w:val="0"/>
      <w:sz w:val="32"/>
      <w:szCs w:val="20"/>
    </w:rPr>
  </w:style>
  <w:style w:type="paragraph" w:customStyle="1" w:styleId="416">
    <w:name w:val="样式9"/>
    <w:basedOn w:val="8"/>
    <w:qFormat/>
    <w:uiPriority w:val="0"/>
    <w:pPr>
      <w:widowControl w:val="0"/>
      <w:tabs>
        <w:tab w:val="left" w:pos="720"/>
        <w:tab w:val="left" w:pos="900"/>
        <w:tab w:val="left" w:pos="1260"/>
        <w:tab w:val="left" w:pos="1800"/>
      </w:tabs>
      <w:spacing w:before="0" w:after="0"/>
      <w:ind w:left="720" w:hanging="720"/>
    </w:pPr>
    <w:rPr>
      <w:rFonts w:ascii="ˎ̥" w:hAnsi="ˎ̥"/>
      <w:sz w:val="28"/>
    </w:rPr>
  </w:style>
  <w:style w:type="paragraph" w:customStyle="1" w:styleId="417">
    <w:name w:val="报告书表格5"/>
    <w:basedOn w:val="418"/>
    <w:qFormat/>
    <w:uiPriority w:val="0"/>
    <w:pPr>
      <w:ind w:left="-96" w:leftChars="-40" w:right="-46" w:rightChars="-46"/>
    </w:pPr>
  </w:style>
  <w:style w:type="paragraph" w:customStyle="1" w:styleId="418">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419">
    <w:name w:val="WW-纯文本"/>
    <w:basedOn w:val="1"/>
    <w:qFormat/>
    <w:uiPriority w:val="0"/>
    <w:pPr>
      <w:suppressAutoHyphens/>
      <w:spacing w:line="360" w:lineRule="auto"/>
    </w:pPr>
    <w:rPr>
      <w:rFonts w:ascii="ˎ̥" w:hAnsi="ˎ̥"/>
      <w:kern w:val="1"/>
      <w:sz w:val="24"/>
      <w:szCs w:val="20"/>
      <w:lang w:eastAsia="ar-SA"/>
    </w:rPr>
  </w:style>
  <w:style w:type="paragraph" w:customStyle="1" w:styleId="420">
    <w:name w:val="Char1 Char Char Char"/>
    <w:basedOn w:val="1"/>
    <w:qFormat/>
    <w:uiPriority w:val="0"/>
    <w:pPr>
      <w:snapToGrid w:val="0"/>
      <w:spacing w:line="360" w:lineRule="auto"/>
      <w:ind w:firstLine="529" w:firstLineChars="200"/>
    </w:pPr>
    <w:rPr>
      <w:rFonts w:ascii="ˎ̥" w:hAnsi="ˎ̥"/>
      <w:b/>
      <w:szCs w:val="20"/>
    </w:rPr>
  </w:style>
  <w:style w:type="paragraph" w:customStyle="1" w:styleId="421">
    <w:name w:val="1标题4级"/>
    <w:basedOn w:val="338"/>
    <w:qFormat/>
    <w:uiPriority w:val="0"/>
    <w:pPr>
      <w:spacing w:beforeLines="0" w:afterLines="0"/>
      <w:jc w:val="both"/>
      <w:textAlignment w:val="center"/>
    </w:pPr>
  </w:style>
  <w:style w:type="paragraph" w:customStyle="1" w:styleId="422">
    <w:name w:val="7表格(治)"/>
    <w:qFormat/>
    <w:uiPriority w:val="0"/>
    <w:pPr>
      <w:widowControl w:val="0"/>
      <w:spacing w:line="320" w:lineRule="exact"/>
      <w:jc w:val="center"/>
    </w:pPr>
    <w:rPr>
      <w:rFonts w:ascii="ˎ̥" w:hAnsi="ˎ̥" w:eastAsia="宋体" w:cs="Times New Roman"/>
      <w:sz w:val="21"/>
      <w:lang w:val="en-US" w:eastAsia="zh-CN" w:bidi="ar-SA"/>
    </w:rPr>
  </w:style>
  <w:style w:type="paragraph" w:customStyle="1" w:styleId="423">
    <w:name w:val="样式 样式 标题 3标题 3 Char + 黑色 行距: 固定值 26 磅 + 段前: 1 行 段后: 1 行"/>
    <w:basedOn w:val="366"/>
    <w:qFormat/>
    <w:uiPriority w:val="0"/>
    <w:pPr>
      <w:spacing w:beforeLines="50" w:afterLines="50"/>
    </w:pPr>
  </w:style>
  <w:style w:type="paragraph" w:customStyle="1" w:styleId="424">
    <w:name w:val="设计文本"/>
    <w:basedOn w:val="1"/>
    <w:qFormat/>
    <w:uiPriority w:val="0"/>
    <w:pPr>
      <w:spacing w:line="300" w:lineRule="exact"/>
      <w:jc w:val="center"/>
    </w:pPr>
    <w:rPr>
      <w:color w:val="FF0000"/>
      <w:spacing w:val="8"/>
      <w:szCs w:val="20"/>
    </w:rPr>
  </w:style>
  <w:style w:type="paragraph" w:customStyle="1" w:styleId="425">
    <w:name w:val="样式 热电厂正文 + 首行缩进:  2 字符"/>
    <w:basedOn w:val="1"/>
    <w:qFormat/>
    <w:uiPriority w:val="0"/>
    <w:pPr>
      <w:spacing w:line="480" w:lineRule="exact"/>
      <w:ind w:firstLine="480" w:firstLineChars="200"/>
    </w:pPr>
    <w:rPr>
      <w:sz w:val="24"/>
      <w:szCs w:val="20"/>
    </w:rPr>
  </w:style>
  <w:style w:type="paragraph" w:customStyle="1" w:styleId="426">
    <w:name w:val="表格内容居中"/>
    <w:qFormat/>
    <w:uiPriority w:val="0"/>
    <w:pPr>
      <w:adjustRightInd w:val="0"/>
      <w:snapToGrid w:val="0"/>
      <w:jc w:val="center"/>
    </w:pPr>
    <w:rPr>
      <w:rFonts w:ascii="Times New Roman" w:hAnsi="Times New Roman" w:eastAsia="宋体" w:cs="Times New Roman"/>
      <w:snapToGrid w:val="0"/>
      <w:sz w:val="21"/>
      <w:lang w:val="en-US" w:eastAsia="zh-CN" w:bidi="ar-SA"/>
    </w:rPr>
  </w:style>
  <w:style w:type="paragraph" w:customStyle="1" w:styleId="427">
    <w:name w:val="表格式"/>
    <w:basedOn w:val="53"/>
    <w:qFormat/>
    <w:uiPriority w:val="0"/>
    <w:pPr>
      <w:spacing w:line="400" w:lineRule="exact"/>
      <w:ind w:left="0" w:firstLine="0" w:firstLineChars="0"/>
      <w:jc w:val="center"/>
    </w:pPr>
    <w:rPr>
      <w:rFonts w:ascii="ˎ̥"/>
    </w:rPr>
  </w:style>
  <w:style w:type="paragraph" w:customStyle="1" w:styleId="428">
    <w:name w:val="表中文字"/>
    <w:basedOn w:val="1"/>
    <w:link w:val="587"/>
    <w:qFormat/>
    <w:uiPriority w:val="0"/>
    <w:pPr>
      <w:spacing w:line="240" w:lineRule="exact"/>
      <w:jc w:val="center"/>
    </w:pPr>
    <w:rPr>
      <w:rFonts w:ascii="ˎ̥" w:hAnsi="ˎ̥"/>
      <w:szCs w:val="20"/>
    </w:rPr>
  </w:style>
  <w:style w:type="paragraph" w:customStyle="1" w:styleId="429">
    <w:name w:val="表格新"/>
    <w:basedOn w:val="1"/>
    <w:qFormat/>
    <w:uiPriority w:val="0"/>
    <w:pPr>
      <w:adjustRightInd w:val="0"/>
      <w:snapToGrid w:val="0"/>
      <w:spacing w:before="60" w:after="60"/>
      <w:jc w:val="center"/>
      <w:textAlignment w:val="baseline"/>
    </w:pPr>
    <w:rPr>
      <w:rFonts w:ascii="ˎ̥" w:hAnsi="ˎ̥"/>
      <w:kern w:val="0"/>
      <w:sz w:val="24"/>
      <w:szCs w:val="20"/>
    </w:rPr>
  </w:style>
  <w:style w:type="paragraph" w:customStyle="1" w:styleId="430">
    <w:name w:val="主要行岗位规范"/>
    <w:basedOn w:val="1"/>
    <w:qFormat/>
    <w:uiPriority w:val="0"/>
    <w:pPr>
      <w:widowControl/>
      <w:spacing w:line="280" w:lineRule="atLeast"/>
      <w:jc w:val="center"/>
    </w:pPr>
    <w:rPr>
      <w:kern w:val="0"/>
      <w:sz w:val="24"/>
      <w:szCs w:val="20"/>
    </w:rPr>
  </w:style>
  <w:style w:type="paragraph" w:customStyle="1" w:styleId="431">
    <w:name w:val="样式 行距: 1.5 倍行距"/>
    <w:basedOn w:val="1"/>
    <w:qFormat/>
    <w:uiPriority w:val="0"/>
    <w:pPr>
      <w:spacing w:line="480" w:lineRule="exact"/>
      <w:ind w:firstLine="200" w:firstLineChars="200"/>
    </w:pPr>
    <w:rPr>
      <w:sz w:val="24"/>
      <w:szCs w:val="20"/>
    </w:rPr>
  </w:style>
  <w:style w:type="paragraph" w:customStyle="1" w:styleId="432">
    <w:name w:val="样式 首行缩进:  2 字符 行距: 固定值 26 磅"/>
    <w:basedOn w:val="1"/>
    <w:qFormat/>
    <w:uiPriority w:val="0"/>
    <w:pPr>
      <w:spacing w:line="480" w:lineRule="exact"/>
      <w:ind w:firstLine="200" w:firstLineChars="200"/>
    </w:pPr>
    <w:rPr>
      <w:sz w:val="24"/>
      <w:szCs w:val="20"/>
    </w:rPr>
  </w:style>
  <w:style w:type="paragraph" w:customStyle="1" w:styleId="433">
    <w:name w:val="WPSOffice手动目录 1"/>
    <w:qFormat/>
    <w:uiPriority w:val="0"/>
    <w:rPr>
      <w:rFonts w:ascii="Times New Roman" w:hAnsi="Times New Roman" w:eastAsia="宋体" w:cs="Times New Roman"/>
      <w:lang w:val="en-US" w:eastAsia="zh-CN" w:bidi="ar-SA"/>
    </w:rPr>
  </w:style>
  <w:style w:type="paragraph" w:customStyle="1" w:styleId="434">
    <w:name w:val="c"/>
    <w:qFormat/>
    <w:uiPriority w:val="0"/>
    <w:pPr>
      <w:widowControl w:val="0"/>
      <w:autoSpaceDE w:val="0"/>
      <w:autoSpaceDN w:val="0"/>
      <w:adjustRightInd w:val="0"/>
      <w:jc w:val="both"/>
    </w:pPr>
    <w:rPr>
      <w:rFonts w:ascii="ˎ̥" w:hAnsi="ˎ̥" w:eastAsia="宋体" w:cs="Times New Roman"/>
      <w:sz w:val="24"/>
      <w:lang w:val="en-US" w:eastAsia="zh-CN" w:bidi="ar-SA"/>
    </w:rPr>
  </w:style>
  <w:style w:type="paragraph" w:customStyle="1" w:styleId="435">
    <w:name w:val="样式 题注 + 两端对齐"/>
    <w:basedOn w:val="22"/>
    <w:qFormat/>
    <w:uiPriority w:val="0"/>
    <w:pPr>
      <w:keepNext/>
      <w:overflowPunct/>
      <w:topLinePunct w:val="0"/>
      <w:autoSpaceDE/>
      <w:autoSpaceDN/>
      <w:adjustRightInd/>
      <w:snapToGrid/>
      <w:spacing w:before="0" w:line="360" w:lineRule="auto"/>
      <w:textAlignment w:val="auto"/>
    </w:pPr>
    <w:rPr>
      <w:rFonts w:ascii="Times New Roman" w:hAnsi="Times New Roman"/>
      <w:b w:val="0"/>
      <w:spacing w:val="0"/>
      <w:kern w:val="2"/>
      <w:sz w:val="24"/>
    </w:rPr>
  </w:style>
  <w:style w:type="paragraph" w:customStyle="1" w:styleId="436">
    <w:name w:val="正文首缩"/>
    <w:basedOn w:val="4"/>
    <w:qFormat/>
    <w:uiPriority w:val="0"/>
    <w:pPr>
      <w:widowControl w:val="0"/>
      <w:spacing w:before="0" w:after="80" w:line="288" w:lineRule="auto"/>
      <w:ind w:right="0" w:firstLine="454"/>
    </w:pPr>
    <w:rPr>
      <w:kern w:val="2"/>
      <w:sz w:val="24"/>
      <w:szCs w:val="20"/>
    </w:rPr>
  </w:style>
  <w:style w:type="paragraph" w:customStyle="1" w:styleId="437">
    <w:name w:val="样式 小四 首行缩进:  2 字符"/>
    <w:basedOn w:val="1"/>
    <w:next w:val="1"/>
    <w:qFormat/>
    <w:uiPriority w:val="0"/>
    <w:pPr>
      <w:adjustRightInd w:val="0"/>
      <w:spacing w:line="480" w:lineRule="atLeast"/>
      <w:ind w:firstLine="180" w:firstLineChars="180"/>
      <w:textAlignment w:val="baseline"/>
    </w:pPr>
    <w:rPr>
      <w:kern w:val="0"/>
      <w:sz w:val="24"/>
      <w:szCs w:val="20"/>
    </w:rPr>
  </w:style>
  <w:style w:type="paragraph" w:customStyle="1" w:styleId="438">
    <w:name w:val="Char Char Char1"/>
    <w:basedOn w:val="1"/>
    <w:qFormat/>
    <w:uiPriority w:val="0"/>
    <w:rPr>
      <w:szCs w:val="20"/>
    </w:rPr>
  </w:style>
  <w:style w:type="paragraph" w:customStyle="1" w:styleId="439">
    <w:name w:val="样式 标题 2 + 段前: 6 磅 段后: 6 磅 行距: 最小值 24 磅"/>
    <w:basedOn w:val="9"/>
    <w:qFormat/>
    <w:uiPriority w:val="0"/>
    <w:pPr>
      <w:keepLines/>
      <w:adjustRightInd w:val="0"/>
      <w:snapToGrid w:val="0"/>
      <w:spacing w:before="120" w:after="120" w:line="480" w:lineRule="atLeast"/>
    </w:pPr>
    <w:rPr>
      <w:sz w:val="30"/>
    </w:rPr>
  </w:style>
  <w:style w:type="paragraph" w:customStyle="1" w:styleId="440">
    <w:name w:val="样式 首行缩进:  2 字符10"/>
    <w:basedOn w:val="1"/>
    <w:qFormat/>
    <w:uiPriority w:val="0"/>
    <w:pPr>
      <w:spacing w:line="520" w:lineRule="exact"/>
      <w:ind w:firstLine="560" w:firstLineChars="200"/>
    </w:pPr>
    <w:rPr>
      <w:sz w:val="24"/>
      <w:szCs w:val="20"/>
    </w:rPr>
  </w:style>
  <w:style w:type="paragraph" w:customStyle="1" w:styleId="441">
    <w:name w:val="样式 标题 1 + 加粗"/>
    <w:basedOn w:val="7"/>
    <w:qFormat/>
    <w:uiPriority w:val="0"/>
    <w:pPr>
      <w:overflowPunct/>
      <w:adjustRightInd w:val="0"/>
      <w:spacing w:before="360" w:after="360" w:line="480" w:lineRule="atLeast"/>
      <w:ind w:left="0" w:firstLine="0"/>
    </w:pPr>
    <w:rPr>
      <w:rFonts w:eastAsia="ˎ̥"/>
      <w:bCs w:val="0"/>
      <w:color w:val="auto"/>
      <w:sz w:val="36"/>
      <w:szCs w:val="20"/>
    </w:rPr>
  </w:style>
  <w:style w:type="paragraph" w:customStyle="1" w:styleId="442">
    <w:name w:val="样式节"/>
    <w:basedOn w:val="1"/>
    <w:qFormat/>
    <w:uiPriority w:val="0"/>
    <w:pPr>
      <w:adjustRightInd w:val="0"/>
      <w:snapToGrid w:val="0"/>
      <w:spacing w:before="120" w:after="120" w:line="312" w:lineRule="auto"/>
      <w:ind w:firstLine="567"/>
    </w:pPr>
    <w:rPr>
      <w:rFonts w:ascii="ˎ̥" w:hAnsi="ˎ̥"/>
      <w:b/>
      <w:spacing w:val="6"/>
      <w:sz w:val="32"/>
      <w:szCs w:val="20"/>
    </w:rPr>
  </w:style>
  <w:style w:type="paragraph" w:customStyle="1" w:styleId="443">
    <w:name w:val="Char Char Char Char Char Char Char"/>
    <w:basedOn w:val="1"/>
    <w:qFormat/>
    <w:uiPriority w:val="0"/>
    <w:rPr>
      <w:szCs w:val="20"/>
    </w:rPr>
  </w:style>
  <w:style w:type="paragraph" w:customStyle="1" w:styleId="444">
    <w:name w:val="项目符号2"/>
    <w:basedOn w:val="1"/>
    <w:qFormat/>
    <w:uiPriority w:val="0"/>
    <w:pPr>
      <w:tabs>
        <w:tab w:val="left" w:pos="720"/>
      </w:tabs>
      <w:overflowPunct w:val="0"/>
      <w:snapToGrid w:val="0"/>
      <w:spacing w:line="480" w:lineRule="exact"/>
      <w:ind w:left="720" w:hanging="720"/>
    </w:pPr>
    <w:rPr>
      <w:rFonts w:ascii="ˎ̥" w:hAnsi="ˎ̥" w:eastAsia="ˎ̥"/>
      <w:sz w:val="28"/>
      <w:szCs w:val="20"/>
    </w:rPr>
  </w:style>
  <w:style w:type="paragraph" w:customStyle="1" w:styleId="445">
    <w:name w:val="BIG BOLD"/>
    <w:basedOn w:val="1"/>
    <w:qFormat/>
    <w:uiPriority w:val="0"/>
    <w:pPr>
      <w:tabs>
        <w:tab w:val="left" w:leader="underscore" w:pos="1134"/>
      </w:tabs>
    </w:pPr>
    <w:rPr>
      <w:szCs w:val="20"/>
    </w:rPr>
  </w:style>
  <w:style w:type="paragraph" w:customStyle="1" w:styleId="446">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szCs w:val="20"/>
    </w:rPr>
  </w:style>
  <w:style w:type="paragraph" w:customStyle="1" w:styleId="447">
    <w:name w:val="表格文字"/>
    <w:basedOn w:val="1"/>
    <w:next w:val="1"/>
    <w:qFormat/>
    <w:uiPriority w:val="0"/>
    <w:pPr>
      <w:snapToGrid w:val="0"/>
      <w:spacing w:line="360" w:lineRule="exact"/>
      <w:jc w:val="center"/>
    </w:pPr>
    <w:rPr>
      <w:kern w:val="0"/>
      <w:sz w:val="24"/>
      <w:szCs w:val="20"/>
    </w:rPr>
  </w:style>
  <w:style w:type="paragraph" w:customStyle="1" w:styleId="448">
    <w:name w:val="Char Char Char Char Char Char Char Char Char"/>
    <w:basedOn w:val="1"/>
    <w:qFormat/>
    <w:uiPriority w:val="0"/>
    <w:rPr>
      <w:sz w:val="24"/>
      <w:szCs w:val="20"/>
    </w:rPr>
  </w:style>
  <w:style w:type="paragraph" w:customStyle="1" w:styleId="449">
    <w:name w:val="封面标准名称"/>
    <w:qFormat/>
    <w:uiPriority w:val="0"/>
    <w:pPr>
      <w:widowControl w:val="0"/>
      <w:spacing w:line="680" w:lineRule="exact"/>
      <w:jc w:val="center"/>
      <w:textAlignment w:val="center"/>
    </w:pPr>
    <w:rPr>
      <w:rFonts w:ascii="ˎ̥" w:hAnsi="Times New Roman" w:eastAsia="ˎ̥" w:cs="Times New Roman"/>
      <w:sz w:val="52"/>
      <w:lang w:val="en-US" w:eastAsia="zh-CN" w:bidi="ar-SA"/>
    </w:rPr>
  </w:style>
  <w:style w:type="paragraph" w:customStyle="1" w:styleId="450">
    <w:name w:val="样式 标题 3 + 段前: 0.5 行"/>
    <w:basedOn w:val="8"/>
    <w:qFormat/>
    <w:uiPriority w:val="0"/>
    <w:pPr>
      <w:keepNext w:val="0"/>
      <w:keepLines w:val="0"/>
      <w:widowControl w:val="0"/>
      <w:spacing w:before="0" w:after="0" w:line="240" w:lineRule="exact"/>
      <w:jc w:val="center"/>
      <w:outlineLvl w:val="9"/>
    </w:pPr>
    <w:rPr>
      <w:color w:val="000000"/>
      <w:sz w:val="21"/>
    </w:rPr>
  </w:style>
  <w:style w:type="paragraph" w:customStyle="1" w:styleId="451">
    <w:name w:val="样式表头"/>
    <w:basedOn w:val="1"/>
    <w:qFormat/>
    <w:uiPriority w:val="0"/>
    <w:pPr>
      <w:snapToGrid w:val="0"/>
      <w:spacing w:line="312" w:lineRule="auto"/>
      <w:jc w:val="center"/>
    </w:pPr>
    <w:rPr>
      <w:rFonts w:ascii="ˎ̥" w:hAnsi="ˎ̥" w:eastAsia="ˎ̥"/>
      <w:b/>
      <w:spacing w:val="6"/>
      <w:sz w:val="32"/>
      <w:szCs w:val="20"/>
    </w:rPr>
  </w:style>
  <w:style w:type="paragraph" w:customStyle="1" w:styleId="452">
    <w:name w:val="1标题1级"/>
    <w:basedOn w:val="1"/>
    <w:qFormat/>
    <w:uiPriority w:val="0"/>
    <w:pPr>
      <w:keepNext/>
      <w:snapToGrid w:val="0"/>
      <w:spacing w:beforeLines="100" w:afterLines="100"/>
      <w:outlineLvl w:val="0"/>
    </w:pPr>
    <w:rPr>
      <w:rFonts w:eastAsia="ˎ̥"/>
      <w:b/>
      <w:sz w:val="30"/>
      <w:szCs w:val="20"/>
    </w:rPr>
  </w:style>
  <w:style w:type="paragraph" w:customStyle="1" w:styleId="453">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ˎ̥" w:hAnsi="ˎ̥"/>
      <w:kern w:val="0"/>
      <w:sz w:val="18"/>
      <w:szCs w:val="20"/>
    </w:rPr>
  </w:style>
  <w:style w:type="paragraph" w:customStyle="1" w:styleId="454">
    <w:name w:val="修订1"/>
    <w:qFormat/>
    <w:uiPriority w:val="0"/>
    <w:rPr>
      <w:rFonts w:ascii="Times New Roman" w:hAnsi="Times New Roman" w:eastAsia="宋体" w:cs="Times New Roman"/>
      <w:kern w:val="2"/>
      <w:sz w:val="24"/>
      <w:lang w:val="en-US" w:eastAsia="zh-CN" w:bidi="ar-SA"/>
    </w:rPr>
  </w:style>
  <w:style w:type="paragraph" w:customStyle="1" w:styleId="455">
    <w:name w:val="4"/>
    <w:basedOn w:val="1"/>
    <w:next w:val="29"/>
    <w:qFormat/>
    <w:uiPriority w:val="0"/>
    <w:pPr>
      <w:spacing w:line="240" w:lineRule="atLeast"/>
    </w:pPr>
    <w:rPr>
      <w:sz w:val="28"/>
      <w:szCs w:val="20"/>
    </w:rPr>
  </w:style>
  <w:style w:type="paragraph" w:customStyle="1" w:styleId="456">
    <w:name w:val="a"/>
    <w:basedOn w:val="1"/>
    <w:qFormat/>
    <w:uiPriority w:val="0"/>
    <w:pPr>
      <w:widowControl/>
      <w:spacing w:before="100" w:beforeAutospacing="1" w:after="100" w:afterAutospacing="1"/>
      <w:jc w:val="left"/>
    </w:pPr>
    <w:rPr>
      <w:rFonts w:ascii="ˎ̥" w:hAnsi="ˎ̥"/>
      <w:kern w:val="0"/>
      <w:sz w:val="24"/>
      <w:szCs w:val="20"/>
    </w:rPr>
  </w:style>
  <w:style w:type="paragraph" w:customStyle="1" w:styleId="457">
    <w:name w:val="zxz5"/>
    <w:next w:val="1"/>
    <w:qFormat/>
    <w:uiPriority w:val="0"/>
    <w:pPr>
      <w:tabs>
        <w:tab w:val="left" w:pos="0"/>
      </w:tabs>
      <w:jc w:val="center"/>
    </w:pPr>
    <w:rPr>
      <w:rFonts w:ascii="ˎ̥" w:hAnsi="ˎ̥" w:eastAsia="Times New Roman" w:cs="Times New Roman"/>
      <w:kern w:val="2"/>
      <w:sz w:val="18"/>
      <w:lang w:val="en-US" w:eastAsia="zh-CN" w:bidi="ar-SA"/>
    </w:rPr>
  </w:style>
  <w:style w:type="paragraph" w:customStyle="1" w:styleId="458">
    <w:name w:val="Char Char Char Char Char Char Char Char Char Char Char Char Char Char Char Char Char Char Char1"/>
    <w:basedOn w:val="1"/>
    <w:qFormat/>
    <w:uiPriority w:val="0"/>
    <w:pPr>
      <w:spacing w:line="360" w:lineRule="auto"/>
      <w:ind w:firstLine="200" w:firstLineChars="200"/>
      <w:jc w:val="left"/>
    </w:pPr>
    <w:rPr>
      <w:rFonts w:ascii="ˎ̥" w:hAnsi="ˎ̥"/>
      <w:sz w:val="24"/>
      <w:szCs w:val="20"/>
    </w:rPr>
  </w:style>
  <w:style w:type="paragraph" w:customStyle="1" w:styleId="459">
    <w:name w:val="表头样式1"/>
    <w:basedOn w:val="1"/>
    <w:qFormat/>
    <w:uiPriority w:val="0"/>
    <w:pPr>
      <w:autoSpaceDE w:val="0"/>
      <w:autoSpaceDN w:val="0"/>
      <w:adjustRightInd w:val="0"/>
      <w:spacing w:beforeLines="30"/>
      <w:jc w:val="center"/>
    </w:pPr>
    <w:rPr>
      <w:rFonts w:ascii="ˎ̥" w:hAnsi="ˎ̥" w:eastAsia="ˎ̥"/>
      <w:color w:val="000000"/>
      <w:kern w:val="0"/>
      <w:sz w:val="24"/>
      <w:szCs w:val="20"/>
    </w:rPr>
  </w:style>
  <w:style w:type="paragraph" w:customStyle="1" w:styleId="460">
    <w:name w:val="前言、引言标题"/>
    <w:next w:val="1"/>
    <w:qFormat/>
    <w:uiPriority w:val="0"/>
    <w:pPr>
      <w:shd w:val="clear" w:color="FFFFFF" w:fill="FFFFFF"/>
      <w:tabs>
        <w:tab w:val="left" w:pos="425"/>
        <w:tab w:val="left" w:pos="903"/>
        <w:tab w:val="left" w:pos="1200"/>
        <w:tab w:val="left" w:pos="1260"/>
      </w:tabs>
      <w:spacing w:before="640" w:after="560"/>
      <w:ind w:left="903" w:hanging="315"/>
      <w:jc w:val="center"/>
      <w:outlineLvl w:val="0"/>
    </w:pPr>
    <w:rPr>
      <w:rFonts w:ascii="ˎ̥" w:hAnsi="Times New Roman" w:eastAsia="ˎ̥" w:cs="Times New Roman"/>
      <w:sz w:val="32"/>
      <w:lang w:val="en-US" w:eastAsia="zh-CN" w:bidi="ar-SA"/>
    </w:rPr>
  </w:style>
  <w:style w:type="paragraph" w:customStyle="1" w:styleId="461">
    <w:name w:val="样式 (中文) 黑体"/>
    <w:basedOn w:val="1"/>
    <w:qFormat/>
    <w:uiPriority w:val="0"/>
    <w:pPr>
      <w:spacing w:line="480" w:lineRule="exact"/>
      <w:ind w:firstLine="567"/>
    </w:pPr>
    <w:rPr>
      <w:rFonts w:eastAsia="ˎ̥"/>
      <w:kern w:val="0"/>
      <w:sz w:val="24"/>
      <w:szCs w:val="20"/>
    </w:rPr>
  </w:style>
  <w:style w:type="paragraph" w:customStyle="1" w:styleId="462">
    <w:name w:val="Char Char Char Char Char Char1"/>
    <w:basedOn w:val="1"/>
    <w:qFormat/>
    <w:uiPriority w:val="0"/>
    <w:pPr>
      <w:widowControl/>
      <w:spacing w:after="160" w:line="240" w:lineRule="exact"/>
      <w:jc w:val="left"/>
    </w:pPr>
    <w:rPr>
      <w:rFonts w:ascii="ˎ̥" w:hAnsi="ˎ̥"/>
      <w:kern w:val="0"/>
      <w:sz w:val="20"/>
      <w:szCs w:val="20"/>
      <w:lang w:eastAsia="en-US"/>
    </w:rPr>
  </w:style>
  <w:style w:type="paragraph" w:customStyle="1" w:styleId="463">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rFonts w:eastAsia="ˎ̥"/>
      <w:color w:val="008000"/>
      <w:kern w:val="0"/>
      <w:sz w:val="20"/>
      <w:szCs w:val="20"/>
    </w:rPr>
  </w:style>
  <w:style w:type="paragraph" w:customStyle="1" w:styleId="464">
    <w:name w:val="Char Char Char Char Char Char Char Char Char Char Char Char Char Char Char Char"/>
    <w:basedOn w:val="1"/>
    <w:qFormat/>
    <w:uiPriority w:val="0"/>
    <w:rPr>
      <w:sz w:val="28"/>
      <w:szCs w:val="21"/>
    </w:rPr>
  </w:style>
  <w:style w:type="paragraph" w:customStyle="1" w:styleId="465">
    <w:name w:val="Char Char5 Char Char Char Char Char Char Char Char Char Char Char Char Char Char Char1 Char"/>
    <w:basedOn w:val="8"/>
    <w:qFormat/>
    <w:uiPriority w:val="0"/>
    <w:pPr>
      <w:widowControl w:val="0"/>
      <w:tabs>
        <w:tab w:val="left" w:pos="360"/>
        <w:tab w:val="left" w:pos="900"/>
      </w:tabs>
      <w:snapToGrid w:val="0"/>
      <w:spacing w:line="360" w:lineRule="auto"/>
      <w:ind w:left="542" w:leftChars="-12" w:firstLine="200" w:firstLineChars="200"/>
      <w:jc w:val="left"/>
    </w:pPr>
    <w:rPr>
      <w:snapToGrid w:val="0"/>
    </w:rPr>
  </w:style>
  <w:style w:type="paragraph" w:customStyle="1" w:styleId="466">
    <w:name w:val="正文正1"/>
    <w:basedOn w:val="1"/>
    <w:qFormat/>
    <w:uiPriority w:val="0"/>
    <w:pPr>
      <w:tabs>
        <w:tab w:val="left" w:pos="0"/>
      </w:tabs>
      <w:spacing w:line="280" w:lineRule="exact"/>
      <w:ind w:left="-105" w:leftChars="-50" w:right="-50" w:rightChars="-50"/>
      <w:jc w:val="center"/>
    </w:pPr>
    <w:rPr>
      <w:kern w:val="0"/>
      <w:sz w:val="24"/>
      <w:szCs w:val="20"/>
    </w:rPr>
  </w:style>
  <w:style w:type="paragraph" w:customStyle="1" w:styleId="467">
    <w:name w:val="图"/>
    <w:basedOn w:val="468"/>
    <w:qFormat/>
    <w:uiPriority w:val="0"/>
    <w:pPr>
      <w:spacing w:line="240" w:lineRule="auto"/>
    </w:pPr>
  </w:style>
  <w:style w:type="paragraph" w:customStyle="1" w:styleId="468">
    <w:name w:val="图标题"/>
    <w:basedOn w:val="1"/>
    <w:qFormat/>
    <w:uiPriority w:val="0"/>
    <w:pPr>
      <w:spacing w:line="520" w:lineRule="exact"/>
      <w:jc w:val="center"/>
    </w:pPr>
    <w:rPr>
      <w:rFonts w:ascii="ˎ̥" w:eastAsia="ˎ̥"/>
      <w:sz w:val="24"/>
      <w:szCs w:val="20"/>
    </w:rPr>
  </w:style>
  <w:style w:type="paragraph" w:customStyle="1" w:styleId="469">
    <w:name w:val="font8"/>
    <w:basedOn w:val="1"/>
    <w:qFormat/>
    <w:uiPriority w:val="0"/>
    <w:pPr>
      <w:widowControl/>
      <w:spacing w:before="100" w:beforeAutospacing="1" w:after="100" w:afterAutospacing="1"/>
      <w:jc w:val="left"/>
    </w:pPr>
    <w:rPr>
      <w:rFonts w:hint="eastAsia" w:ascii="ˎ̥" w:hAnsi="ˎ̥"/>
      <w:color w:val="000000"/>
      <w:kern w:val="0"/>
      <w:sz w:val="18"/>
      <w:szCs w:val="20"/>
    </w:rPr>
  </w:style>
  <w:style w:type="paragraph" w:customStyle="1" w:styleId="470">
    <w:name w:val="样式 首行缩进:  2 字符5"/>
    <w:basedOn w:val="1"/>
    <w:qFormat/>
    <w:uiPriority w:val="0"/>
    <w:pPr>
      <w:spacing w:line="520" w:lineRule="exact"/>
      <w:ind w:firstLine="560" w:firstLineChars="200"/>
    </w:pPr>
    <w:rPr>
      <w:sz w:val="24"/>
      <w:szCs w:val="20"/>
    </w:rPr>
  </w:style>
  <w:style w:type="paragraph" w:customStyle="1" w:styleId="471">
    <w:name w:val="样式 标题 1 + 加粗 首行缩进:  0 厘米"/>
    <w:basedOn w:val="7"/>
    <w:qFormat/>
    <w:uiPriority w:val="0"/>
    <w:pPr>
      <w:overflowPunct/>
      <w:adjustRightInd w:val="0"/>
      <w:spacing w:before="360" w:after="360" w:line="480" w:lineRule="atLeast"/>
      <w:ind w:left="0" w:firstLine="0"/>
    </w:pPr>
    <w:rPr>
      <w:rFonts w:eastAsia="宋体"/>
      <w:bCs w:val="0"/>
      <w:color w:val="auto"/>
      <w:sz w:val="36"/>
      <w:szCs w:val="20"/>
    </w:rPr>
  </w:style>
  <w:style w:type="paragraph" w:customStyle="1" w:styleId="472">
    <w:name w:val="wtext"/>
    <w:basedOn w:val="1"/>
    <w:qFormat/>
    <w:uiPriority w:val="0"/>
    <w:pPr>
      <w:widowControl/>
      <w:spacing w:before="100" w:beforeAutospacing="1" w:after="100" w:afterAutospacing="1"/>
      <w:ind w:firstLine="480"/>
      <w:jc w:val="left"/>
    </w:pPr>
    <w:rPr>
      <w:color w:val="000000"/>
      <w:kern w:val="0"/>
      <w:sz w:val="22"/>
      <w:szCs w:val="20"/>
    </w:rPr>
  </w:style>
  <w:style w:type="paragraph" w:customStyle="1" w:styleId="473">
    <w:name w:val="样式 红色 首行缩进:  2 字符"/>
    <w:basedOn w:val="1"/>
    <w:qFormat/>
    <w:uiPriority w:val="0"/>
    <w:pPr>
      <w:spacing w:line="480" w:lineRule="exact"/>
      <w:ind w:firstLine="480" w:firstLineChars="200"/>
    </w:pPr>
    <w:rPr>
      <w:color w:val="FF0000"/>
      <w:sz w:val="24"/>
      <w:szCs w:val="20"/>
    </w:rPr>
  </w:style>
  <w:style w:type="paragraph" w:customStyle="1" w:styleId="474">
    <w:name w:val="Char Char Char Char Char Char Char1"/>
    <w:basedOn w:val="1"/>
    <w:qFormat/>
    <w:uiPriority w:val="0"/>
    <w:rPr>
      <w:szCs w:val="20"/>
    </w:rPr>
  </w:style>
  <w:style w:type="paragraph" w:customStyle="1" w:styleId="475">
    <w:name w:val="Char2 Char Char Char Char Char Char"/>
    <w:basedOn w:val="1"/>
    <w:qFormat/>
    <w:uiPriority w:val="0"/>
    <w:rPr>
      <w:szCs w:val="20"/>
    </w:rPr>
  </w:style>
  <w:style w:type="paragraph" w:customStyle="1" w:styleId="476">
    <w:name w:val="T正文"/>
    <w:qFormat/>
    <w:uiPriority w:val="0"/>
    <w:pPr>
      <w:widowControl w:val="0"/>
      <w:adjustRightInd w:val="0"/>
      <w:snapToGrid w:val="0"/>
      <w:spacing w:line="360" w:lineRule="auto"/>
      <w:ind w:firstLine="200" w:firstLineChars="200"/>
      <w:jc w:val="both"/>
    </w:pPr>
    <w:rPr>
      <w:rFonts w:ascii="Times New Roman" w:hAnsi="Times New Roman" w:eastAsia="ˎ̥" w:cs="Times New Roman"/>
      <w:sz w:val="28"/>
      <w:lang w:val="en-US" w:eastAsia="zh-CN" w:bidi="ar-SA"/>
    </w:rPr>
  </w:style>
  <w:style w:type="paragraph" w:customStyle="1" w:styleId="477">
    <w:name w:val="表格2"/>
    <w:basedOn w:val="1"/>
    <w:qFormat/>
    <w:uiPriority w:val="0"/>
    <w:pPr>
      <w:spacing w:beforeLines="5"/>
      <w:jc w:val="center"/>
    </w:pPr>
    <w:rPr>
      <w:rFonts w:ascii="ˎ̥"/>
      <w:szCs w:val="20"/>
    </w:rPr>
  </w:style>
  <w:style w:type="paragraph" w:customStyle="1" w:styleId="478">
    <w:name w:val="Char Char Char Char Char Char Char2"/>
    <w:basedOn w:val="1"/>
    <w:qFormat/>
    <w:uiPriority w:val="0"/>
    <w:rPr>
      <w:rFonts w:hint="eastAsia"/>
      <w:szCs w:val="20"/>
    </w:rPr>
  </w:style>
  <w:style w:type="paragraph" w:customStyle="1" w:styleId="479">
    <w:name w:val="标题3"/>
    <w:basedOn w:val="8"/>
    <w:qFormat/>
    <w:uiPriority w:val="0"/>
    <w:pPr>
      <w:widowControl w:val="0"/>
      <w:adjustRightInd w:val="0"/>
      <w:snapToGrid w:val="0"/>
      <w:spacing w:before="0" w:after="0" w:line="440" w:lineRule="exact"/>
      <w:textAlignment w:val="baseline"/>
    </w:pPr>
    <w:rPr>
      <w:color w:val="000000"/>
      <w:sz w:val="28"/>
    </w:rPr>
  </w:style>
  <w:style w:type="paragraph" w:customStyle="1" w:styleId="480">
    <w:name w:val="默认段落字体 Para Char Char Char Char Char Char Char Char Char Char"/>
    <w:basedOn w:val="8"/>
    <w:qFormat/>
    <w:uiPriority w:val="0"/>
    <w:pPr>
      <w:widowControl w:val="0"/>
      <w:tabs>
        <w:tab w:val="left" w:pos="360"/>
        <w:tab w:val="left" w:pos="900"/>
      </w:tabs>
      <w:snapToGrid w:val="0"/>
      <w:spacing w:line="360" w:lineRule="auto"/>
      <w:ind w:left="542" w:leftChars="-12" w:firstLine="200" w:firstLineChars="200"/>
      <w:jc w:val="left"/>
    </w:pPr>
    <w:rPr>
      <w:snapToGrid w:val="0"/>
      <w:szCs w:val="24"/>
    </w:rPr>
  </w:style>
  <w:style w:type="paragraph" w:customStyle="1" w:styleId="481">
    <w:name w:val="1说明"/>
    <w:basedOn w:val="347"/>
    <w:qFormat/>
    <w:uiPriority w:val="0"/>
    <w:rPr>
      <w:snapToGrid/>
      <w:kern w:val="2"/>
      <w:sz w:val="21"/>
    </w:rPr>
  </w:style>
  <w:style w:type="paragraph" w:customStyle="1" w:styleId="482">
    <w:name w:val="编号汉字数字"/>
    <w:basedOn w:val="483"/>
    <w:next w:val="1"/>
    <w:qFormat/>
    <w:uiPriority w:val="0"/>
    <w:pPr>
      <w:tabs>
        <w:tab w:val="left" w:pos="0"/>
        <w:tab w:val="left" w:pos="939"/>
      </w:tabs>
      <w:ind w:left="0" w:firstLine="822"/>
      <w:outlineLvl w:val="9"/>
    </w:pPr>
  </w:style>
  <w:style w:type="paragraph" w:customStyle="1" w:styleId="483">
    <w:name w:val="编号括号数字"/>
    <w:basedOn w:val="1"/>
    <w:qFormat/>
    <w:uiPriority w:val="0"/>
    <w:pPr>
      <w:tabs>
        <w:tab w:val="left" w:pos="939"/>
      </w:tabs>
      <w:spacing w:line="360" w:lineRule="auto"/>
      <w:ind w:left="342" w:firstLine="198"/>
      <w:outlineLvl w:val="4"/>
    </w:pPr>
    <w:rPr>
      <w:sz w:val="24"/>
      <w:szCs w:val="20"/>
    </w:rPr>
  </w:style>
  <w:style w:type="paragraph" w:customStyle="1" w:styleId="484">
    <w:name w:val="标题后正文"/>
    <w:basedOn w:val="1"/>
    <w:qFormat/>
    <w:uiPriority w:val="0"/>
    <w:pPr>
      <w:adjustRightInd w:val="0"/>
      <w:spacing w:line="360" w:lineRule="auto"/>
      <w:ind w:firstLine="200" w:firstLineChars="200"/>
      <w:textAlignment w:val="baseline"/>
    </w:pPr>
    <w:rPr>
      <w:rFonts w:ascii="ˎ̥" w:hAnsi="ˎ̥"/>
      <w:snapToGrid w:val="0"/>
      <w:kern w:val="28"/>
      <w:sz w:val="24"/>
      <w:szCs w:val="20"/>
    </w:rPr>
  </w:style>
  <w:style w:type="paragraph" w:customStyle="1" w:styleId="485">
    <w:name w:val="样式 首行缩进:  2 字符14"/>
    <w:basedOn w:val="1"/>
    <w:qFormat/>
    <w:uiPriority w:val="0"/>
    <w:pPr>
      <w:spacing w:line="520" w:lineRule="exact"/>
      <w:ind w:firstLine="560" w:firstLineChars="200"/>
    </w:pPr>
    <w:rPr>
      <w:sz w:val="24"/>
      <w:szCs w:val="20"/>
    </w:rPr>
  </w:style>
  <w:style w:type="paragraph" w:customStyle="1" w:styleId="486">
    <w:name w:val="正文正"/>
    <w:basedOn w:val="1"/>
    <w:qFormat/>
    <w:uiPriority w:val="0"/>
    <w:pPr>
      <w:ind w:firstLine="560" w:firstLineChars="200"/>
    </w:pPr>
    <w:rPr>
      <w:sz w:val="28"/>
      <w:szCs w:val="20"/>
    </w:rPr>
  </w:style>
  <w:style w:type="paragraph" w:customStyle="1" w:styleId="487">
    <w:name w:val="样式 生物附录 + 小四 段前: 6 磅 段后: 6 磅 非加宽量 / 紧缩量  行距: 1.5 倍行距"/>
    <w:basedOn w:val="1"/>
    <w:qFormat/>
    <w:uiPriority w:val="0"/>
    <w:pPr>
      <w:widowControl/>
      <w:spacing w:before="100" w:beforeAutospacing="1" w:after="100" w:afterAutospacing="1" w:line="360" w:lineRule="auto"/>
    </w:pPr>
    <w:rPr>
      <w:b/>
      <w:sz w:val="24"/>
      <w:szCs w:val="20"/>
    </w:rPr>
  </w:style>
  <w:style w:type="paragraph" w:customStyle="1" w:styleId="488">
    <w:name w:val="reader-word-layer reader-word-s7-14"/>
    <w:basedOn w:val="1"/>
    <w:qFormat/>
    <w:uiPriority w:val="0"/>
    <w:pPr>
      <w:widowControl/>
      <w:spacing w:before="100" w:beforeAutospacing="1" w:after="100" w:afterAutospacing="1"/>
      <w:jc w:val="left"/>
    </w:pPr>
    <w:rPr>
      <w:rFonts w:ascii="ˎ̥" w:hAnsi="ˎ̥" w:cs="ˎ̥"/>
      <w:kern w:val="0"/>
      <w:sz w:val="24"/>
    </w:rPr>
  </w:style>
  <w:style w:type="paragraph" w:customStyle="1" w:styleId="489">
    <w:name w:val="3级"/>
    <w:basedOn w:val="1"/>
    <w:qFormat/>
    <w:uiPriority w:val="0"/>
    <w:rPr>
      <w:sz w:val="24"/>
      <w:szCs w:val="20"/>
    </w:rPr>
  </w:style>
  <w:style w:type="paragraph" w:customStyle="1" w:styleId="490">
    <w:name w:val="样式 五号 居中 行距: 固定值 20 磅"/>
    <w:basedOn w:val="1"/>
    <w:qFormat/>
    <w:uiPriority w:val="0"/>
    <w:pPr>
      <w:spacing w:line="380" w:lineRule="exact"/>
      <w:jc w:val="center"/>
    </w:pPr>
    <w:rPr>
      <w:szCs w:val="20"/>
    </w:rPr>
  </w:style>
  <w:style w:type="paragraph" w:customStyle="1" w:styleId="491">
    <w:name w:val="WW-正文缩进"/>
    <w:basedOn w:val="1"/>
    <w:qFormat/>
    <w:uiPriority w:val="0"/>
    <w:pPr>
      <w:suppressAutoHyphens/>
      <w:spacing w:line="480" w:lineRule="exact"/>
      <w:ind w:firstLine="595"/>
      <w:textAlignment w:val="baseline"/>
    </w:pPr>
    <w:rPr>
      <w:kern w:val="1"/>
      <w:sz w:val="24"/>
      <w:szCs w:val="20"/>
      <w:lang w:eastAsia="ar-SA"/>
    </w:rPr>
  </w:style>
  <w:style w:type="paragraph" w:customStyle="1" w:styleId="492">
    <w:name w:val="reader-word-layer reader-word-s7-3"/>
    <w:basedOn w:val="1"/>
    <w:qFormat/>
    <w:uiPriority w:val="0"/>
    <w:pPr>
      <w:widowControl/>
      <w:spacing w:before="100" w:beforeAutospacing="1" w:after="100" w:afterAutospacing="1"/>
      <w:jc w:val="left"/>
    </w:pPr>
    <w:rPr>
      <w:rFonts w:ascii="ˎ̥" w:hAnsi="ˎ̥" w:cs="ˎ̥"/>
      <w:kern w:val="0"/>
      <w:sz w:val="24"/>
    </w:rPr>
  </w:style>
  <w:style w:type="paragraph" w:customStyle="1" w:styleId="493">
    <w:name w:val="生物拉丁文名"/>
    <w:basedOn w:val="1"/>
    <w:qFormat/>
    <w:uiPriority w:val="0"/>
    <w:pPr>
      <w:tabs>
        <w:tab w:val="left" w:pos="-120"/>
      </w:tabs>
      <w:overflowPunct w:val="0"/>
      <w:topLinePunct/>
      <w:autoSpaceDE w:val="0"/>
      <w:adjustRightInd w:val="0"/>
      <w:snapToGrid w:val="0"/>
      <w:spacing w:before="60" w:afterLines="50" w:line="0" w:lineRule="atLeast"/>
      <w:ind w:firstLine="454"/>
    </w:pPr>
    <w:rPr>
      <w:i/>
      <w:spacing w:val="20"/>
      <w:sz w:val="24"/>
      <w:szCs w:val="20"/>
    </w:rPr>
  </w:style>
  <w:style w:type="paragraph" w:customStyle="1" w:styleId="494">
    <w:name w:val="样式 黑体 首行缩进:  2 字符 行距: 最小值 24 磅"/>
    <w:basedOn w:val="1"/>
    <w:qFormat/>
    <w:uiPriority w:val="0"/>
    <w:pPr>
      <w:spacing w:line="480" w:lineRule="atLeast"/>
      <w:ind w:firstLine="480" w:firstLineChars="200"/>
    </w:pPr>
    <w:rPr>
      <w:rFonts w:ascii="ˎ̥" w:eastAsia="ˎ̥"/>
      <w:sz w:val="24"/>
      <w:szCs w:val="20"/>
    </w:rPr>
  </w:style>
  <w:style w:type="paragraph" w:customStyle="1" w:styleId="495">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left"/>
      <w:textAlignment w:val="center"/>
    </w:pPr>
    <w:rPr>
      <w:rFonts w:eastAsia="ˎ̥"/>
      <w:kern w:val="0"/>
      <w:sz w:val="20"/>
      <w:szCs w:val="20"/>
    </w:rPr>
  </w:style>
  <w:style w:type="paragraph" w:customStyle="1" w:styleId="496">
    <w:name w:val="reader-word-layer reader-word-s7-7"/>
    <w:basedOn w:val="1"/>
    <w:qFormat/>
    <w:uiPriority w:val="0"/>
    <w:pPr>
      <w:widowControl/>
      <w:spacing w:before="100" w:beforeAutospacing="1" w:after="100" w:afterAutospacing="1"/>
      <w:jc w:val="left"/>
    </w:pPr>
    <w:rPr>
      <w:rFonts w:ascii="ˎ̥" w:hAnsi="ˎ̥" w:cs="ˎ̥"/>
      <w:kern w:val="0"/>
      <w:sz w:val="24"/>
    </w:rPr>
  </w:style>
  <w:style w:type="paragraph" w:customStyle="1" w:styleId="497">
    <w:name w:val="三级标题"/>
    <w:basedOn w:val="1"/>
    <w:qFormat/>
    <w:uiPriority w:val="0"/>
    <w:pPr>
      <w:spacing w:line="360" w:lineRule="auto"/>
    </w:pPr>
    <w:rPr>
      <w:rFonts w:ascii="ˎ̥" w:hAnsi="ˎ̥"/>
      <w:sz w:val="24"/>
      <w:szCs w:val="20"/>
    </w:rPr>
  </w:style>
  <w:style w:type="paragraph" w:customStyle="1" w:styleId="49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ˎ̥" w:hAnsi="ˎ̥" w:eastAsia="ˎ̥"/>
      <w:kern w:val="0"/>
      <w:sz w:val="20"/>
      <w:szCs w:val="20"/>
    </w:rPr>
  </w:style>
  <w:style w:type="paragraph" w:customStyle="1" w:styleId="499">
    <w:name w:val="样式 行距: 固定值 24 磅"/>
    <w:basedOn w:val="1"/>
    <w:qFormat/>
    <w:uiPriority w:val="0"/>
    <w:pPr>
      <w:spacing w:line="480" w:lineRule="exact"/>
      <w:ind w:firstLine="200" w:firstLineChars="200"/>
    </w:pPr>
    <w:rPr>
      <w:sz w:val="24"/>
      <w:szCs w:val="20"/>
    </w:rPr>
  </w:style>
  <w:style w:type="paragraph" w:customStyle="1" w:styleId="500">
    <w:name w:val="Char Char Char Char Char2 Char Char Char Char"/>
    <w:basedOn w:val="1"/>
    <w:qFormat/>
    <w:uiPriority w:val="0"/>
    <w:pPr>
      <w:adjustRightInd w:val="0"/>
      <w:snapToGrid w:val="0"/>
      <w:spacing w:line="360" w:lineRule="auto"/>
      <w:ind w:firstLine="200" w:firstLineChars="200"/>
    </w:pPr>
    <w:rPr>
      <w:rFonts w:ascii="ˎ̥" w:hAnsi="ˎ̥"/>
      <w:sz w:val="24"/>
      <w:szCs w:val="20"/>
    </w:rPr>
  </w:style>
  <w:style w:type="paragraph" w:customStyle="1" w:styleId="501">
    <w:name w:val="附录标识"/>
    <w:basedOn w:val="1"/>
    <w:qFormat/>
    <w:uiPriority w:val="0"/>
    <w:pPr>
      <w:widowControl/>
      <w:shd w:val="clear" w:color="FFFFFF" w:fill="FFFFFF"/>
      <w:tabs>
        <w:tab w:val="left" w:pos="425"/>
        <w:tab w:val="left" w:pos="1200"/>
        <w:tab w:val="left" w:pos="1260"/>
        <w:tab w:val="left" w:pos="6405"/>
      </w:tabs>
      <w:spacing w:before="640" w:after="200"/>
      <w:ind w:left="425" w:hanging="425"/>
      <w:jc w:val="center"/>
      <w:outlineLvl w:val="0"/>
    </w:pPr>
    <w:rPr>
      <w:rFonts w:ascii="ˎ̥" w:eastAsia="ˎ̥"/>
      <w:kern w:val="0"/>
      <w:szCs w:val="20"/>
    </w:rPr>
  </w:style>
  <w:style w:type="paragraph" w:customStyle="1" w:styleId="502">
    <w:name w:val="Char Char Char Char Char Char Char Char Char Char Char Char Char Char Char Char Char Char Char Char Char Char Char Char"/>
    <w:basedOn w:val="1"/>
    <w:qFormat/>
    <w:uiPriority w:val="0"/>
  </w:style>
  <w:style w:type="paragraph" w:customStyle="1" w:styleId="503">
    <w:name w:val="表格用字 Char1"/>
    <w:basedOn w:val="58"/>
    <w:qFormat/>
    <w:uiPriority w:val="0"/>
    <w:pPr>
      <w:spacing w:after="0" w:line="0" w:lineRule="atLeast"/>
    </w:pPr>
    <w:rPr>
      <w:rFonts w:hint="eastAsia"/>
    </w:rPr>
  </w:style>
  <w:style w:type="paragraph" w:customStyle="1" w:styleId="504">
    <w:name w:val="正文首行缩进1"/>
    <w:basedOn w:val="4"/>
    <w:qFormat/>
    <w:uiPriority w:val="0"/>
    <w:pPr>
      <w:widowControl w:val="0"/>
      <w:adjustRightInd w:val="0"/>
      <w:snapToGrid/>
      <w:spacing w:before="0" w:after="0" w:line="312" w:lineRule="auto"/>
      <w:ind w:right="0" w:firstLine="567"/>
      <w:textAlignment w:val="baseline"/>
    </w:pPr>
    <w:rPr>
      <w:sz w:val="28"/>
      <w:szCs w:val="20"/>
    </w:rPr>
  </w:style>
  <w:style w:type="paragraph" w:customStyle="1" w:styleId="505">
    <w:name w:val="6表(图)头(治)"/>
    <w:next w:val="1"/>
    <w:qFormat/>
    <w:uiPriority w:val="0"/>
    <w:pPr>
      <w:widowControl w:val="0"/>
      <w:jc w:val="center"/>
    </w:pPr>
    <w:rPr>
      <w:rFonts w:ascii="Times New Roman" w:hAnsi="ˎ̥" w:eastAsia="宋体" w:cs="Times New Roman"/>
      <w:sz w:val="24"/>
      <w:lang w:val="en-US" w:eastAsia="zh-CN" w:bidi="ar-SA"/>
    </w:rPr>
  </w:style>
  <w:style w:type="paragraph" w:customStyle="1" w:styleId="506">
    <w:name w:val="样式 生物附录 + 小四 段前: 6 磅 段后: 6 磅 非加宽量 / 紧缩量  行距: 1.5 倍行距1"/>
    <w:basedOn w:val="1"/>
    <w:qFormat/>
    <w:uiPriority w:val="0"/>
    <w:pPr>
      <w:widowControl/>
      <w:spacing w:before="120" w:after="120" w:line="360" w:lineRule="auto"/>
    </w:pPr>
    <w:rPr>
      <w:b/>
      <w:sz w:val="24"/>
      <w:szCs w:val="20"/>
    </w:rPr>
  </w:style>
  <w:style w:type="paragraph" w:customStyle="1" w:styleId="507">
    <w:name w:val="样式3"/>
    <w:basedOn w:val="4"/>
    <w:qFormat/>
    <w:uiPriority w:val="0"/>
    <w:pPr>
      <w:widowControl w:val="0"/>
      <w:adjustRightInd w:val="0"/>
      <w:snapToGrid/>
      <w:spacing w:before="120" w:after="0" w:line="480" w:lineRule="exact"/>
      <w:ind w:right="0"/>
      <w:jc w:val="center"/>
      <w:textAlignment w:val="baseline"/>
    </w:pPr>
    <w:rPr>
      <w:rFonts w:eastAsia="ˎ̥"/>
      <w:kern w:val="2"/>
      <w:sz w:val="28"/>
      <w:szCs w:val="20"/>
    </w:rPr>
  </w:style>
  <w:style w:type="paragraph" w:customStyle="1" w:styleId="508">
    <w:name w:val="样式 样式 首行缩进:  2 字符 + 首行缩进:  2 字符 段前: 0.5 行 段后: 0.5 行"/>
    <w:basedOn w:val="1"/>
    <w:qFormat/>
    <w:uiPriority w:val="0"/>
    <w:pPr>
      <w:spacing w:beforeLines="50" w:afterLines="50" w:line="400" w:lineRule="atLeast"/>
      <w:ind w:firstLine="200" w:firstLineChars="200"/>
    </w:pPr>
    <w:rPr>
      <w:sz w:val="24"/>
      <w:szCs w:val="20"/>
    </w:rPr>
  </w:style>
  <w:style w:type="paragraph" w:customStyle="1" w:styleId="509">
    <w:name w:val="WW-表格1"/>
    <w:basedOn w:val="1"/>
    <w:qFormat/>
    <w:uiPriority w:val="0"/>
    <w:pPr>
      <w:suppressAutoHyphens/>
      <w:snapToGrid w:val="0"/>
      <w:spacing w:before="20" w:after="20"/>
      <w:jc w:val="center"/>
    </w:pPr>
    <w:rPr>
      <w:kern w:val="1"/>
      <w:szCs w:val="20"/>
      <w:lang w:eastAsia="ar-SA"/>
    </w:rPr>
  </w:style>
  <w:style w:type="paragraph" w:customStyle="1" w:styleId="510">
    <w:name w:val="我的表格格子"/>
    <w:basedOn w:val="1"/>
    <w:qFormat/>
    <w:uiPriority w:val="0"/>
    <w:pPr>
      <w:spacing w:line="360" w:lineRule="exact"/>
      <w:jc w:val="center"/>
    </w:pPr>
    <w:rPr>
      <w:rFonts w:hAnsi="ˎ̥"/>
      <w:color w:val="000000"/>
      <w:szCs w:val="20"/>
    </w:rPr>
  </w:style>
  <w:style w:type="paragraph" w:customStyle="1" w:styleId="511">
    <w:name w:val="样式 四号 首行缩进:  2 字符"/>
    <w:basedOn w:val="1"/>
    <w:qFormat/>
    <w:uiPriority w:val="0"/>
    <w:pPr>
      <w:spacing w:line="480" w:lineRule="atLeast"/>
      <w:ind w:firstLine="200" w:firstLineChars="200"/>
    </w:pPr>
    <w:rPr>
      <w:sz w:val="24"/>
      <w:szCs w:val="20"/>
    </w:rPr>
  </w:style>
  <w:style w:type="paragraph" w:customStyle="1" w:styleId="512">
    <w:name w:val="样式 正文文本缩进 + 小四 非加粗 非倾斜 行距: 固定值 20 磅"/>
    <w:basedOn w:val="31"/>
    <w:qFormat/>
    <w:uiPriority w:val="0"/>
    <w:pPr>
      <w:spacing w:after="0" w:line="440" w:lineRule="exact"/>
      <w:ind w:left="0" w:leftChars="0" w:firstLine="454"/>
    </w:pPr>
    <w:rPr>
      <w:sz w:val="24"/>
      <w:szCs w:val="20"/>
    </w:rPr>
  </w:style>
  <w:style w:type="paragraph" w:customStyle="1" w:styleId="513">
    <w:name w:val="正文表格"/>
    <w:basedOn w:val="1"/>
    <w:qFormat/>
    <w:uiPriority w:val="0"/>
    <w:pPr>
      <w:keepNext/>
      <w:keepLines/>
      <w:overflowPunct w:val="0"/>
      <w:adjustRightInd w:val="0"/>
      <w:spacing w:before="80"/>
      <w:jc w:val="center"/>
      <w:textAlignment w:val="bottom"/>
    </w:pPr>
    <w:rPr>
      <w:kern w:val="0"/>
      <w:sz w:val="28"/>
      <w:szCs w:val="20"/>
    </w:rPr>
  </w:style>
  <w:style w:type="paragraph" w:customStyle="1" w:styleId="514">
    <w:name w:val="y表格"/>
    <w:basedOn w:val="4"/>
    <w:qFormat/>
    <w:uiPriority w:val="0"/>
    <w:pPr>
      <w:spacing w:before="0" w:after="0" w:line="240" w:lineRule="auto"/>
      <w:ind w:right="0"/>
      <w:jc w:val="center"/>
    </w:pPr>
    <w:rPr>
      <w:sz w:val="21"/>
      <w:szCs w:val="20"/>
    </w:rPr>
  </w:style>
  <w:style w:type="paragraph" w:customStyle="1" w:styleId="515">
    <w:name w:val="reader-word-layer reader-word-s7-11"/>
    <w:basedOn w:val="1"/>
    <w:qFormat/>
    <w:uiPriority w:val="0"/>
    <w:pPr>
      <w:widowControl/>
      <w:spacing w:before="100" w:beforeAutospacing="1" w:after="100" w:afterAutospacing="1"/>
      <w:jc w:val="left"/>
    </w:pPr>
    <w:rPr>
      <w:rFonts w:ascii="ˎ̥" w:hAnsi="ˎ̥" w:cs="ˎ̥"/>
      <w:kern w:val="0"/>
      <w:sz w:val="24"/>
    </w:rPr>
  </w:style>
  <w:style w:type="paragraph" w:customStyle="1" w:styleId="516">
    <w:name w:val="样式 标题 2 + 首行缩进:  2 字符"/>
    <w:basedOn w:val="9"/>
    <w:qFormat/>
    <w:uiPriority w:val="0"/>
    <w:pPr>
      <w:keepLines/>
      <w:spacing w:before="120" w:after="120" w:line="440" w:lineRule="atLeast"/>
    </w:pPr>
    <w:rPr>
      <w:rFonts w:ascii="ˎ̥" w:hAnsi="ˎ̥"/>
      <w:b/>
    </w:rPr>
  </w:style>
  <w:style w:type="paragraph" w:customStyle="1" w:styleId="517">
    <w:name w:val="样式 正文文本缩进 2正文文字缩进 2 + 四号 蓝色"/>
    <w:basedOn w:val="43"/>
    <w:qFormat/>
    <w:uiPriority w:val="0"/>
    <w:pPr>
      <w:adjustRightInd w:val="0"/>
      <w:spacing w:line="480" w:lineRule="exact"/>
      <w:ind w:firstLine="709" w:firstLineChars="0"/>
      <w:textAlignment w:val="baseline"/>
    </w:pPr>
    <w:rPr>
      <w:rFonts w:hAnsi="Times New Roman"/>
      <w:color w:val="0000FF"/>
    </w:rPr>
  </w:style>
  <w:style w:type="paragraph" w:customStyle="1" w:styleId="518">
    <w:name w:val="Char2 Char Char Char"/>
    <w:basedOn w:val="1"/>
    <w:qFormat/>
    <w:uiPriority w:val="0"/>
    <w:pPr>
      <w:adjustRightInd w:val="0"/>
      <w:snapToGrid w:val="0"/>
    </w:pPr>
    <w:rPr>
      <w:rFonts w:eastAsia="ˎ̥"/>
      <w:snapToGrid w:val="0"/>
      <w:sz w:val="24"/>
      <w:szCs w:val="20"/>
    </w:rPr>
  </w:style>
  <w:style w:type="paragraph" w:customStyle="1" w:styleId="519">
    <w:name w:val="Body Text 21"/>
    <w:basedOn w:val="1"/>
    <w:qFormat/>
    <w:uiPriority w:val="0"/>
    <w:pPr>
      <w:adjustRightInd w:val="0"/>
      <w:textAlignment w:val="baseline"/>
    </w:pPr>
    <w:rPr>
      <w:rFonts w:eastAsia="ˎ̥"/>
      <w:sz w:val="24"/>
      <w:szCs w:val="20"/>
    </w:rPr>
  </w:style>
  <w:style w:type="paragraph" w:customStyle="1" w:styleId="520">
    <w:name w:val="样式 小四 行距: 固定值 24 磅 首行缩进:  2 字符"/>
    <w:basedOn w:val="1"/>
    <w:qFormat/>
    <w:uiPriority w:val="0"/>
    <w:pPr>
      <w:spacing w:line="440" w:lineRule="exact"/>
      <w:ind w:firstLine="200" w:firstLineChars="200"/>
    </w:pPr>
    <w:rPr>
      <w:sz w:val="24"/>
      <w:szCs w:val="20"/>
    </w:rPr>
  </w:style>
  <w:style w:type="paragraph" w:customStyle="1" w:styleId="521">
    <w:name w:val="生物中文名"/>
    <w:basedOn w:val="1"/>
    <w:qFormat/>
    <w:uiPriority w:val="0"/>
    <w:pPr>
      <w:tabs>
        <w:tab w:val="left" w:pos="-120"/>
      </w:tabs>
      <w:overflowPunct w:val="0"/>
      <w:topLinePunct/>
      <w:autoSpaceDE w:val="0"/>
      <w:adjustRightInd w:val="0"/>
      <w:snapToGrid w:val="0"/>
      <w:spacing w:before="60" w:afterLines="50" w:line="0" w:lineRule="atLeast"/>
      <w:ind w:firstLine="454"/>
    </w:pPr>
    <w:rPr>
      <w:spacing w:val="20"/>
      <w:sz w:val="24"/>
      <w:szCs w:val="20"/>
    </w:rPr>
  </w:style>
  <w:style w:type="paragraph" w:customStyle="1" w:styleId="522">
    <w:name w:val="样式 小四 行距: 1.5 倍行距 首行缩进:  2 字符"/>
    <w:basedOn w:val="1"/>
    <w:qFormat/>
    <w:uiPriority w:val="0"/>
    <w:pPr>
      <w:spacing w:line="360" w:lineRule="auto"/>
      <w:ind w:firstLine="480" w:firstLineChars="200"/>
    </w:pPr>
    <w:rPr>
      <w:sz w:val="24"/>
      <w:szCs w:val="20"/>
    </w:rPr>
  </w:style>
  <w:style w:type="paragraph" w:customStyle="1" w:styleId="523">
    <w:name w:val="正文缩进2字符"/>
    <w:basedOn w:val="1"/>
    <w:qFormat/>
    <w:uiPriority w:val="0"/>
    <w:pPr>
      <w:spacing w:line="520" w:lineRule="exact"/>
      <w:ind w:firstLine="200" w:firstLineChars="200"/>
    </w:pPr>
    <w:rPr>
      <w:sz w:val="28"/>
      <w:szCs w:val="20"/>
    </w:rPr>
  </w:style>
  <w:style w:type="paragraph" w:customStyle="1" w:styleId="524">
    <w:name w:val="标题5"/>
    <w:basedOn w:val="1"/>
    <w:qFormat/>
    <w:uiPriority w:val="0"/>
    <w:pPr>
      <w:spacing w:line="480" w:lineRule="exact"/>
      <w:ind w:firstLine="480" w:firstLineChars="200"/>
    </w:pPr>
    <w:rPr>
      <w:rFonts w:ascii="ˎ̥" w:hAnsi="ˎ̥"/>
      <w:sz w:val="24"/>
      <w:szCs w:val="20"/>
    </w:rPr>
  </w:style>
  <w:style w:type="paragraph" w:customStyle="1" w:styleId="525">
    <w:name w:val="样式 四号 黑色 首行缩进:  2 字符"/>
    <w:basedOn w:val="1"/>
    <w:qFormat/>
    <w:uiPriority w:val="0"/>
    <w:pPr>
      <w:spacing w:line="480" w:lineRule="atLeast"/>
      <w:ind w:firstLine="200" w:firstLineChars="200"/>
    </w:pPr>
    <w:rPr>
      <w:color w:val="000000"/>
      <w:sz w:val="24"/>
      <w:szCs w:val="20"/>
    </w:rPr>
  </w:style>
  <w:style w:type="paragraph" w:customStyle="1" w:styleId="526">
    <w:name w:val="样式 热电厂正文 + 四号 首行缩进:  2 字符"/>
    <w:basedOn w:val="160"/>
    <w:qFormat/>
    <w:uiPriority w:val="0"/>
    <w:pPr>
      <w:spacing w:line="480" w:lineRule="exact"/>
      <w:ind w:firstLine="200"/>
    </w:pPr>
  </w:style>
  <w:style w:type="paragraph" w:customStyle="1" w:styleId="527">
    <w:name w:val="样式 样式 标题 3 + 宋体 黑色 首行缩进:  2 字符 段前: 6 磅 段后: 6 磅 行距: 最小值 24 磅 + 首行..."/>
    <w:basedOn w:val="373"/>
    <w:qFormat/>
    <w:uiPriority w:val="0"/>
    <w:pPr>
      <w:ind w:firstLine="562"/>
    </w:pPr>
    <w:rPr>
      <w:rFonts w:ascii="Times New Roman" w:hAnsi="Times New Roman"/>
    </w:rPr>
  </w:style>
  <w:style w:type="paragraph" w:customStyle="1" w:styleId="528">
    <w:name w:val="0"/>
    <w:basedOn w:val="1"/>
    <w:qFormat/>
    <w:uiPriority w:val="0"/>
    <w:pPr>
      <w:widowControl/>
      <w:snapToGrid w:val="0"/>
    </w:pPr>
    <w:rPr>
      <w:kern w:val="0"/>
      <w:szCs w:val="20"/>
    </w:rPr>
  </w:style>
  <w:style w:type="paragraph" w:customStyle="1" w:styleId="529">
    <w:name w:val="Char Char Char Char Char Char Char Char Char Char"/>
    <w:basedOn w:val="1"/>
    <w:qFormat/>
    <w:uiPriority w:val="0"/>
    <w:pPr>
      <w:spacing w:line="240" w:lineRule="exact"/>
      <w:ind w:firstLine="200" w:firstLineChars="200"/>
    </w:pPr>
    <w:rPr>
      <w:snapToGrid w:val="0"/>
      <w:color w:val="000000"/>
      <w:sz w:val="24"/>
      <w:szCs w:val="20"/>
    </w:rPr>
  </w:style>
  <w:style w:type="paragraph" w:customStyle="1" w:styleId="530">
    <w:name w:val="样式 样式 标题 4 + 四号 + 首行缩进:  2 字符"/>
    <w:basedOn w:val="348"/>
    <w:qFormat/>
    <w:uiPriority w:val="0"/>
  </w:style>
  <w:style w:type="paragraph" w:customStyle="1" w:styleId="531">
    <w:name w:val="666666-表中文字"/>
    <w:basedOn w:val="1"/>
    <w:qFormat/>
    <w:uiPriority w:val="0"/>
    <w:pPr>
      <w:jc w:val="center"/>
    </w:pPr>
    <w:rPr>
      <w:szCs w:val="20"/>
    </w:rPr>
  </w:style>
  <w:style w:type="paragraph" w:customStyle="1" w:styleId="532">
    <w:name w:val="样式 居中"/>
    <w:basedOn w:val="1"/>
    <w:qFormat/>
    <w:uiPriority w:val="0"/>
    <w:pPr>
      <w:adjustRightInd w:val="0"/>
      <w:snapToGrid w:val="0"/>
      <w:spacing w:line="440" w:lineRule="atLeast"/>
      <w:ind w:firstLine="200" w:firstLineChars="200"/>
      <w:jc w:val="center"/>
    </w:pPr>
    <w:rPr>
      <w:sz w:val="24"/>
      <w:szCs w:val="20"/>
    </w:rPr>
  </w:style>
  <w:style w:type="paragraph" w:customStyle="1" w:styleId="533">
    <w:name w:val="8说明(治)"/>
    <w:basedOn w:val="1"/>
    <w:next w:val="355"/>
    <w:qFormat/>
    <w:uiPriority w:val="0"/>
    <w:pPr>
      <w:ind w:firstLine="480" w:firstLineChars="200"/>
    </w:pPr>
    <w:rPr>
      <w:rFonts w:ascii="ˎ̥" w:hAnsi="ˎ̥"/>
      <w:sz w:val="24"/>
      <w:szCs w:val="20"/>
    </w:rPr>
  </w:style>
  <w:style w:type="paragraph" w:customStyle="1" w:styleId="534">
    <w:name w:val="样式 首行缩进:  2 字符6"/>
    <w:basedOn w:val="1"/>
    <w:qFormat/>
    <w:uiPriority w:val="0"/>
    <w:pPr>
      <w:spacing w:line="520" w:lineRule="exact"/>
      <w:ind w:firstLine="560" w:firstLineChars="200"/>
    </w:pPr>
    <w:rPr>
      <w:sz w:val="24"/>
      <w:szCs w:val="20"/>
    </w:rPr>
  </w:style>
  <w:style w:type="paragraph" w:customStyle="1" w:styleId="535">
    <w:name w:val="xl26"/>
    <w:basedOn w:val="1"/>
    <w:qFormat/>
    <w:uiPriority w:val="0"/>
    <w:pPr>
      <w:widowControl/>
      <w:spacing w:before="100" w:after="100"/>
      <w:jc w:val="center"/>
    </w:pPr>
    <w:rPr>
      <w:kern w:val="0"/>
      <w:szCs w:val="20"/>
    </w:rPr>
  </w:style>
  <w:style w:type="paragraph" w:customStyle="1" w:styleId="536">
    <w:name w:val="小四表格"/>
    <w:basedOn w:val="1"/>
    <w:next w:val="1"/>
    <w:qFormat/>
    <w:uiPriority w:val="0"/>
    <w:pPr>
      <w:snapToGrid w:val="0"/>
      <w:jc w:val="center"/>
    </w:pPr>
    <w:rPr>
      <w:rFonts w:ascii="ˎ̥" w:hAnsi="ˎ̥"/>
      <w:snapToGrid w:val="0"/>
      <w:sz w:val="24"/>
      <w:szCs w:val="20"/>
    </w:rPr>
  </w:style>
  <w:style w:type="paragraph" w:customStyle="1" w:styleId="537">
    <w:name w:val="大题注"/>
    <w:basedOn w:val="1"/>
    <w:qFormat/>
    <w:uiPriority w:val="0"/>
    <w:pPr>
      <w:spacing w:before="100" w:beforeAutospacing="1" w:after="100" w:afterAutospacing="1"/>
      <w:ind w:firstLine="480" w:firstLineChars="200"/>
    </w:pPr>
    <w:rPr>
      <w:rFonts w:ascii="ˎ̥" w:hAnsi="ˎ̥" w:eastAsia="ˎ̥"/>
      <w:sz w:val="24"/>
      <w:szCs w:val="20"/>
    </w:rPr>
  </w:style>
  <w:style w:type="paragraph" w:customStyle="1" w:styleId="538">
    <w:name w:val="样式 标题 2 +"/>
    <w:basedOn w:val="9"/>
    <w:qFormat/>
    <w:uiPriority w:val="0"/>
    <w:pPr>
      <w:keepLines/>
      <w:tabs>
        <w:tab w:val="left" w:pos="360"/>
      </w:tabs>
      <w:spacing w:before="60" w:after="60" w:line="480" w:lineRule="exact"/>
      <w:ind w:left="-567" w:firstLine="567"/>
    </w:pPr>
    <w:rPr>
      <w:kern w:val="0"/>
      <w:sz w:val="32"/>
    </w:rPr>
  </w:style>
  <w:style w:type="paragraph" w:customStyle="1" w:styleId="539">
    <w:name w:val="Char1 Char Char Char3"/>
    <w:basedOn w:val="1"/>
    <w:qFormat/>
    <w:uiPriority w:val="0"/>
    <w:pPr>
      <w:snapToGrid w:val="0"/>
      <w:spacing w:line="360" w:lineRule="auto"/>
      <w:ind w:firstLine="529" w:firstLineChars="200"/>
    </w:pPr>
    <w:rPr>
      <w:rFonts w:ascii="ˎ̥" w:hAnsi="ˎ̥"/>
      <w:b/>
      <w:szCs w:val="20"/>
    </w:rPr>
  </w:style>
  <w:style w:type="paragraph" w:customStyle="1" w:styleId="540">
    <w:name w:val="正文宋体四号字"/>
    <w:basedOn w:val="1"/>
    <w:qFormat/>
    <w:uiPriority w:val="0"/>
    <w:pPr>
      <w:adjustRightInd w:val="0"/>
      <w:spacing w:line="560" w:lineRule="exact"/>
      <w:ind w:firstLine="567"/>
      <w:textAlignment w:val="baseline"/>
    </w:pPr>
    <w:rPr>
      <w:rFonts w:ascii="ˎ̥" w:hAnsi="ˎ̥"/>
      <w:spacing w:val="2"/>
      <w:kern w:val="0"/>
      <w:sz w:val="28"/>
      <w:szCs w:val="20"/>
    </w:rPr>
  </w:style>
  <w:style w:type="paragraph" w:customStyle="1" w:styleId="541">
    <w:name w:val="正文（首行缩进两字） Char Char Char Char1 Char11"/>
    <w:basedOn w:val="1"/>
    <w:next w:val="1"/>
    <w:qFormat/>
    <w:uiPriority w:val="0"/>
    <w:pPr>
      <w:spacing w:line="440" w:lineRule="exact"/>
      <w:ind w:firstLine="200" w:firstLineChars="200"/>
    </w:pPr>
    <w:rPr>
      <w:rFonts w:ascii="ˎ̥" w:hAnsi="ˎ̥"/>
      <w:sz w:val="24"/>
      <w:szCs w:val="20"/>
    </w:rPr>
  </w:style>
  <w:style w:type="paragraph" w:customStyle="1" w:styleId="542">
    <w:name w:val="编号圆圈数字"/>
    <w:basedOn w:val="1"/>
    <w:qFormat/>
    <w:uiPriority w:val="0"/>
    <w:pPr>
      <w:tabs>
        <w:tab w:val="left" w:pos="597"/>
      </w:tabs>
      <w:spacing w:line="360" w:lineRule="auto"/>
      <w:ind w:left="140" w:firstLine="480"/>
    </w:pPr>
    <w:rPr>
      <w:sz w:val="24"/>
      <w:szCs w:val="20"/>
    </w:rPr>
  </w:style>
  <w:style w:type="paragraph" w:customStyle="1" w:styleId="543">
    <w:name w:val="表标题"/>
    <w:basedOn w:val="1"/>
    <w:qFormat/>
    <w:uiPriority w:val="0"/>
    <w:pPr>
      <w:suppressAutoHyphens/>
      <w:spacing w:before="200" w:line="394" w:lineRule="atLeast"/>
      <w:ind w:firstLine="480" w:firstLineChars="200"/>
      <w:textAlignment w:val="baseline"/>
    </w:pPr>
    <w:rPr>
      <w:rFonts w:ascii="ˎ̥" w:hAnsi="ˎ̥"/>
      <w:kern w:val="1"/>
      <w:sz w:val="24"/>
      <w:szCs w:val="20"/>
    </w:rPr>
  </w:style>
  <w:style w:type="paragraph" w:customStyle="1" w:styleId="544">
    <w:name w:val="Char Char Char1 Char"/>
    <w:basedOn w:val="1"/>
    <w:next w:val="1"/>
    <w:qFormat/>
    <w:uiPriority w:val="0"/>
    <w:pPr>
      <w:spacing w:line="360" w:lineRule="auto"/>
      <w:ind w:firstLine="200" w:firstLineChars="200"/>
    </w:pPr>
    <w:rPr>
      <w:rFonts w:ascii="ˎ̥" w:hAnsi="ˎ̥" w:eastAsia="ˎ̥" w:cs="ˎ̥"/>
      <w:sz w:val="24"/>
    </w:rPr>
  </w:style>
  <w:style w:type="paragraph" w:customStyle="1" w:styleId="545">
    <w:name w:val="1标题2级"/>
    <w:basedOn w:val="1"/>
    <w:qFormat/>
    <w:uiPriority w:val="0"/>
    <w:pPr>
      <w:keepNext/>
      <w:snapToGrid w:val="0"/>
      <w:spacing w:beforeLines="50" w:afterLines="50"/>
      <w:outlineLvl w:val="1"/>
    </w:pPr>
    <w:rPr>
      <w:rFonts w:eastAsia="ˎ̥"/>
      <w:b/>
      <w:sz w:val="28"/>
      <w:szCs w:val="20"/>
    </w:rPr>
  </w:style>
  <w:style w:type="paragraph" w:customStyle="1" w:styleId="546">
    <w:name w:val="Char11"/>
    <w:basedOn w:val="1"/>
    <w:qFormat/>
    <w:uiPriority w:val="0"/>
    <w:pPr>
      <w:widowControl/>
      <w:spacing w:after="160" w:line="240" w:lineRule="exact"/>
    </w:pPr>
    <w:rPr>
      <w:rFonts w:ascii="ˎ̥" w:hAnsi="ˎ̥"/>
      <w:kern w:val="0"/>
      <w:sz w:val="20"/>
      <w:szCs w:val="20"/>
      <w:lang w:eastAsia="en-US"/>
    </w:rPr>
  </w:style>
  <w:style w:type="paragraph" w:customStyle="1" w:styleId="547">
    <w:name w:val="图例"/>
    <w:qFormat/>
    <w:uiPriority w:val="0"/>
    <w:pPr>
      <w:autoSpaceDE w:val="0"/>
      <w:autoSpaceDN w:val="0"/>
      <w:adjustRightInd w:val="0"/>
      <w:jc w:val="center"/>
    </w:pPr>
    <w:rPr>
      <w:rFonts w:ascii="ˎ̥" w:hAnsi="ˎ̥" w:eastAsia="ˎ̥" w:cs="Times New Roman"/>
      <w:b/>
      <w:spacing w:val="12"/>
      <w:sz w:val="24"/>
      <w:lang w:val="en-US" w:eastAsia="zh-CN" w:bidi="ar-SA"/>
    </w:rPr>
  </w:style>
  <w:style w:type="paragraph" w:customStyle="1" w:styleId="548">
    <w:name w:val="样式 标题 2标题2Se节标题 1.11.1标题2条标题h2l22nd levelTitre22Heade..."/>
    <w:basedOn w:val="9"/>
    <w:qFormat/>
    <w:uiPriority w:val="0"/>
    <w:pPr>
      <w:keepLines/>
      <w:spacing w:before="240" w:after="120" w:line="413" w:lineRule="auto"/>
    </w:pPr>
    <w:rPr>
      <w:rFonts w:ascii="ˎ̥" w:hAnsi="ˎ̥" w:eastAsia="ˎ̥"/>
      <w:b/>
    </w:rPr>
  </w:style>
  <w:style w:type="paragraph" w:customStyle="1" w:styleId="549">
    <w:name w:val="样式"/>
    <w:basedOn w:val="1"/>
    <w:next w:val="31"/>
    <w:qFormat/>
    <w:uiPriority w:val="0"/>
    <w:pPr>
      <w:adjustRightInd w:val="0"/>
      <w:spacing w:line="360" w:lineRule="auto"/>
      <w:ind w:firstLine="480"/>
      <w:textAlignment w:val="baseline"/>
    </w:pPr>
    <w:rPr>
      <w:rFonts w:ascii="ˎ̥"/>
      <w:kern w:val="0"/>
      <w:sz w:val="24"/>
      <w:szCs w:val="20"/>
    </w:rPr>
  </w:style>
  <w:style w:type="paragraph" w:customStyle="1" w:styleId="550">
    <w:name w:val="样式8"/>
    <w:basedOn w:val="8"/>
    <w:qFormat/>
    <w:uiPriority w:val="0"/>
    <w:pPr>
      <w:widowControl w:val="0"/>
      <w:tabs>
        <w:tab w:val="left" w:pos="720"/>
        <w:tab w:val="left" w:pos="900"/>
        <w:tab w:val="left" w:pos="1260"/>
        <w:tab w:val="left" w:pos="1800"/>
      </w:tabs>
      <w:spacing w:before="0" w:after="0"/>
      <w:ind w:left="720" w:hanging="720"/>
    </w:pPr>
    <w:rPr>
      <w:rFonts w:ascii="ˎ̥" w:hAnsi="ˎ̥"/>
      <w:sz w:val="28"/>
    </w:rPr>
  </w:style>
  <w:style w:type="paragraph" w:customStyle="1" w:styleId="551">
    <w:name w:val="font5"/>
    <w:basedOn w:val="1"/>
    <w:qFormat/>
    <w:uiPriority w:val="0"/>
    <w:pPr>
      <w:widowControl/>
      <w:spacing w:before="100" w:beforeAutospacing="1" w:after="100" w:afterAutospacing="1"/>
      <w:jc w:val="left"/>
    </w:pPr>
    <w:rPr>
      <w:rFonts w:hint="eastAsia" w:ascii="ˎ̥" w:hAnsi="ˎ̥"/>
      <w:kern w:val="0"/>
      <w:sz w:val="18"/>
      <w:szCs w:val="20"/>
    </w:rPr>
  </w:style>
  <w:style w:type="paragraph" w:customStyle="1" w:styleId="552">
    <w:name w:val="正文 Char Char Char"/>
    <w:basedOn w:val="1"/>
    <w:qFormat/>
    <w:uiPriority w:val="0"/>
    <w:pPr>
      <w:spacing w:line="520" w:lineRule="exact"/>
      <w:ind w:firstLine="200" w:firstLineChars="200"/>
    </w:pPr>
    <w:rPr>
      <w:sz w:val="24"/>
      <w:szCs w:val="20"/>
    </w:rPr>
  </w:style>
  <w:style w:type="paragraph" w:customStyle="1" w:styleId="553">
    <w:name w:val="navitext"/>
    <w:basedOn w:val="1"/>
    <w:qFormat/>
    <w:uiPriority w:val="0"/>
    <w:pPr>
      <w:widowControl/>
      <w:spacing w:before="100" w:beforeAutospacing="1" w:after="100" w:afterAutospacing="1"/>
      <w:jc w:val="left"/>
    </w:pPr>
    <w:rPr>
      <w:rFonts w:ascii="ˎ̥" w:hAnsi="ˎ̥"/>
      <w:color w:val="000000"/>
      <w:kern w:val="0"/>
      <w:sz w:val="18"/>
      <w:szCs w:val="20"/>
    </w:rPr>
  </w:style>
  <w:style w:type="paragraph" w:customStyle="1" w:styleId="554">
    <w:name w:val="样式7"/>
    <w:basedOn w:val="8"/>
    <w:qFormat/>
    <w:uiPriority w:val="0"/>
    <w:pPr>
      <w:widowControl w:val="0"/>
      <w:tabs>
        <w:tab w:val="left" w:pos="720"/>
        <w:tab w:val="left" w:pos="900"/>
        <w:tab w:val="left" w:pos="1260"/>
        <w:tab w:val="left" w:pos="1800"/>
      </w:tabs>
      <w:spacing w:before="0" w:after="0"/>
      <w:ind w:left="720" w:hanging="720"/>
    </w:pPr>
    <w:rPr>
      <w:rFonts w:ascii="ˎ̥" w:hAnsi="ˎ̥"/>
      <w:sz w:val="28"/>
    </w:rPr>
  </w:style>
  <w:style w:type="paragraph" w:customStyle="1" w:styleId="555">
    <w:name w:val="In Table"/>
    <w:basedOn w:val="1"/>
    <w:qFormat/>
    <w:uiPriority w:val="0"/>
    <w:pPr>
      <w:tabs>
        <w:tab w:val="left" w:pos="2200"/>
        <w:tab w:val="left" w:pos="3960"/>
        <w:tab w:val="left" w:pos="5280"/>
      </w:tabs>
      <w:spacing w:before="96" w:after="96" w:line="0" w:lineRule="atLeast"/>
      <w:jc w:val="center"/>
    </w:pPr>
    <w:rPr>
      <w:rFonts w:ascii="ˎ̥" w:hAnsi="ˎ̥" w:eastAsia="ˎ̥"/>
      <w:szCs w:val="20"/>
    </w:rPr>
  </w:style>
  <w:style w:type="paragraph" w:customStyle="1" w:styleId="556">
    <w:name w:val="样式 正文（首行缩进两字） + 宋体 小四 加粗 首行缩进:  0.85 厘米 行距: 固定值 24 磅"/>
    <w:basedOn w:val="1"/>
    <w:qFormat/>
    <w:uiPriority w:val="0"/>
    <w:pPr>
      <w:adjustRightInd w:val="0"/>
      <w:spacing w:line="480" w:lineRule="exact"/>
      <w:ind w:firstLine="482"/>
      <w:textAlignment w:val="baseline"/>
    </w:pPr>
    <w:rPr>
      <w:rFonts w:ascii="ˎ̥" w:hAnsi="ˎ̥"/>
      <w:sz w:val="24"/>
      <w:szCs w:val="20"/>
    </w:rPr>
  </w:style>
  <w:style w:type="paragraph" w:customStyle="1" w:styleId="557">
    <w:name w:val="reader-word-layer reader-word-s7-5"/>
    <w:basedOn w:val="1"/>
    <w:qFormat/>
    <w:uiPriority w:val="0"/>
    <w:pPr>
      <w:widowControl/>
      <w:spacing w:before="100" w:beforeAutospacing="1" w:after="100" w:afterAutospacing="1"/>
      <w:jc w:val="left"/>
    </w:pPr>
    <w:rPr>
      <w:rFonts w:ascii="ˎ̥" w:hAnsi="ˎ̥" w:cs="ˎ̥"/>
      <w:kern w:val="0"/>
      <w:sz w:val="24"/>
    </w:rPr>
  </w:style>
  <w:style w:type="paragraph" w:customStyle="1" w:styleId="558">
    <w:name w:val="编号1"/>
    <w:basedOn w:val="1"/>
    <w:qFormat/>
    <w:uiPriority w:val="0"/>
    <w:pPr>
      <w:tabs>
        <w:tab w:val="left" w:pos="1200"/>
        <w:tab w:val="left" w:pos="1260"/>
      </w:tabs>
    </w:pPr>
    <w:rPr>
      <w:szCs w:val="20"/>
    </w:rPr>
  </w:style>
  <w:style w:type="paragraph" w:customStyle="1" w:styleId="559">
    <w:name w:val="正文（首行缩进两字） Char Char Char Char1"/>
    <w:basedOn w:val="1"/>
    <w:next w:val="1"/>
    <w:qFormat/>
    <w:uiPriority w:val="0"/>
    <w:pPr>
      <w:spacing w:line="440" w:lineRule="exact"/>
      <w:ind w:firstLine="200" w:firstLineChars="200"/>
    </w:pPr>
    <w:rPr>
      <w:rFonts w:ascii="ˎ̥" w:hAnsi="ˎ̥"/>
      <w:sz w:val="24"/>
      <w:szCs w:val="20"/>
    </w:rPr>
  </w:style>
  <w:style w:type="paragraph" w:customStyle="1" w:styleId="560">
    <w:name w:val="样式 标题 4 + 宋体 Char"/>
    <w:basedOn w:val="10"/>
    <w:qFormat/>
    <w:uiPriority w:val="0"/>
    <w:pPr>
      <w:tabs>
        <w:tab w:val="left" w:pos="720"/>
      </w:tabs>
      <w:spacing w:before="0" w:after="0" w:line="240" w:lineRule="auto"/>
    </w:pPr>
    <w:rPr>
      <w:b w:val="0"/>
      <w:bCs w:val="0"/>
      <w:szCs w:val="20"/>
    </w:rPr>
  </w:style>
  <w:style w:type="paragraph" w:customStyle="1" w:styleId="561">
    <w:name w:val="默认段落字体 Para Char Char Char Char Char Char Char"/>
    <w:basedOn w:val="1"/>
    <w:qFormat/>
    <w:uiPriority w:val="0"/>
    <w:pPr>
      <w:adjustRightInd w:val="0"/>
      <w:spacing w:line="360" w:lineRule="auto"/>
      <w:textAlignment w:val="baseline"/>
    </w:pPr>
    <w:rPr>
      <w:kern w:val="0"/>
      <w:sz w:val="24"/>
      <w:szCs w:val="20"/>
    </w:rPr>
  </w:style>
  <w:style w:type="paragraph" w:customStyle="1" w:styleId="562">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0"/>
    </w:rPr>
  </w:style>
  <w:style w:type="paragraph" w:customStyle="1" w:styleId="563">
    <w:name w:val="Char1"/>
    <w:basedOn w:val="1"/>
    <w:qFormat/>
    <w:uiPriority w:val="0"/>
    <w:pPr>
      <w:spacing w:line="360" w:lineRule="auto"/>
    </w:pPr>
    <w:rPr>
      <w:rFonts w:ascii="ˎ̥" w:hAnsi="ˎ̥"/>
      <w:sz w:val="24"/>
      <w:szCs w:val="20"/>
    </w:rPr>
  </w:style>
  <w:style w:type="paragraph" w:styleId="564">
    <w:name w:val="List Paragraph"/>
    <w:basedOn w:val="1"/>
    <w:link w:val="586"/>
    <w:qFormat/>
    <w:uiPriority w:val="99"/>
    <w:pPr>
      <w:ind w:firstLine="420" w:firstLineChars="200"/>
    </w:pPr>
    <w:rPr>
      <w:rFonts w:ascii="ˎ̥" w:hAnsi="ˎ̥"/>
      <w:szCs w:val="20"/>
    </w:rPr>
  </w:style>
  <w:style w:type="paragraph" w:customStyle="1" w:styleId="565">
    <w:name w:val="内1"/>
    <w:basedOn w:val="1"/>
    <w:qFormat/>
    <w:uiPriority w:val="0"/>
    <w:pPr>
      <w:ind w:firstLine="200" w:firstLineChars="200"/>
    </w:pPr>
    <w:rPr>
      <w:rFonts w:ascii="宋体" w:hAnsi="宋体"/>
      <w:snapToGrid w:val="0"/>
      <w:sz w:val="24"/>
    </w:rPr>
  </w:style>
  <w:style w:type="paragraph" w:customStyle="1" w:styleId="566">
    <w:name w:val="样式 四号 行距: 1.0 倍行距"/>
    <w:basedOn w:val="1"/>
    <w:qFormat/>
    <w:uiPriority w:val="0"/>
    <w:pPr>
      <w:spacing w:line="360" w:lineRule="auto"/>
    </w:pPr>
    <w:rPr>
      <w:sz w:val="28"/>
      <w:szCs w:val="20"/>
    </w:rPr>
  </w:style>
  <w:style w:type="paragraph" w:customStyle="1" w:styleId="567">
    <w:name w:val="表"/>
    <w:basedOn w:val="1"/>
    <w:qFormat/>
    <w:uiPriority w:val="0"/>
    <w:pPr>
      <w:tabs>
        <w:tab w:val="left" w:pos="5040"/>
      </w:tabs>
      <w:spacing w:line="240" w:lineRule="exact"/>
      <w:ind w:left="-31" w:leftChars="-15" w:firstLine="31" w:firstLineChars="15"/>
      <w:jc w:val="center"/>
      <w:outlineLvl w:val="0"/>
    </w:pPr>
    <w:rPr>
      <w:szCs w:val="20"/>
    </w:rPr>
  </w:style>
  <w:style w:type="paragraph" w:customStyle="1" w:styleId="568">
    <w:name w:val="默认段落字体 Para Char"/>
    <w:basedOn w:val="1"/>
    <w:next w:val="1"/>
    <w:qFormat/>
    <w:uiPriority w:val="0"/>
    <w:pPr>
      <w:keepNext/>
      <w:keepLines/>
      <w:widowControl/>
      <w:adjustRightInd w:val="0"/>
      <w:spacing w:line="360" w:lineRule="auto"/>
      <w:ind w:firstLine="480" w:firstLineChars="200"/>
      <w:jc w:val="left"/>
      <w:textAlignment w:val="baseline"/>
      <w:outlineLvl w:val="1"/>
    </w:pPr>
    <w:rPr>
      <w:rFonts w:ascii="ˎ̥" w:hAnsi="ˎ̥" w:cs="ˎ̥"/>
      <w:bCs/>
      <w:kern w:val="0"/>
      <w:sz w:val="24"/>
    </w:rPr>
  </w:style>
  <w:style w:type="paragraph" w:customStyle="1" w:styleId="569">
    <w:name w:val="gb1"/>
    <w:basedOn w:val="1"/>
    <w:qFormat/>
    <w:uiPriority w:val="0"/>
    <w:pPr>
      <w:widowControl/>
      <w:tabs>
        <w:tab w:val="left" w:pos="227"/>
      </w:tabs>
      <w:overflowPunct w:val="0"/>
      <w:autoSpaceDE w:val="0"/>
      <w:autoSpaceDN w:val="0"/>
      <w:adjustRightInd w:val="0"/>
      <w:spacing w:before="120" w:after="120"/>
      <w:textAlignment w:val="baseline"/>
    </w:pPr>
    <w:rPr>
      <w:rFonts w:ascii="ˎ̥" w:hAnsi="ˎ̥" w:eastAsia="ˎ̥"/>
      <w:kern w:val="0"/>
      <w:szCs w:val="20"/>
    </w:rPr>
  </w:style>
  <w:style w:type="paragraph" w:customStyle="1" w:styleId="570">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ascii="ˎ̥" w:hAnsi="ˎ̥" w:eastAsia="ˎ̥"/>
      <w:kern w:val="0"/>
      <w:sz w:val="20"/>
      <w:szCs w:val="20"/>
    </w:rPr>
  </w:style>
  <w:style w:type="paragraph" w:customStyle="1" w:styleId="571">
    <w:name w:val="标记文字"/>
    <w:basedOn w:val="22"/>
    <w:qFormat/>
    <w:uiPriority w:val="0"/>
    <w:pPr>
      <w:overflowPunct/>
      <w:topLinePunct w:val="0"/>
      <w:autoSpaceDE/>
      <w:autoSpaceDN/>
      <w:adjustRightInd/>
      <w:snapToGrid/>
      <w:spacing w:before="0" w:line="240" w:lineRule="auto"/>
      <w:ind w:left="200" w:hanging="200" w:hangingChars="200"/>
      <w:jc w:val="both"/>
      <w:textAlignment w:val="auto"/>
    </w:pPr>
    <w:rPr>
      <w:b w:val="0"/>
      <w:spacing w:val="0"/>
      <w:kern w:val="2"/>
    </w:rPr>
  </w:style>
  <w:style w:type="paragraph" w:customStyle="1" w:styleId="572">
    <w:name w:val="正文表标题"/>
    <w:next w:val="342"/>
    <w:qFormat/>
    <w:uiPriority w:val="0"/>
    <w:pPr>
      <w:jc w:val="center"/>
    </w:pPr>
    <w:rPr>
      <w:rFonts w:ascii="ˎ̥" w:hAnsi="Times New Roman" w:eastAsia="ˎ̥" w:cs="Times New Roman"/>
      <w:sz w:val="21"/>
      <w:lang w:val="en-US" w:eastAsia="zh-CN" w:bidi="ar-SA"/>
    </w:rPr>
  </w:style>
  <w:style w:type="paragraph" w:customStyle="1" w:styleId="573">
    <w:name w:val="正文曹"/>
    <w:basedOn w:val="31"/>
    <w:qFormat/>
    <w:uiPriority w:val="0"/>
    <w:pPr>
      <w:spacing w:after="0" w:line="320" w:lineRule="exact"/>
      <w:ind w:left="0" w:leftChars="0"/>
      <w:jc w:val="center"/>
    </w:pPr>
    <w:rPr>
      <w:rFonts w:ascii="ˎ̥" w:hAnsi="ˎ̥"/>
      <w:sz w:val="24"/>
    </w:rPr>
  </w:style>
  <w:style w:type="paragraph" w:customStyle="1" w:styleId="574">
    <w:name w:val="WW-列表 2"/>
    <w:basedOn w:val="1"/>
    <w:qFormat/>
    <w:uiPriority w:val="0"/>
    <w:pPr>
      <w:suppressAutoHyphens/>
      <w:ind w:left="840" w:hanging="420"/>
    </w:pPr>
    <w:rPr>
      <w:rFonts w:ascii="ˎ̥" w:hAnsi="ˎ̥"/>
      <w:kern w:val="1"/>
      <w:szCs w:val="20"/>
      <w:lang w:eastAsia="ar-SA"/>
    </w:rPr>
  </w:style>
  <w:style w:type="paragraph" w:customStyle="1" w:styleId="575">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ˎ̥" w:hAnsi="ˎ̥"/>
      <w:kern w:val="0"/>
      <w:sz w:val="18"/>
      <w:szCs w:val="20"/>
    </w:rPr>
  </w:style>
  <w:style w:type="paragraph" w:customStyle="1" w:styleId="576">
    <w:name w:val="font10"/>
    <w:basedOn w:val="1"/>
    <w:qFormat/>
    <w:uiPriority w:val="0"/>
    <w:pPr>
      <w:widowControl/>
      <w:spacing w:before="100" w:beforeAutospacing="1" w:after="100" w:afterAutospacing="1"/>
      <w:jc w:val="left"/>
    </w:pPr>
    <w:rPr>
      <w:rFonts w:eastAsia="ˎ̥"/>
      <w:b/>
      <w:color w:val="000000"/>
      <w:kern w:val="0"/>
      <w:sz w:val="18"/>
      <w:szCs w:val="20"/>
    </w:rPr>
  </w:style>
  <w:style w:type="paragraph" w:customStyle="1" w:styleId="577">
    <w:name w:val="图名称"/>
    <w:basedOn w:val="1"/>
    <w:qFormat/>
    <w:uiPriority w:val="0"/>
    <w:pPr>
      <w:tabs>
        <w:tab w:val="left" w:pos="2600"/>
        <w:tab w:val="center" w:pos="6622"/>
      </w:tabs>
      <w:adjustRightInd w:val="0"/>
      <w:snapToGrid w:val="0"/>
      <w:spacing w:before="50" w:line="312" w:lineRule="auto"/>
      <w:ind w:firstLine="178" w:firstLineChars="74"/>
      <w:jc w:val="center"/>
    </w:pPr>
    <w:rPr>
      <w:b/>
      <w:sz w:val="24"/>
      <w:szCs w:val="20"/>
    </w:rPr>
  </w:style>
  <w:style w:type="paragraph" w:customStyle="1" w:styleId="578">
    <w:name w:val="table"/>
    <w:basedOn w:val="1"/>
    <w:qFormat/>
    <w:uiPriority w:val="0"/>
    <w:pPr>
      <w:adjustRightInd w:val="0"/>
      <w:spacing w:line="240" w:lineRule="atLeast"/>
      <w:textAlignment w:val="baseline"/>
    </w:pPr>
    <w:rPr>
      <w:rFonts w:ascii="ˎ̥" w:hAnsi="ˎ̥"/>
      <w:spacing w:val="-2"/>
      <w:kern w:val="0"/>
      <w:szCs w:val="20"/>
    </w:rPr>
  </w:style>
  <w:style w:type="paragraph" w:customStyle="1" w:styleId="579">
    <w:name w:val="表头右"/>
    <w:basedOn w:val="1"/>
    <w:qFormat/>
    <w:uiPriority w:val="0"/>
    <w:pPr>
      <w:spacing w:line="360" w:lineRule="auto"/>
      <w:ind w:firstLine="448" w:firstLineChars="200"/>
      <w:jc w:val="right"/>
    </w:pPr>
    <w:rPr>
      <w:szCs w:val="20"/>
    </w:rPr>
  </w:style>
  <w:style w:type="paragraph" w:customStyle="1" w:styleId="580">
    <w:name w:val="表头4"/>
    <w:basedOn w:val="251"/>
    <w:qFormat/>
    <w:uiPriority w:val="0"/>
    <w:pPr>
      <w:tabs>
        <w:tab w:val="left" w:pos="360"/>
        <w:tab w:val="clear" w:pos="625"/>
      </w:tabs>
      <w:ind w:left="0" w:firstLine="0"/>
    </w:pPr>
  </w:style>
  <w:style w:type="paragraph" w:customStyle="1" w:styleId="581">
    <w:name w:val="基准页脚样式"/>
    <w:basedOn w:val="4"/>
    <w:qFormat/>
    <w:uiPriority w:val="0"/>
    <w:pPr>
      <w:widowControl w:val="0"/>
      <w:snapToGrid/>
      <w:spacing w:before="0" w:after="0" w:line="520" w:lineRule="exact"/>
      <w:ind w:right="0"/>
    </w:pPr>
    <w:rPr>
      <w:kern w:val="2"/>
      <w:sz w:val="24"/>
      <w:szCs w:val="20"/>
    </w:rPr>
  </w:style>
  <w:style w:type="paragraph" w:customStyle="1" w:styleId="582">
    <w:name w:val="正文文本缩进1"/>
    <w:basedOn w:val="1"/>
    <w:qFormat/>
    <w:uiPriority w:val="0"/>
    <w:pPr>
      <w:spacing w:line="360" w:lineRule="exact"/>
      <w:ind w:firstLine="480" w:firstLineChars="200"/>
    </w:pPr>
    <w:rPr>
      <w:sz w:val="24"/>
    </w:rPr>
  </w:style>
  <w:style w:type="paragraph" w:customStyle="1" w:styleId="583">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99CC00"/>
      <w:spacing w:before="100" w:beforeAutospacing="1" w:after="100" w:afterAutospacing="1"/>
      <w:jc w:val="center"/>
      <w:textAlignment w:val="center"/>
    </w:pPr>
    <w:rPr>
      <w:rFonts w:eastAsia="ˎ̥"/>
      <w:kern w:val="0"/>
      <w:sz w:val="20"/>
      <w:szCs w:val="20"/>
    </w:rPr>
  </w:style>
  <w:style w:type="paragraph" w:customStyle="1" w:styleId="584">
    <w:name w:val="Char Char37"/>
    <w:basedOn w:val="1"/>
    <w:next w:val="1"/>
    <w:qFormat/>
    <w:uiPriority w:val="0"/>
    <w:pPr>
      <w:spacing w:line="529" w:lineRule="exact"/>
      <w:ind w:firstLine="200" w:firstLineChars="200"/>
    </w:pPr>
    <w:rPr>
      <w:rFonts w:ascii="宋体" w:hAnsi="宋体" w:cs="宋体"/>
      <w:sz w:val="24"/>
    </w:rPr>
  </w:style>
  <w:style w:type="character" w:customStyle="1" w:styleId="585">
    <w:name w:val="fontstyle11"/>
    <w:qFormat/>
    <w:uiPriority w:val="0"/>
    <w:rPr>
      <w:rFonts w:ascii="宋体" w:hAnsi="宋体" w:eastAsia="宋体" w:cs="宋体"/>
      <w:color w:val="000000"/>
      <w:sz w:val="22"/>
      <w:szCs w:val="22"/>
    </w:rPr>
  </w:style>
  <w:style w:type="character" w:customStyle="1" w:styleId="586">
    <w:name w:val="列出段落 Char"/>
    <w:link w:val="564"/>
    <w:qFormat/>
    <w:locked/>
    <w:uiPriority w:val="99"/>
    <w:rPr>
      <w:rFonts w:ascii="ˎ̥" w:hAnsi="ˎ̥"/>
      <w:kern w:val="2"/>
      <w:sz w:val="21"/>
    </w:rPr>
  </w:style>
  <w:style w:type="character" w:customStyle="1" w:styleId="587">
    <w:name w:val="表中文字 Char"/>
    <w:link w:val="428"/>
    <w:qFormat/>
    <w:uiPriority w:val="0"/>
    <w:rPr>
      <w:rFonts w:ascii="ˎ̥" w:hAnsi="ˎ̥"/>
      <w:kern w:val="2"/>
      <w:sz w:val="21"/>
    </w:rPr>
  </w:style>
  <w:style w:type="character" w:customStyle="1" w:styleId="588">
    <w:name w:val="宏文本 Char"/>
    <w:basedOn w:val="68"/>
    <w:link w:val="6"/>
    <w:semiHidden/>
    <w:qFormat/>
    <w:uiPriority w:val="0"/>
    <w:rPr>
      <w:rFonts w:ascii="Courier New" w:hAnsi="Courier New" w:cs="Courier New"/>
      <w:kern w:val="2"/>
      <w:sz w:val="24"/>
      <w:szCs w:val="24"/>
    </w:rPr>
  </w:style>
  <w:style w:type="character" w:customStyle="1" w:styleId="589">
    <w:name w:val="正文文本 Char"/>
    <w:basedOn w:val="68"/>
    <w:link w:val="4"/>
    <w:qFormat/>
    <w:uiPriority w:val="0"/>
    <w:rPr>
      <w:kern w:val="2"/>
      <w:sz w:val="21"/>
      <w:szCs w:val="24"/>
    </w:rPr>
  </w:style>
  <w:style w:type="character" w:customStyle="1" w:styleId="590">
    <w:name w:val="批注文字 Char"/>
    <w:basedOn w:val="68"/>
    <w:link w:val="26"/>
    <w:qFormat/>
    <w:uiPriority w:val="0"/>
    <w:rPr>
      <w:szCs w:val="24"/>
    </w:rPr>
  </w:style>
  <w:style w:type="character" w:customStyle="1" w:styleId="591">
    <w:name w:val="页眉 Char"/>
    <w:basedOn w:val="68"/>
    <w:link w:val="47"/>
    <w:qFormat/>
    <w:uiPriority w:val="0"/>
    <w:rPr>
      <w:kern w:val="2"/>
      <w:sz w:val="18"/>
      <w:szCs w:val="18"/>
    </w:rPr>
  </w:style>
  <w:style w:type="character" w:customStyle="1" w:styleId="592">
    <w:name w:val="标题 4 Char"/>
    <w:basedOn w:val="68"/>
    <w:link w:val="10"/>
    <w:qFormat/>
    <w:uiPriority w:val="0"/>
    <w:rPr>
      <w:rFonts w:hint="eastAsia" w:ascii="仿宋_GB2312" w:eastAsia="仿宋_GB2312" w:cs="仿宋_GB2312"/>
      <w:b/>
      <w:kern w:val="2"/>
      <w:sz w:val="24"/>
      <w:szCs w:val="28"/>
    </w:rPr>
  </w:style>
  <w:style w:type="character" w:customStyle="1" w:styleId="593">
    <w:name w:val="标题 1 Char"/>
    <w:basedOn w:val="68"/>
    <w:link w:val="7"/>
    <w:qFormat/>
    <w:uiPriority w:val="0"/>
    <w:rPr>
      <w:rFonts w:hint="eastAsia" w:ascii="黑体" w:hAnsi="宋体" w:eastAsia="黑体" w:cs="黑体"/>
      <w:b/>
      <w:bCs/>
      <w:color w:val="000000"/>
      <w:kern w:val="44"/>
      <w:sz w:val="30"/>
      <w:szCs w:val="30"/>
    </w:rPr>
  </w:style>
  <w:style w:type="character" w:customStyle="1" w:styleId="594">
    <w:name w:val="正文首行缩进 2 Char"/>
    <w:basedOn w:val="595"/>
    <w:qFormat/>
    <w:uiPriority w:val="0"/>
    <w:rPr>
      <w:kern w:val="2"/>
      <w:sz w:val="21"/>
      <w:szCs w:val="24"/>
    </w:rPr>
  </w:style>
  <w:style w:type="character" w:customStyle="1" w:styleId="595">
    <w:name w:val="正文文本缩进 Char"/>
    <w:basedOn w:val="68"/>
    <w:link w:val="31"/>
    <w:qFormat/>
    <w:uiPriority w:val="0"/>
    <w:rPr>
      <w:kern w:val="2"/>
      <w:sz w:val="21"/>
      <w:szCs w:val="24"/>
    </w:rPr>
  </w:style>
  <w:style w:type="character" w:customStyle="1" w:styleId="596">
    <w:name w:val="正文首行缩进 2 Char1"/>
    <w:basedOn w:val="68"/>
    <w:link w:val="65"/>
    <w:qFormat/>
    <w:uiPriority w:val="0"/>
    <w:rPr>
      <w:kern w:val="2"/>
      <w:sz w:val="21"/>
      <w:szCs w:val="24"/>
    </w:rPr>
  </w:style>
  <w:style w:type="character" w:customStyle="1" w:styleId="597">
    <w:name w:val="页脚 Char"/>
    <w:basedOn w:val="68"/>
    <w:link w:val="46"/>
    <w:qFormat/>
    <w:uiPriority w:val="0"/>
    <w:rPr>
      <w:kern w:val="2"/>
      <w:sz w:val="18"/>
      <w:szCs w:val="18"/>
    </w:rPr>
  </w:style>
  <w:style w:type="character" w:customStyle="1" w:styleId="598">
    <w:name w:val="标题 3 Char"/>
    <w:basedOn w:val="68"/>
    <w:link w:val="8"/>
    <w:qFormat/>
    <w:uiPriority w:val="0"/>
    <w:rPr>
      <w:rFonts w:hint="eastAsia" w:ascii="黑体" w:hAnsi="宋体" w:eastAsia="黑体" w:cs="黑体"/>
      <w:b/>
      <w:bCs/>
      <w:kern w:val="2"/>
      <w:sz w:val="30"/>
      <w:szCs w:val="32"/>
    </w:rPr>
  </w:style>
  <w:style w:type="character" w:customStyle="1" w:styleId="599">
    <w:name w:val="普通(网站) Char1"/>
    <w:basedOn w:val="68"/>
    <w:link w:val="61"/>
    <w:qFormat/>
    <w:uiPriority w:val="0"/>
    <w:rPr>
      <w:rFonts w:hint="eastAsia" w:ascii="宋体" w:hAnsi="宋体" w:eastAsia="宋体" w:cs="宋体"/>
      <w:sz w:val="24"/>
      <w:szCs w:val="24"/>
    </w:rPr>
  </w:style>
  <w:style w:type="character" w:customStyle="1" w:styleId="600">
    <w:name w:val="标题3cc"/>
    <w:basedOn w:val="68"/>
    <w:qFormat/>
    <w:uiPriority w:val="0"/>
    <w:rPr>
      <w:b/>
      <w:bCs/>
      <w:sz w:val="28"/>
    </w:rPr>
  </w:style>
  <w:style w:type="character" w:customStyle="1" w:styleId="601">
    <w:name w:val="标题 2 Char"/>
    <w:basedOn w:val="68"/>
    <w:link w:val="9"/>
    <w:qFormat/>
    <w:uiPriority w:val="0"/>
    <w:rPr>
      <w:rFonts w:hint="eastAsia" w:ascii="黑体" w:hAnsi="宋体" w:eastAsia="黑体" w:cs="黑体"/>
      <w:kern w:val="2"/>
      <w:sz w:val="28"/>
      <w:szCs w:val="28"/>
      <w:lang w:val="zh-CN" w:bidi="zh-CN"/>
    </w:rPr>
  </w:style>
  <w:style w:type="character" w:customStyle="1" w:styleId="602">
    <w:name w:val="批注框文本 Char"/>
    <w:basedOn w:val="68"/>
    <w:link w:val="45"/>
    <w:qFormat/>
    <w:uiPriority w:val="0"/>
    <w:rPr>
      <w:kern w:val="2"/>
      <w:sz w:val="18"/>
      <w:szCs w:val="18"/>
    </w:rPr>
  </w:style>
  <w:style w:type="character" w:customStyle="1" w:styleId="603">
    <w:name w:val="正文首行缩进 Char"/>
    <w:link w:val="64"/>
    <w:qFormat/>
    <w:uiPriority w:val="0"/>
    <w:rPr>
      <w:spacing w:val="6"/>
      <w:kern w:val="2"/>
      <w:sz w:val="24"/>
      <w:szCs w:val="18"/>
    </w:rPr>
  </w:style>
  <w:style w:type="character" w:customStyle="1" w:styleId="604">
    <w:name w:val="日期 Char"/>
    <w:basedOn w:val="68"/>
    <w:link w:val="42"/>
    <w:qFormat/>
    <w:uiPriority w:val="0"/>
    <w:rPr>
      <w:szCs w:val="24"/>
    </w:rPr>
  </w:style>
  <w:style w:type="paragraph" w:customStyle="1" w:styleId="605">
    <w:name w:val="表格文字样式"/>
    <w:basedOn w:val="1"/>
    <w:qFormat/>
    <w:uiPriority w:val="0"/>
    <w:pPr>
      <w:jc w:val="center"/>
    </w:pPr>
    <w:rPr>
      <w:kern w:val="0"/>
      <w:szCs w:val="22"/>
    </w:rPr>
  </w:style>
  <w:style w:type="character" w:customStyle="1" w:styleId="606">
    <w:name w:val="正文文本缩进 2 Char"/>
    <w:basedOn w:val="68"/>
    <w:link w:val="43"/>
    <w:qFormat/>
    <w:uiPriority w:val="0"/>
    <w:rPr>
      <w:rFonts w:hint="default" w:ascii="Calibri" w:hAnsi="Calibri" w:cs="Calibri"/>
      <w:kern w:val="2"/>
      <w:sz w:val="21"/>
      <w:szCs w:val="24"/>
    </w:rPr>
  </w:style>
  <w:style w:type="character" w:customStyle="1" w:styleId="607">
    <w:name w:val="正文文本 2 Char"/>
    <w:basedOn w:val="68"/>
    <w:link w:val="58"/>
    <w:qFormat/>
    <w:uiPriority w:val="0"/>
    <w:rPr>
      <w:szCs w:val="24"/>
    </w:rPr>
  </w:style>
  <w:style w:type="character" w:customStyle="1" w:styleId="608">
    <w:name w:val="批注主题 Char"/>
    <w:link w:val="63"/>
    <w:qFormat/>
    <w:uiPriority w:val="0"/>
    <w:rPr>
      <w:b/>
      <w:bCs/>
      <w:szCs w:val="24"/>
    </w:rPr>
  </w:style>
  <w:style w:type="character" w:customStyle="1" w:styleId="609">
    <w:name w:val="题注 字符"/>
    <w:basedOn w:val="68"/>
    <w:qFormat/>
    <w:uiPriority w:val="0"/>
    <w:rPr>
      <w:rFonts w:hint="default" w:ascii="Times New Roman" w:hAnsi="Times New Roman" w:eastAsia="黑体" w:cs="Arial"/>
      <w:kern w:val="2"/>
      <w:sz w:val="24"/>
      <w:szCs w:val="28"/>
      <w:lang w:val="en-US" w:eastAsia="zh-CN" w:bidi="ar"/>
    </w:rPr>
  </w:style>
  <w:style w:type="paragraph" w:customStyle="1" w:styleId="610">
    <w:name w:val="1表格内容"/>
    <w:basedOn w:val="1"/>
    <w:qFormat/>
    <w:uiPriority w:val="0"/>
    <w:pPr>
      <w:widowControl/>
      <w:adjustRightInd w:val="0"/>
      <w:snapToGrid w:val="0"/>
      <w:jc w:val="center"/>
    </w:pPr>
    <w:rPr>
      <w:rFonts w:eastAsia="仿宋_GB2312"/>
      <w:kern w:val="0"/>
      <w:sz w:val="18"/>
      <w:szCs w:val="20"/>
    </w:rPr>
  </w:style>
  <w:style w:type="table" w:customStyle="1" w:styleId="611">
    <w:name w:val="Table Normal"/>
    <w:basedOn w:val="66"/>
    <w:qFormat/>
    <w:uiPriority w:val="0"/>
    <w:tblPr>
      <w:tblCellMar>
        <w:top w:w="0" w:type="dxa"/>
        <w:left w:w="0" w:type="dxa"/>
        <w:bottom w:w="0" w:type="dxa"/>
        <w:right w:w="0" w:type="dxa"/>
      </w:tblCellMar>
    </w:tblPr>
  </w:style>
  <w:style w:type="paragraph" w:customStyle="1" w:styleId="612">
    <w:name w:val="（文章）正文石"/>
    <w:basedOn w:val="1"/>
    <w:qFormat/>
    <w:uiPriority w:val="0"/>
    <w:pPr>
      <w:spacing w:line="360" w:lineRule="auto"/>
      <w:ind w:firstLine="200" w:firstLineChars="200"/>
    </w:pPr>
    <w:rPr>
      <w:sz w:val="24"/>
    </w:rPr>
  </w:style>
  <w:style w:type="paragraph" w:customStyle="1" w:styleId="613">
    <w:name w:val="1-表中文字"/>
    <w:basedOn w:val="1"/>
    <w:next w:val="1"/>
    <w:qFormat/>
    <w:uiPriority w:val="0"/>
    <w:pPr>
      <w:jc w:val="center"/>
    </w:pPr>
    <w:rPr>
      <w:rFonts w:cs="Arial"/>
    </w:rPr>
  </w:style>
  <w:style w:type="paragraph" w:customStyle="1" w:styleId="614">
    <w:name w:val="方案正文样式"/>
    <w:basedOn w:val="1"/>
    <w:qFormat/>
    <w:uiPriority w:val="0"/>
    <w:pPr>
      <w:adjustRightInd w:val="0"/>
      <w:snapToGrid w:val="0"/>
      <w:spacing w:line="360" w:lineRule="auto"/>
      <w:ind w:firstLine="454"/>
      <w:textAlignment w:val="baseline"/>
    </w:pPr>
    <w:rPr>
      <w:snapToGrid w:val="0"/>
      <w:kern w:val="0"/>
      <w:sz w:val="24"/>
    </w:rPr>
  </w:style>
  <w:style w:type="paragraph" w:customStyle="1" w:styleId="615">
    <w:name w:val="Table Text"/>
    <w:basedOn w:val="1"/>
    <w:semiHidden/>
    <w:qFormat/>
    <w:uiPriority w:val="0"/>
    <w:rPr>
      <w:rFonts w:ascii="宋体" w:hAnsi="宋体" w:cs="宋体"/>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er" Target="footer1.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3FBA58-39A5-455E-BCEC-DA24FC19C2A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105</Pages>
  <Words>24307</Words>
  <Characters>26384</Characters>
  <Lines>558</Lines>
  <Paragraphs>157</Paragraphs>
  <TotalTime>36</TotalTime>
  <ScaleCrop>false</ScaleCrop>
  <LinksUpToDate>false</LinksUpToDate>
  <CharactersWithSpaces>26567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2023-06-01T10:04:00Z</dcterms:created>
  <dc:creator>lhj</dc:creator>
  <cp:lastModifiedBy>Administrator</cp:lastModifiedBy>
  <cp:lastPrinted>2024-08-29T09:14:00Z</cp:lastPrinted>
  <dcterms:modified xsi:type="dcterms:W3CDTF">2025-03-04T07:18:18Z</dcterms:modified>
  <cp:revision>196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0B837E866CCF4BC582B15A9216A62AB9_13</vt:lpwstr>
  </property>
  <property fmtid="{D5CDD505-2E9C-101B-9397-08002B2CF9AE}" pid="4" name="KSOTemplateDocerSaveRecord">
    <vt:lpwstr>eyJoZGlkIjoiZGVlZTEwNDEzYTE4MjhjMTc3MTBmZjI4MTJjYWFkYTQifQ==</vt:lpwstr>
  </property>
</Properties>
</file>