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遵化市</w:t>
      </w:r>
      <w:r>
        <w:rPr>
          <w:rFonts w:ascii="方正小标宋简体" w:eastAsia="方正小标宋简体" w:hAnsi="方正小标宋简体"/>
          <w:sz w:val="44"/>
          <w:szCs w:val="44"/>
        </w:rPr>
        <w:t>数据科技和工业信息化</w:t>
      </w:r>
      <w:bookmarkStart w:id="0" w:name="_GoBack"/>
      <w:bookmarkEnd w:id="0"/>
      <w:r>
        <w:rPr>
          <w:rFonts w:ascii="方正小标宋简体" w:eastAsia="方正小标宋简体" w:hAnsi="方正小标宋简体" w:hint="eastAsia"/>
          <w:sz w:val="44"/>
          <w:szCs w:val="44"/>
        </w:rPr>
        <w:t>局权责清单事项分表</w:t>
      </w:r>
    </w:p>
    <w:p>
      <w:pPr>
        <w:spacing w:line="600" w:lineRule="exact"/>
        <w:jc w:val="center"/>
        <w:rPr>
          <w:rFonts w:ascii="方正小标宋简体" w:eastAsia="方正小标宋简体" w:hAnsi="方正小标宋简体" w:hint="eastAsia"/>
          <w:sz w:val="36"/>
        </w:rPr>
      </w:pPr>
      <w:r>
        <w:rPr>
          <w:rFonts w:ascii="宋体" w:eastAsia="楷体" w:cs="楷体" w:hAnsi="宋体" w:hint="eastAsia"/>
          <w:color w:val="auto"/>
          <w:sz w:val="32"/>
          <w:szCs w:val="32"/>
          <w:lang w:val="en-US" w:eastAsia="zh-CN"/>
        </w:rPr>
        <w:t>（共4类、</w:t>
      </w:r>
      <w:r>
        <w:rPr>
          <w:rFonts w:ascii="宋体" w:eastAsia="楷体" w:cs="楷体" w:hAnsi="宋体"/>
          <w:color w:val="auto"/>
          <w:sz w:val="32"/>
          <w:szCs w:val="32"/>
          <w:lang w:val="en-US" w:eastAsia="zh-CN"/>
        </w:rPr>
        <w:t>7</w:t>
      </w:r>
      <w:r>
        <w:rPr>
          <w:rFonts w:ascii="宋体" w:eastAsia="楷体" w:cs="楷体" w:hAnsi="宋体" w:hint="eastAsia"/>
          <w:color w:val="auto"/>
          <w:sz w:val="32"/>
          <w:szCs w:val="32"/>
          <w:lang w:val="en-US" w:eastAsia="zh-CN"/>
        </w:rPr>
        <w:t>项）</w:t>
      </w:r>
    </w:p>
    <w:p>
      <w:pPr>
        <w:spacing w:line="600" w:lineRule="exact"/>
        <w:ind w:firstLineChars="950" w:firstLine="3420"/>
        <w:rPr>
          <w:rFonts w:ascii="方正小标宋简体" w:eastAsia="方正小标宋简体" w:hAnsi="方正小标宋简体" w:hint="eastAsia"/>
          <w:sz w:val="36"/>
        </w:rPr>
      </w:pPr>
    </w:p>
    <w:tbl>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5"/>
        <w:gridCol w:w="780"/>
        <w:gridCol w:w="1095"/>
        <w:gridCol w:w="1065"/>
        <w:gridCol w:w="2184"/>
        <w:gridCol w:w="4962"/>
        <w:gridCol w:w="3260"/>
        <w:gridCol w:w="519"/>
      </w:tblGrid>
      <w:tr>
        <w:trPr>
          <w:trHeight w:hRule="exact" w:val="567"/>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权力类型</w:t>
            </w:r>
          </w:p>
        </w:tc>
        <w:tc>
          <w:tcPr>
            <w:tcW w:w="109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权力事项</w:t>
            </w:r>
          </w:p>
        </w:tc>
        <w:tc>
          <w:tcPr>
            <w:tcW w:w="10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行政主体</w:t>
            </w:r>
          </w:p>
        </w:tc>
        <w:tc>
          <w:tcPr>
            <w:tcW w:w="2184"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实施依据</w:t>
            </w:r>
          </w:p>
        </w:tc>
        <w:tc>
          <w:tcPr>
            <w:tcW w:w="4962"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责任事项</w:t>
            </w:r>
          </w:p>
        </w:tc>
        <w:tc>
          <w:tcPr>
            <w:tcW w:w="326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追责情形</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方正黑体简体" w:eastAsia="方正黑体简体" w:cs="方正黑体简体" w:hAnsi="方正黑体简体" w:hint="eastAsia"/>
                <w:sz w:val="21"/>
                <w:szCs w:val="21"/>
              </w:rPr>
            </w:pPr>
            <w:r>
              <w:rPr>
                <w:rFonts w:ascii="方正黑体简体" w:eastAsia="方正黑体简体" w:cs="方正黑体简体" w:hAnsi="方正黑体简体" w:hint="eastAsia"/>
                <w:color w:val="000000"/>
                <w:sz w:val="21"/>
                <w:szCs w:val="21"/>
              </w:rPr>
              <w:t>备注</w:t>
            </w:r>
          </w:p>
        </w:tc>
      </w:tr>
      <w:tr>
        <w:trPr>
          <w:trHeight w:hRule="exact" w:val="5859"/>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1</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行政处罚</w:t>
            </w:r>
          </w:p>
        </w:tc>
        <w:tc>
          <w:tcPr>
            <w:tcW w:w="109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工业料堆未采取有效措施防治尘杨污染的处罚</w:t>
            </w:r>
          </w:p>
        </w:tc>
        <w:tc>
          <w:tcPr>
            <w:tcW w:w="10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40" w:lineRule="exact"/>
              <w:rPr>
                <w:rFonts w:ascii="仿宋" w:eastAsia="仿宋" w:hAnsi="仿宋"/>
                <w:sz w:val="22"/>
                <w:szCs w:val="22"/>
              </w:rPr>
            </w:pPr>
            <w:r>
              <w:rPr>
                <w:rFonts w:ascii="仿宋" w:eastAsia="仿宋" w:cs="仿宋" w:hAnsi="仿宋" w:hint="eastAsia"/>
                <w:color w:val="000000"/>
                <w:kern w:val="0"/>
                <w:sz w:val="22"/>
                <w:szCs w:val="22"/>
              </w:rPr>
              <w:t>《唐山市大气污染防治若干规定》已于</w:t>
            </w:r>
            <w:r>
              <w:rPr>
                <w:rFonts w:ascii="仿宋" w:eastAsia="仿宋" w:cs="仿宋" w:hAnsi="仿宋"/>
                <w:color w:val="000000"/>
                <w:kern w:val="0"/>
                <w:sz w:val="22"/>
                <w:szCs w:val="22"/>
              </w:rPr>
              <w:t>2019</w:t>
            </w:r>
            <w:r>
              <w:rPr>
                <w:rFonts w:ascii="仿宋" w:eastAsia="仿宋" w:cs="仿宋" w:hAnsi="仿宋" w:hint="eastAsia"/>
                <w:color w:val="000000"/>
                <w:kern w:val="0"/>
                <w:sz w:val="22"/>
                <w:szCs w:val="22"/>
              </w:rPr>
              <w:t>年</w:t>
            </w:r>
            <w:r>
              <w:rPr>
                <w:rFonts w:ascii="仿宋" w:eastAsia="仿宋" w:cs="仿宋" w:hAnsi="仿宋"/>
                <w:color w:val="000000"/>
                <w:kern w:val="0"/>
                <w:sz w:val="22"/>
                <w:szCs w:val="22"/>
              </w:rPr>
              <w:t>8</w:t>
            </w:r>
            <w:r>
              <w:rPr>
                <w:rFonts w:ascii="仿宋" w:eastAsia="仿宋" w:cs="仿宋" w:hAnsi="仿宋" w:hint="eastAsia"/>
                <w:color w:val="000000"/>
                <w:kern w:val="0"/>
                <w:sz w:val="22"/>
                <w:szCs w:val="22"/>
              </w:rPr>
              <w:t>月</w:t>
            </w:r>
            <w:r>
              <w:rPr>
                <w:rFonts w:ascii="仿宋" w:eastAsia="仿宋" w:cs="仿宋" w:hAnsi="仿宋"/>
                <w:color w:val="000000"/>
                <w:kern w:val="0"/>
                <w:sz w:val="22"/>
                <w:szCs w:val="22"/>
              </w:rPr>
              <w:t>30</w:t>
            </w:r>
            <w:r>
              <w:rPr>
                <w:rFonts w:ascii="仿宋" w:eastAsia="仿宋" w:cs="仿宋" w:hAnsi="仿宋" w:hint="eastAsia"/>
                <w:color w:val="000000"/>
                <w:kern w:val="0"/>
                <w:sz w:val="22"/>
                <w:szCs w:val="22"/>
              </w:rPr>
              <w:t>日唐山市第十五届人民代表大会常务委员会第二十五次会议通过，经河北省第十三届人民代表大会常务委员会第十二次会议于</w:t>
            </w:r>
            <w:r>
              <w:rPr>
                <w:rFonts w:ascii="仿宋" w:eastAsia="仿宋" w:cs="仿宋" w:hAnsi="仿宋"/>
                <w:color w:val="000000"/>
                <w:kern w:val="0"/>
                <w:sz w:val="22"/>
                <w:szCs w:val="22"/>
              </w:rPr>
              <w:t>2019</w:t>
            </w:r>
            <w:r>
              <w:rPr>
                <w:rFonts w:ascii="仿宋" w:eastAsia="仿宋" w:cs="仿宋" w:hAnsi="仿宋" w:hint="eastAsia"/>
                <w:color w:val="000000"/>
                <w:kern w:val="0"/>
                <w:sz w:val="22"/>
                <w:szCs w:val="22"/>
              </w:rPr>
              <w:t>年</w:t>
            </w:r>
            <w:r>
              <w:rPr>
                <w:rFonts w:ascii="仿宋" w:eastAsia="仿宋" w:cs="仿宋" w:hAnsi="仿宋"/>
                <w:color w:val="000000"/>
                <w:kern w:val="0"/>
                <w:sz w:val="22"/>
                <w:szCs w:val="22"/>
              </w:rPr>
              <w:t>9</w:t>
            </w:r>
            <w:r>
              <w:rPr>
                <w:rFonts w:ascii="仿宋" w:eastAsia="仿宋" w:cs="仿宋" w:hAnsi="仿宋" w:hint="eastAsia"/>
                <w:color w:val="000000"/>
                <w:kern w:val="0"/>
                <w:sz w:val="22"/>
                <w:szCs w:val="22"/>
              </w:rPr>
              <w:t>月</w:t>
            </w:r>
            <w:r>
              <w:rPr>
                <w:rFonts w:ascii="仿宋" w:eastAsia="仿宋" w:cs="仿宋" w:hAnsi="仿宋"/>
                <w:color w:val="000000"/>
                <w:kern w:val="0"/>
                <w:sz w:val="22"/>
                <w:szCs w:val="22"/>
              </w:rPr>
              <w:t>28</w:t>
            </w:r>
            <w:r>
              <w:rPr>
                <w:rFonts w:ascii="仿宋" w:eastAsia="仿宋" w:cs="仿宋" w:hAnsi="仿宋" w:hint="eastAsia"/>
                <w:color w:val="000000"/>
                <w:kern w:val="0"/>
                <w:sz w:val="22"/>
                <w:szCs w:val="22"/>
              </w:rPr>
              <w:t>日批准，现予公布，自</w:t>
            </w:r>
            <w:r>
              <w:rPr>
                <w:rFonts w:ascii="仿宋" w:eastAsia="仿宋" w:cs="仿宋" w:hAnsi="仿宋"/>
                <w:color w:val="000000"/>
                <w:kern w:val="0"/>
                <w:sz w:val="22"/>
                <w:szCs w:val="22"/>
              </w:rPr>
              <w:t>2019</w:t>
            </w:r>
            <w:r>
              <w:rPr>
                <w:rFonts w:ascii="仿宋" w:eastAsia="仿宋" w:cs="仿宋" w:hAnsi="仿宋" w:hint="eastAsia"/>
                <w:color w:val="000000"/>
                <w:kern w:val="0"/>
                <w:sz w:val="22"/>
                <w:szCs w:val="22"/>
              </w:rPr>
              <w:t>年</w:t>
            </w:r>
            <w:r>
              <w:rPr>
                <w:rFonts w:ascii="仿宋" w:eastAsia="仿宋" w:cs="仿宋" w:hAnsi="仿宋"/>
                <w:color w:val="000000"/>
                <w:kern w:val="0"/>
                <w:sz w:val="22"/>
                <w:szCs w:val="22"/>
              </w:rPr>
              <w:t>11</w:t>
            </w:r>
            <w:r>
              <w:rPr>
                <w:rFonts w:ascii="仿宋" w:eastAsia="仿宋" w:cs="仿宋" w:hAnsi="仿宋" w:hint="eastAsia"/>
                <w:color w:val="000000"/>
                <w:kern w:val="0"/>
                <w:sz w:val="22"/>
                <w:szCs w:val="22"/>
              </w:rPr>
              <w:t>月</w:t>
            </w:r>
            <w:r>
              <w:rPr>
                <w:rFonts w:ascii="仿宋" w:eastAsia="仿宋" w:cs="仿宋" w:hAnsi="仿宋"/>
                <w:color w:val="000000"/>
                <w:kern w:val="0"/>
                <w:sz w:val="22"/>
                <w:szCs w:val="22"/>
              </w:rPr>
              <w:t>1</w:t>
            </w:r>
            <w:r>
              <w:rPr>
                <w:rFonts w:ascii="仿宋" w:eastAsia="仿宋" w:cs="仿宋" w:hAnsi="仿宋" w:hint="eastAsia"/>
                <w:color w:val="000000"/>
                <w:kern w:val="0"/>
                <w:sz w:val="22"/>
                <w:szCs w:val="22"/>
              </w:rPr>
              <w:t>日起施行。</w:t>
            </w:r>
          </w:p>
        </w:tc>
        <w:tc>
          <w:tcPr>
            <w:tcW w:w="4962"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80" w:lineRule="exact"/>
              <w:rPr>
                <w:rFonts w:ascii="仿宋" w:eastAsia="仿宋" w:hAnsi="仿宋"/>
                <w:sz w:val="22"/>
                <w:szCs w:val="22"/>
              </w:rPr>
            </w:pPr>
            <w:r>
              <w:rPr>
                <w:rFonts w:ascii="仿宋" w:eastAsia="仿宋" w:hAnsi="仿宋" w:hint="eastAsia"/>
                <w:sz w:val="22"/>
                <w:szCs w:val="22"/>
              </w:rPr>
              <w:t>1、立案责任：发现工业企业料堆未采取有效措施防治尘扬污染的，予以审查，决定是否立案。</w:t>
            </w:r>
          </w:p>
          <w:p>
            <w:pPr>
              <w:tabs>
                <w:tab w:val="left" w:pos="7937"/>
              </w:tabs>
              <w:spacing w:line="280" w:lineRule="exact"/>
              <w:rPr>
                <w:rFonts w:ascii="仿宋" w:eastAsia="仿宋" w:hAnsi="仿宋"/>
                <w:sz w:val="22"/>
                <w:szCs w:val="22"/>
              </w:rPr>
            </w:pPr>
            <w:r>
              <w:rPr>
                <w:rFonts w:ascii="仿宋" w:eastAsia="仿宋" w:hAnsi="仿宋" w:hint="eastAsia"/>
                <w:sz w:val="22"/>
                <w:szCs w:val="22"/>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仿宋" w:eastAsia="仿宋" w:hAnsi="仿宋"/>
                <w:sz w:val="22"/>
                <w:szCs w:val="22"/>
              </w:rPr>
            </w:pPr>
            <w:r>
              <w:rPr>
                <w:rFonts w:ascii="仿宋" w:eastAsia="仿宋" w:hAnsi="仿宋" w:hint="eastAsia"/>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仿宋" w:eastAsia="仿宋" w:hAnsi="仿宋"/>
                <w:sz w:val="22"/>
                <w:szCs w:val="22"/>
              </w:rPr>
            </w:pPr>
            <w:r>
              <w:rPr>
                <w:rFonts w:ascii="仿宋" w:eastAsia="仿宋" w:hAnsi="仿宋" w:hint="eastAsia"/>
                <w:sz w:val="22"/>
                <w:szCs w:val="22"/>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仿宋" w:eastAsia="仿宋" w:hAnsi="仿宋"/>
                <w:sz w:val="22"/>
                <w:szCs w:val="22"/>
              </w:rPr>
            </w:pPr>
            <w:r>
              <w:rPr>
                <w:rFonts w:ascii="仿宋" w:eastAsia="仿宋" w:hAnsi="仿宋" w:hint="eastAsia"/>
                <w:sz w:val="22"/>
                <w:szCs w:val="22"/>
              </w:rPr>
              <w:t>5、决定责任：制作行政处罚决定书，载明行政处罚告知、当事人陈述申辩或者听证情况等内容。</w:t>
            </w:r>
          </w:p>
          <w:p>
            <w:pPr>
              <w:tabs>
                <w:tab w:val="left" w:pos="7937"/>
              </w:tabs>
              <w:spacing w:line="280" w:lineRule="exact"/>
              <w:rPr>
                <w:rFonts w:ascii="仿宋" w:eastAsia="仿宋" w:hAnsi="仿宋"/>
                <w:sz w:val="22"/>
                <w:szCs w:val="22"/>
              </w:rPr>
            </w:pPr>
            <w:r>
              <w:rPr>
                <w:rFonts w:ascii="仿宋" w:eastAsia="仿宋" w:hAnsi="仿宋" w:hint="eastAsia"/>
                <w:sz w:val="22"/>
                <w:szCs w:val="22"/>
              </w:rPr>
              <w:t>6、送达责任：行政处罚决定书按法律规定的方式送达当事人。</w:t>
            </w:r>
          </w:p>
          <w:p>
            <w:pPr>
              <w:tabs>
                <w:tab w:val="left" w:pos="7937"/>
              </w:tabs>
              <w:spacing w:line="240" w:lineRule="exact"/>
              <w:rPr>
                <w:rFonts w:ascii="仿宋" w:eastAsia="仿宋" w:hAnsi="仿宋"/>
                <w:sz w:val="22"/>
                <w:szCs w:val="22"/>
              </w:rPr>
            </w:pPr>
            <w:r>
              <w:rPr>
                <w:rFonts w:ascii="仿宋" w:eastAsia="仿宋" w:hAnsi="仿宋" w:hint="eastAsia"/>
                <w:sz w:val="22"/>
                <w:szCs w:val="22"/>
              </w:rPr>
              <w:t>7、其他法律法规规章文件规定应履行的责任。</w:t>
            </w:r>
          </w:p>
        </w:tc>
        <w:tc>
          <w:tcPr>
            <w:tcW w:w="3260"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80" w:lineRule="exact"/>
              <w:rPr>
                <w:rFonts w:ascii="仿宋" w:eastAsia="仿宋" w:hAnsi="仿宋"/>
                <w:sz w:val="22"/>
                <w:szCs w:val="22"/>
              </w:rPr>
            </w:pPr>
            <w:r>
              <w:rPr>
                <w:rFonts w:ascii="仿宋" w:eastAsia="仿宋" w:hAnsi="仿宋" w:hint="eastAsia"/>
                <w:sz w:val="22"/>
                <w:szCs w:val="22"/>
              </w:rPr>
              <w:t>因不履行或不正确履行行政职责，有下列情形的，行政机关及相关工作人员应承担相应责任：</w:t>
            </w:r>
          </w:p>
          <w:p>
            <w:pPr>
              <w:tabs>
                <w:tab w:val="left" w:pos="7937"/>
              </w:tabs>
              <w:spacing w:line="280" w:lineRule="exact"/>
              <w:rPr>
                <w:rFonts w:ascii="仿宋" w:eastAsia="仿宋" w:hAnsi="仿宋"/>
                <w:sz w:val="22"/>
                <w:szCs w:val="22"/>
              </w:rPr>
            </w:pPr>
            <w:r>
              <w:rPr>
                <w:rFonts w:ascii="仿宋" w:eastAsia="仿宋" w:hAnsi="仿宋" w:hint="eastAsia"/>
                <w:sz w:val="22"/>
                <w:szCs w:val="22"/>
              </w:rPr>
              <w:t>1、没有法律和事实依据实施行政处罚的；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2、行政处罚显失公正的；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3、执法人员玩忽职守，对应当予以制止和处罚的违法行为不予制止；</w:t>
            </w:r>
          </w:p>
          <w:p>
            <w:pPr>
              <w:tabs>
                <w:tab w:val="left" w:pos="7937"/>
              </w:tabs>
              <w:spacing w:line="280" w:lineRule="exact"/>
              <w:rPr>
                <w:rFonts w:ascii="仿宋" w:eastAsia="仿宋" w:hAnsi="仿宋"/>
                <w:sz w:val="22"/>
                <w:szCs w:val="22"/>
              </w:rPr>
            </w:pPr>
            <w:r>
              <w:rPr>
                <w:rFonts w:ascii="仿宋" w:eastAsia="仿宋" w:hAnsi="仿宋" w:hint="eastAsia"/>
                <w:sz w:val="22"/>
                <w:szCs w:val="22"/>
              </w:rPr>
              <w:t>4、不具备行政执法资格实施行政处罚的；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5、擅自改变行政处罚种类、幅度的；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6、违反法定的行政处罚程序的；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7、符合听证条件、行政管理相对人要求听证，应予组织听证而不组织听证的；</w:t>
            </w:r>
          </w:p>
          <w:p>
            <w:pPr>
              <w:tabs>
                <w:tab w:val="left" w:pos="7937"/>
              </w:tabs>
              <w:spacing w:line="280" w:lineRule="exact"/>
              <w:rPr>
                <w:rFonts w:ascii="仿宋" w:eastAsia="仿宋" w:hAnsi="仿宋"/>
                <w:sz w:val="22"/>
                <w:szCs w:val="22"/>
              </w:rPr>
            </w:pPr>
            <w:r>
              <w:rPr>
                <w:rFonts w:ascii="仿宋" w:eastAsia="仿宋" w:hAnsi="仿宋" w:hint="eastAsia"/>
                <w:sz w:val="22"/>
                <w:szCs w:val="22"/>
              </w:rPr>
              <w:t>8、在行政处罚过程中发生腐败行为的；</w:t>
            </w:r>
          </w:p>
          <w:p>
            <w:pPr>
              <w:tabs>
                <w:tab w:val="left" w:pos="7937"/>
              </w:tabs>
              <w:spacing w:line="240" w:lineRule="exact"/>
              <w:rPr>
                <w:rFonts w:ascii="仿宋" w:eastAsia="仿宋" w:hAnsi="仿宋"/>
                <w:sz w:val="22"/>
                <w:szCs w:val="22"/>
              </w:rPr>
            </w:pPr>
            <w:r>
              <w:rPr>
                <w:rFonts w:ascii="仿宋" w:eastAsia="仿宋" w:hAnsi="仿宋" w:hint="eastAsia"/>
                <w:sz w:val="22"/>
                <w:szCs w:val="22"/>
              </w:rPr>
              <w:t>9、其他违反法律法规规章文件规定的行为。</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3405"/>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hint="eastAsia"/>
                <w:color w:val="000000"/>
                <w:sz w:val="22"/>
                <w:szCs w:val="22"/>
                <w:lang w:val="en-US" w:eastAsia="zh-CN"/>
              </w:rPr>
            </w:pPr>
            <w:r>
              <w:rPr>
                <w:rFonts w:ascii="仿宋" w:eastAsia="仿宋" w:hAnsi="仿宋" w:hint="eastAsia"/>
                <w:color w:val="000000"/>
                <w:sz w:val="22"/>
                <w:szCs w:val="22"/>
                <w:lang w:val="en-US" w:eastAsia="zh-CN"/>
              </w:rPr>
              <w:t>2</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both"/>
              <w:textAlignment w:val="center"/>
              <w:rPr>
                <w:rFonts w:ascii="仿宋" w:eastAsia="仿宋" w:hAnsi="仿宋"/>
                <w:color w:val="000000"/>
                <w:sz w:val="22"/>
                <w:szCs w:val="22"/>
              </w:rPr>
            </w:pPr>
            <w:r>
              <w:rPr>
                <w:rFonts w:ascii="仿宋" w:eastAsia="仿宋" w:hAnsi="仿宋" w:hint="eastAsia"/>
                <w:color w:val="000000"/>
                <w:sz w:val="22"/>
                <w:szCs w:val="22"/>
              </w:rPr>
              <w:t>行政检查</w:t>
            </w:r>
          </w:p>
        </w:tc>
        <w:tc>
          <w:tcPr>
            <w:tcW w:w="1095" w:type="dxa"/>
            <w:tcBorders>
              <w:top w:val="single" w:sz="4" w:space="0" w:color="auto"/>
              <w:left w:val="single" w:sz="4" w:space="0" w:color="auto"/>
              <w:bottom w:val="single" w:sz="4" w:space="0" w:color="auto"/>
              <w:right w:val="single" w:sz="4" w:space="0" w:color="auto"/>
            </w:tcBorders>
          </w:tcPr>
          <w:p>
            <w:pPr>
              <w:widowControl/>
              <w:jc w:val="both"/>
              <w:rPr>
                <w:rFonts w:ascii="仿宋" w:eastAsia="仿宋" w:cs="仿宋_GB2312" w:hAnsi="仿宋"/>
                <w:kern w:val="0"/>
                <w:sz w:val="22"/>
                <w:szCs w:val="22"/>
              </w:rPr>
            </w:pPr>
          </w:p>
          <w:p>
            <w:pPr>
              <w:widowControl/>
              <w:jc w:val="both"/>
              <w:rPr>
                <w:rFonts w:ascii="仿宋" w:eastAsia="仿宋" w:hAnsi="仿宋"/>
                <w:sz w:val="22"/>
                <w:szCs w:val="22"/>
              </w:rPr>
            </w:pPr>
            <w:r>
              <w:rPr>
                <w:rFonts w:ascii="仿宋" w:eastAsia="仿宋" w:cs="仿宋_GB2312" w:hAnsi="仿宋"/>
                <w:kern w:val="0"/>
                <w:sz w:val="22"/>
                <w:szCs w:val="22"/>
              </w:rPr>
              <w:t>负责民爆行业生产流通的监督管理和安全生产</w:t>
            </w:r>
          </w:p>
          <w:p>
            <w:pPr>
              <w:tabs>
                <w:tab w:val="left" w:pos="7937"/>
              </w:tabs>
              <w:jc w:val="both"/>
              <w:rPr>
                <w:rFonts w:ascii="仿宋" w:eastAsia="仿宋" w:hAnsi="仿宋"/>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pPr>
              <w:tabs>
                <w:tab w:val="left" w:pos="7937"/>
              </w:tabs>
              <w:jc w:val="center"/>
              <w:rPr>
                <w:rFonts w:ascii="仿宋" w:eastAsia="仿宋" w:hAnsi="仿宋"/>
                <w:sz w:val="22"/>
                <w:szCs w:val="22"/>
              </w:rPr>
            </w:pPr>
            <w:r>
              <w:rPr>
                <w:rFonts w:ascii="仿宋" w:eastAsia="仿宋" w:hAnsi="仿宋"/>
                <w:sz w:val="22"/>
                <w:szCs w:val="22"/>
              </w:rPr>
              <w:t>工信局</w:t>
            </w:r>
          </w:p>
        </w:tc>
        <w:tc>
          <w:tcPr>
            <w:tcW w:w="2184" w:type="dxa"/>
            <w:tcBorders>
              <w:top w:val="single" w:sz="4" w:space="0" w:color="auto"/>
              <w:left w:val="single" w:sz="4" w:space="0" w:color="auto"/>
              <w:bottom w:val="single" w:sz="4" w:space="0" w:color="auto"/>
              <w:right w:val="single" w:sz="4" w:space="0" w:color="auto"/>
            </w:tcBorders>
          </w:tcPr>
          <w:p>
            <w:pPr>
              <w:pStyle w:val="21"/>
              <w:rPr>
                <w:rFonts w:ascii="仿宋" w:eastAsia="仿宋" w:hAnsi="仿宋"/>
                <w:sz w:val="22"/>
                <w:szCs w:val="22"/>
              </w:rPr>
            </w:pPr>
            <w:r>
              <w:rPr>
                <w:rFonts w:ascii="仿宋" w:eastAsia="仿宋" w:hAnsi="仿宋" w:hint="eastAsia"/>
                <w:sz w:val="22"/>
                <w:szCs w:val="22"/>
              </w:rPr>
              <w:t>1、《民用爆炸物品安全管理条例》（国务院令</w:t>
            </w:r>
            <w:r>
              <w:rPr>
                <w:rFonts w:ascii="仿宋" w:eastAsia="仿宋" w:hAnsi="仿宋" w:hint="eastAsia"/>
                <w:sz w:val="22"/>
                <w:szCs w:val="22"/>
                <w:lang w:eastAsia="zh-CN"/>
              </w:rPr>
              <w:t>第</w:t>
            </w:r>
            <w:r>
              <w:rPr>
                <w:rFonts w:ascii="仿宋" w:eastAsia="仿宋" w:hAnsi="仿宋" w:hint="eastAsia"/>
                <w:sz w:val="22"/>
                <w:szCs w:val="22"/>
              </w:rPr>
              <w:t>466号2006年4月）第四条第一款。</w:t>
            </w:r>
          </w:p>
          <w:p>
            <w:pPr>
              <w:pStyle w:val="21"/>
              <w:rPr>
                <w:rFonts w:ascii="仿宋" w:eastAsia="仿宋" w:cs="宋体" w:hAnsi="仿宋"/>
                <w:sz w:val="22"/>
                <w:szCs w:val="22"/>
              </w:rPr>
            </w:pPr>
            <w:r>
              <w:rPr>
                <w:rFonts w:ascii="仿宋" w:eastAsia="仿宋" w:hAnsi="仿宋" w:hint="eastAsia"/>
                <w:sz w:val="22"/>
                <w:szCs w:val="22"/>
              </w:rPr>
              <w:t>2、《河北省民用爆炸物品安全管理实施办法》（河北省人民政府令[2008]第4号2008年3月）第四条第二款。</w:t>
            </w:r>
          </w:p>
          <w:p>
            <w:pPr>
              <w:pStyle w:val="21"/>
              <w:rPr>
                <w:rFonts w:ascii="仿宋" w:eastAsia="仿宋" w:hAnsi="仿宋"/>
                <w:sz w:val="22"/>
                <w:szCs w:val="22"/>
              </w:rPr>
            </w:pPr>
          </w:p>
        </w:tc>
        <w:tc>
          <w:tcPr>
            <w:tcW w:w="4962" w:type="dxa"/>
            <w:tcBorders>
              <w:top w:val="single" w:sz="4" w:space="0" w:color="auto"/>
              <w:left w:val="single" w:sz="4" w:space="0" w:color="auto"/>
              <w:bottom w:val="single" w:sz="4" w:space="0" w:color="auto"/>
              <w:right w:val="single" w:sz="4" w:space="0" w:color="auto"/>
            </w:tcBorders>
            <w:vAlign w:val="center"/>
          </w:tcPr>
          <w:p>
            <w:pPr>
              <w:pStyle w:val="21"/>
              <w:jc w:val="both"/>
              <w:rPr>
                <w:rFonts w:ascii="仿宋" w:eastAsia="仿宋" w:hAnsi="仿宋"/>
                <w:sz w:val="22"/>
                <w:szCs w:val="22"/>
              </w:rPr>
            </w:pPr>
            <w:r>
              <w:rPr>
                <w:rFonts w:ascii="仿宋" w:eastAsia="仿宋" w:cs="仿宋_GB2312" w:hAnsi="仿宋"/>
                <w:kern w:val="0"/>
                <w:sz w:val="22"/>
                <w:szCs w:val="22"/>
              </w:rPr>
              <w:t>1.负责民爆行业生产流通的监督管理和安全生产工作；贯彻落实上级民爆行业主管部门民用爆炸物品行业发展规划。</w:t>
            </w:r>
          </w:p>
          <w:p>
            <w:pPr>
              <w:pStyle w:val="21"/>
              <w:jc w:val="both"/>
              <w:rPr>
                <w:rFonts w:ascii="仿宋" w:eastAsia="仿宋" w:hAnsi="仿宋"/>
                <w:sz w:val="22"/>
                <w:szCs w:val="22"/>
              </w:rPr>
            </w:pPr>
            <w:r>
              <w:rPr>
                <w:rFonts w:ascii="仿宋" w:eastAsia="仿宋" w:cs="仿宋_GB2312" w:hAnsi="仿宋"/>
                <w:kern w:val="0"/>
                <w:sz w:val="22"/>
                <w:szCs w:val="22"/>
              </w:rPr>
              <w:t>2.按照《民用爆炸物品安全管理条例》,依法查处非法违法生产、销售(含储存)民用爆炸物品行为。</w:t>
            </w:r>
          </w:p>
          <w:p>
            <w:pPr>
              <w:pStyle w:val="21"/>
              <w:jc w:val="both"/>
              <w:rPr>
                <w:rFonts w:ascii="仿宋" w:eastAsia="仿宋" w:hAnsi="仿宋"/>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pPr>
              <w:pStyle w:val="21"/>
              <w:jc w:val="both"/>
              <w:rPr>
                <w:rFonts w:ascii="仿宋" w:eastAsia="仿宋" w:hAnsi="仿宋"/>
                <w:sz w:val="22"/>
                <w:szCs w:val="22"/>
              </w:rPr>
            </w:pPr>
            <w:r>
              <w:rPr>
                <w:rFonts w:ascii="仿宋" w:eastAsia="仿宋" w:cs="仿宋_GB2312" w:hAnsi="仿宋"/>
                <w:kern w:val="0"/>
                <w:sz w:val="22"/>
                <w:szCs w:val="22"/>
              </w:rPr>
              <w:t>1.对依法取得批准许可的民爆企业,企 业 不 落 实 主 体 责任,发现其不再具备安全生产条件或者发现存在严重安全生产违 法 行 为 不 予 查 处的。</w:t>
            </w:r>
          </w:p>
          <w:p>
            <w:pPr>
              <w:pStyle w:val="21"/>
              <w:jc w:val="both"/>
              <w:rPr>
                <w:rFonts w:ascii="仿宋" w:eastAsia="仿宋" w:hAnsi="仿宋"/>
                <w:sz w:val="22"/>
                <w:szCs w:val="22"/>
              </w:rPr>
            </w:pPr>
            <w:r>
              <w:rPr>
                <w:rFonts w:ascii="仿宋" w:eastAsia="仿宋" w:cs="仿宋_GB2312" w:hAnsi="仿宋"/>
                <w:kern w:val="0"/>
                <w:sz w:val="22"/>
                <w:szCs w:val="22"/>
              </w:rPr>
              <w:t>2.在监督检查中发现重大事故隐患,不依法及时处理的。</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4691"/>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hint="eastAsia"/>
                <w:color w:val="000000"/>
                <w:sz w:val="22"/>
                <w:szCs w:val="22"/>
                <w:lang w:val="en-US" w:eastAsia="zh-CN"/>
              </w:rPr>
            </w:pPr>
            <w:r>
              <w:rPr>
                <w:rFonts w:ascii="仿宋" w:eastAsia="仿宋" w:hAnsi="仿宋" w:hint="eastAsia"/>
                <w:color w:val="000000"/>
                <w:sz w:val="22"/>
                <w:szCs w:val="22"/>
                <w:lang w:val="en-US" w:eastAsia="zh-CN"/>
              </w:rPr>
              <w:t>3</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行政确认</w:t>
            </w:r>
          </w:p>
        </w:tc>
        <w:tc>
          <w:tcPr>
            <w:tcW w:w="109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hAnsi="仿宋"/>
                <w:color w:val="000000"/>
                <w:sz w:val="22"/>
                <w:szCs w:val="22"/>
              </w:rPr>
            </w:pPr>
            <w:r>
              <w:rPr>
                <w:rFonts w:ascii="仿宋" w:eastAsia="仿宋" w:hAnsi="仿宋" w:hint="eastAsia"/>
                <w:color w:val="000000"/>
                <w:sz w:val="22"/>
                <w:szCs w:val="22"/>
              </w:rPr>
              <w:t>河北省技术创新示范企业认定</w:t>
            </w:r>
          </w:p>
        </w:tc>
        <w:tc>
          <w:tcPr>
            <w:tcW w:w="106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jc w:val="center"/>
              <w:rPr>
                <w:rFonts w:ascii="仿宋" w:eastAsia="仿宋" w:hAnsi="仿宋"/>
                <w:color w:val="000000"/>
                <w:sz w:val="22"/>
                <w:szCs w:val="22"/>
              </w:rPr>
            </w:pPr>
            <w:r>
              <w:rPr>
                <w:rFonts w:ascii="仿宋" w:eastAsia="仿宋" w:hAnsi="仿宋" w:hint="eastAsia"/>
                <w:color w:val="000000"/>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pStyle w:val="18"/>
              <w:shd w:val="clear" w:color="auto" w:fill="FFFFFF"/>
              <w:spacing w:before="300" w:beforeAutospacing="0" w:after="0" w:afterAutospacing="0"/>
              <w:ind w:firstLine="420"/>
              <w:rPr>
                <w:rFonts w:ascii="仿宋" w:eastAsia="仿宋" w:cs="Times New Roman" w:hAnsi="仿宋"/>
                <w:color w:val="000000"/>
                <w:kern w:val="2"/>
                <w:sz w:val="22"/>
                <w:szCs w:val="22"/>
              </w:rPr>
            </w:pPr>
            <w:r>
              <w:rPr>
                <w:rFonts w:ascii="仿宋" w:eastAsia="仿宋" w:cs="Times New Roman" w:hAnsi="仿宋" w:hint="eastAsia"/>
                <w:color w:val="000000"/>
                <w:kern w:val="2"/>
                <w:sz w:val="22"/>
                <w:szCs w:val="22"/>
              </w:rPr>
              <w:t>河北省技术创新示范企业认定管理办法：第四条省工业和信息化厅、省财政厅联合负责全省示范企业认定的相关管理工作。各设区市工业和信息化主管部门与同级财政主管部门联合负责本区域示范企业的组织申报、工作指导和监督管理。</w:t>
            </w:r>
          </w:p>
          <w:p>
            <w:pPr>
              <w:pStyle w:val="18"/>
              <w:shd w:val="clear" w:color="auto" w:fill="FFFFFF"/>
              <w:spacing w:before="300" w:beforeAutospacing="0" w:after="0" w:afterAutospacing="0" w:line="450" w:lineRule="atLeast"/>
              <w:ind w:firstLine="420"/>
              <w:rPr>
                <w:rFonts w:ascii="仿宋" w:eastAsia="仿宋" w:cs="Times New Roman" w:hAnsi="仿宋"/>
                <w:color w:val="000000"/>
                <w:kern w:val="2"/>
                <w:sz w:val="22"/>
                <w:szCs w:val="22"/>
              </w:rPr>
            </w:pPr>
          </w:p>
        </w:tc>
        <w:tc>
          <w:tcPr>
            <w:tcW w:w="4962" w:type="dxa"/>
            <w:tcBorders>
              <w:top w:val="single" w:sz="4" w:space="0" w:color="auto"/>
              <w:left w:val="single" w:sz="4" w:space="0" w:color="auto"/>
              <w:bottom w:val="single" w:sz="4" w:space="0" w:color="auto"/>
              <w:right w:val="single" w:sz="4" w:space="0" w:color="auto"/>
            </w:tcBorders>
            <w:vAlign w:val="center"/>
          </w:tcPr>
          <w:p>
            <w:pPr>
              <w:pStyle w:val="18"/>
              <w:shd w:val="clear" w:color="auto" w:fill="FFFFFF"/>
              <w:spacing w:before="300" w:beforeAutospacing="0" w:after="0" w:afterAutospacing="0" w:line="450" w:lineRule="atLeast"/>
              <w:jc w:val="both"/>
              <w:rPr>
                <w:rFonts w:ascii="仿宋" w:eastAsia="仿宋" w:cs="Times New Roman" w:hAnsi="仿宋"/>
                <w:color w:val="000000"/>
                <w:kern w:val="2"/>
                <w:sz w:val="22"/>
                <w:szCs w:val="22"/>
              </w:rPr>
            </w:pPr>
            <w:r>
              <w:rPr>
                <w:rFonts w:ascii="仿宋" w:eastAsia="仿宋" w:cs="Times New Roman" w:hAnsi="仿宋" w:hint="eastAsia"/>
                <w:color w:val="000000"/>
                <w:kern w:val="2"/>
                <w:sz w:val="22"/>
                <w:szCs w:val="22"/>
              </w:rPr>
              <w:t>1、受理责任:依据河北省工信厅申报通知，组织符合条件的企业申报，会同财政部门初步审核有关材料，初审符合要求的推荐上报；不符合要求的，不予上报</w:t>
            </w:r>
          </w:p>
          <w:p>
            <w:pPr>
              <w:pStyle w:val="18"/>
              <w:shd w:val="clear" w:color="auto" w:fill="FFFFFF"/>
              <w:spacing w:before="300" w:beforeAutospacing="0" w:after="0" w:afterAutospacing="0" w:line="450" w:lineRule="atLeast"/>
              <w:ind w:firstLine="420"/>
              <w:jc w:val="both"/>
              <w:rPr>
                <w:rFonts w:ascii="仿宋" w:eastAsia="仿宋" w:cs="Times New Roman" w:hAnsi="仿宋"/>
                <w:color w:val="000000"/>
                <w:kern w:val="2"/>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80" w:lineRule="exact"/>
              <w:jc w:val="both"/>
              <w:rPr>
                <w:rFonts w:ascii="仿宋" w:eastAsia="仿宋" w:hAnsi="仿宋"/>
                <w:color w:val="000000"/>
                <w:sz w:val="22"/>
                <w:szCs w:val="22"/>
              </w:rPr>
            </w:pPr>
            <w:r>
              <w:rPr>
                <w:rFonts w:ascii="仿宋" w:eastAsia="仿宋" w:hAnsi="仿宋" w:hint="eastAsia"/>
                <w:color w:val="000000"/>
                <w:sz w:val="22"/>
                <w:szCs w:val="22"/>
              </w:rPr>
              <w:t>因不履行或不正确履行行政职责，有下列情形的，行政机关及相关工作人员应承担相应责任：</w:t>
            </w:r>
          </w:p>
          <w:p>
            <w:pPr>
              <w:tabs>
                <w:tab w:val="left" w:pos="7937"/>
              </w:tabs>
              <w:spacing w:line="260" w:lineRule="exact"/>
              <w:jc w:val="both"/>
              <w:rPr>
                <w:rFonts w:ascii="仿宋" w:eastAsia="仿宋" w:hAnsi="仿宋"/>
                <w:color w:val="000000"/>
                <w:sz w:val="22"/>
                <w:szCs w:val="22"/>
              </w:rPr>
            </w:pPr>
            <w:r>
              <w:rPr>
                <w:rFonts w:ascii="仿宋" w:eastAsia="仿宋" w:hAnsi="仿宋"/>
                <w:color w:val="000000"/>
                <w:sz w:val="22"/>
                <w:szCs w:val="22"/>
              </w:rPr>
              <w:t>“利用职务上的便利，索取他人财物，或者非法收受他人财物为他人谋取利益，情节较轻的，给予警告或者严重警告处分；情节较重的，给予撤销党内职务或者留党察看处分；情节严重的，给予开除党籍处分。</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7654"/>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hint="eastAsia"/>
                <w:color w:val="000000"/>
                <w:sz w:val="22"/>
                <w:szCs w:val="22"/>
                <w:lang w:val="en-US" w:eastAsia="zh-CN"/>
              </w:rPr>
            </w:pPr>
            <w:r>
              <w:rPr>
                <w:rFonts w:ascii="仿宋" w:eastAsia="仿宋" w:hAnsi="仿宋" w:hint="eastAsia"/>
                <w:color w:val="000000"/>
                <w:sz w:val="22"/>
                <w:szCs w:val="22"/>
                <w:lang w:val="en-US" w:eastAsia="zh-CN"/>
              </w:rPr>
              <w:t>4</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行政确认</w:t>
            </w:r>
          </w:p>
        </w:tc>
        <w:tc>
          <w:tcPr>
            <w:tcW w:w="109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hAnsi="仿宋"/>
                <w:sz w:val="22"/>
                <w:szCs w:val="22"/>
              </w:rPr>
            </w:pPr>
            <w:r>
              <w:rPr>
                <w:rFonts w:ascii="仿宋" w:eastAsia="仿宋" w:hAnsi="仿宋" w:hint="eastAsia"/>
                <w:sz w:val="22"/>
                <w:szCs w:val="22"/>
              </w:rPr>
              <w:t>河北省中小企业发展专项资金申报</w:t>
            </w:r>
          </w:p>
        </w:tc>
        <w:tc>
          <w:tcPr>
            <w:tcW w:w="106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jc w:val="center"/>
              <w:rPr>
                <w:rFonts w:ascii="仿宋" w:eastAsia="仿宋" w:hAnsi="仿宋"/>
                <w:sz w:val="22"/>
                <w:szCs w:val="22"/>
              </w:rPr>
            </w:pPr>
            <w:r>
              <w:rPr>
                <w:rFonts w:ascii="仿宋" w:eastAsia="仿宋" w:hAnsi="仿宋"/>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hAnsi="仿宋"/>
                <w:sz w:val="22"/>
                <w:szCs w:val="22"/>
              </w:rPr>
            </w:pPr>
            <w:r>
              <w:rPr>
                <w:rStyle w:val="19"/>
                <w:rFonts w:ascii="仿宋" w:eastAsia="仿宋" w:hAnsi="仿宋" w:hint="eastAsia"/>
                <w:b w:val="0"/>
                <w:sz w:val="22"/>
                <w:szCs w:val="22"/>
              </w:rPr>
              <w:t>《河北省中小企业发展专项资金管理办法》（河北省财政厅、河北省工业和信息化厅，</w:t>
            </w:r>
            <w:r>
              <w:rPr>
                <w:rFonts w:ascii="仿宋" w:eastAsia="仿宋" w:hAnsi="仿宋" w:hint="eastAsia"/>
                <w:sz w:val="22"/>
                <w:szCs w:val="22"/>
                <w:shd w:val="clear" w:color="auto" w:fill="FFFFFF"/>
              </w:rPr>
              <w:t>冀财规〔2020〕17号</w:t>
            </w:r>
            <w:r>
              <w:rPr>
                <w:rStyle w:val="19"/>
                <w:rFonts w:ascii="仿宋" w:eastAsia="仿宋" w:hAnsi="仿宋" w:hint="eastAsia"/>
                <w:b w:val="0"/>
                <w:sz w:val="22"/>
                <w:szCs w:val="22"/>
              </w:rPr>
              <w:t>）第四条“</w:t>
            </w:r>
            <w:r>
              <w:rPr>
                <w:rFonts w:ascii="仿宋" w:eastAsia="仿宋" w:hAnsi="仿宋" w:hint="eastAsia"/>
                <w:sz w:val="22"/>
                <w:szCs w:val="22"/>
              </w:rPr>
              <w:t>省工业和信息化厅负责专项资金项目管理工作，制定并发布项目指南，指导市、县和企业做好项目申报、筛选、论证工作，组织项目申报论证评审，提出专项资金安排使用方案报省政府审批，对专项资金使用管理等情况进行绩效评价和监督检查。</w:t>
            </w:r>
            <w:r>
              <w:rPr>
                <w:rStyle w:val="19"/>
                <w:rFonts w:ascii="仿宋" w:eastAsia="仿宋" w:hAnsi="仿宋" w:hint="eastAsia"/>
                <w:b w:val="0"/>
                <w:sz w:val="22"/>
                <w:szCs w:val="22"/>
              </w:rPr>
              <w:t>”</w:t>
            </w:r>
          </w:p>
        </w:tc>
        <w:tc>
          <w:tcPr>
            <w:tcW w:w="4962"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40" w:lineRule="exact"/>
              <w:rPr>
                <w:rFonts w:ascii="仿宋" w:eastAsia="仿宋" w:hAnsi="仿宋"/>
                <w:sz w:val="22"/>
                <w:szCs w:val="22"/>
              </w:rPr>
            </w:pPr>
            <w:r>
              <w:rPr>
                <w:rFonts w:ascii="仿宋" w:eastAsia="仿宋" w:hAnsi="仿宋" w:hint="eastAsia"/>
                <w:sz w:val="22"/>
                <w:szCs w:val="22"/>
              </w:rPr>
              <w:t>1、受理责任：公示依法应当提交的材料；一次性告知补正材料；依法受理或不予受理；企业上报申报材料，遵化市工信局出具推荐意见报唐山市工信局。</w:t>
            </w:r>
          </w:p>
          <w:p>
            <w:pPr>
              <w:tabs>
                <w:tab w:val="left" w:pos="7937"/>
              </w:tabs>
              <w:spacing w:line="240" w:lineRule="exact"/>
              <w:rPr>
                <w:rFonts w:ascii="仿宋" w:eastAsia="仿宋" w:hAnsi="仿宋"/>
                <w:sz w:val="22"/>
                <w:szCs w:val="22"/>
              </w:rPr>
            </w:pPr>
            <w:r>
              <w:rPr>
                <w:rFonts w:ascii="仿宋" w:eastAsia="仿宋" w:hAnsi="仿宋" w:hint="eastAsia"/>
                <w:sz w:val="22"/>
                <w:szCs w:val="22"/>
              </w:rPr>
              <w:t>2、审查责任：河北省工信厅委托专家或第三方机构对需评审的项目组织评审、评估，拟定资金安排使用方案报省政府。</w:t>
            </w:r>
          </w:p>
          <w:p>
            <w:pPr>
              <w:tabs>
                <w:tab w:val="left" w:pos="7937"/>
              </w:tabs>
              <w:spacing w:line="240" w:lineRule="exact"/>
              <w:rPr>
                <w:rFonts w:ascii="仿宋" w:eastAsia="仿宋" w:hAnsi="仿宋"/>
                <w:sz w:val="22"/>
                <w:szCs w:val="22"/>
              </w:rPr>
            </w:pPr>
            <w:r>
              <w:rPr>
                <w:rFonts w:ascii="仿宋" w:eastAsia="仿宋" w:hAnsi="仿宋" w:hint="eastAsia"/>
                <w:sz w:val="22"/>
                <w:szCs w:val="22"/>
              </w:rPr>
              <w:t>3、拨付责任：河北省财政厅根据省政府批准的专项资金使用方案和河北省工信厅报送的资金分配方案，按规定程序批复下达专项资金。</w:t>
            </w:r>
          </w:p>
          <w:p>
            <w:pPr>
              <w:tabs>
                <w:tab w:val="left" w:pos="7937"/>
              </w:tabs>
              <w:spacing w:line="240" w:lineRule="exact"/>
              <w:rPr>
                <w:rFonts w:ascii="仿宋" w:eastAsia="仿宋" w:hAnsi="仿宋"/>
                <w:sz w:val="22"/>
                <w:szCs w:val="22"/>
              </w:rPr>
            </w:pPr>
            <w:r>
              <w:rPr>
                <w:rFonts w:ascii="仿宋" w:eastAsia="仿宋" w:hAnsi="仿宋" w:hint="eastAsia"/>
                <w:sz w:val="22"/>
                <w:szCs w:val="22"/>
              </w:rPr>
              <w:t>4、使用责任：项目单位收到专项资金后，要建立项目台账、设立单独账册或账页。严格按照相关财务制度、会计制度做好账务处理，确保会计资料真实、完整、规范。</w:t>
            </w:r>
          </w:p>
          <w:p>
            <w:pPr>
              <w:tabs>
                <w:tab w:val="left" w:pos="7937"/>
              </w:tabs>
              <w:spacing w:line="240" w:lineRule="exact"/>
              <w:rPr>
                <w:rFonts w:ascii="仿宋" w:eastAsia="仿宋" w:hAnsi="仿宋"/>
                <w:sz w:val="22"/>
                <w:szCs w:val="22"/>
              </w:rPr>
            </w:pPr>
            <w:r>
              <w:rPr>
                <w:rFonts w:ascii="仿宋" w:eastAsia="仿宋" w:hAnsi="仿宋" w:hint="eastAsia"/>
                <w:sz w:val="22"/>
                <w:szCs w:val="22"/>
              </w:rPr>
              <w:t>5、管理监督责任：河北省工信厅要对专项资金实施全过程预算绩效管理。在编制预算时，要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确保绩效目标如期实现。唐山市工信局加强对专项资金使用情况的监督检查，对其进行总结分析，形成专题报告，按要求上报河北省工信厅。</w:t>
            </w:r>
          </w:p>
          <w:p>
            <w:pPr>
              <w:tabs>
                <w:tab w:val="left" w:pos="7937"/>
              </w:tabs>
              <w:spacing w:line="240" w:lineRule="exact"/>
              <w:rPr>
                <w:rFonts w:ascii="仿宋" w:eastAsia="仿宋" w:hAnsi="仿宋"/>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hAnsi="仿宋"/>
                <w:sz w:val="22"/>
                <w:szCs w:val="22"/>
              </w:rPr>
            </w:pPr>
            <w:r>
              <w:rPr>
                <w:rFonts w:ascii="仿宋" w:eastAsia="仿宋" w:hAnsi="仿宋" w:hint="eastAsia"/>
                <w:sz w:val="22"/>
                <w:szCs w:val="22"/>
              </w:rPr>
              <w:t>对截留、挤占、挪用、擅自调整、骗取专项资金的，按照《中华人民共和国预算法》、《财政违法行为处罚处分条例》(国务院令第427号)等有关规定追究相应责任；涉嫌犯罪的，移送司法机关处理。</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8079"/>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hint="eastAsia"/>
                <w:color w:val="000000"/>
                <w:sz w:val="22"/>
                <w:szCs w:val="22"/>
                <w:lang w:val="en-US" w:eastAsia="zh-CN"/>
              </w:rPr>
            </w:pPr>
            <w:r>
              <w:rPr>
                <w:rFonts w:ascii="仿宋" w:eastAsia="仿宋" w:hAnsi="仿宋" w:hint="eastAsia"/>
                <w:color w:val="000000"/>
                <w:sz w:val="22"/>
                <w:szCs w:val="22"/>
                <w:lang w:val="en-US" w:eastAsia="zh-CN"/>
              </w:rPr>
              <w:t>5</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行政其他</w:t>
            </w:r>
          </w:p>
        </w:tc>
        <w:tc>
          <w:tcPr>
            <w:tcW w:w="109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40" w:lineRule="exact"/>
              <w:jc w:val="center"/>
              <w:rPr>
                <w:rFonts w:ascii="仿宋" w:eastAsia="仿宋" w:hAnsi="仿宋"/>
                <w:sz w:val="22"/>
                <w:szCs w:val="22"/>
              </w:rPr>
            </w:pPr>
            <w:r>
              <w:rPr>
                <w:rFonts w:ascii="仿宋" w:eastAsia="仿宋" w:hAnsi="仿宋" w:hint="eastAsia"/>
                <w:sz w:val="22"/>
                <w:szCs w:val="22"/>
              </w:rPr>
              <w:t>工业和信息化项目</w:t>
            </w:r>
          </w:p>
        </w:tc>
        <w:tc>
          <w:tcPr>
            <w:tcW w:w="106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40" w:lineRule="exact"/>
              <w:jc w:val="center"/>
              <w:rPr>
                <w:rFonts w:ascii="仿宋" w:eastAsia="仿宋" w:hAnsi="仿宋"/>
                <w:sz w:val="22"/>
                <w:szCs w:val="22"/>
              </w:rPr>
            </w:pPr>
            <w:r>
              <w:rPr>
                <w:rFonts w:ascii="仿宋" w:eastAsia="仿宋" w:hAnsi="仿宋"/>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pStyle w:val="18"/>
              <w:spacing w:before="0" w:beforeAutospacing="0" w:after="0" w:afterAutospacing="0" w:line="260" w:lineRule="exact"/>
              <w:rPr>
                <w:rFonts w:ascii="仿宋" w:eastAsia="仿宋" w:hAnsi="仿宋"/>
                <w:sz w:val="22"/>
                <w:szCs w:val="22"/>
              </w:rPr>
            </w:pPr>
            <w:r>
              <w:rPr>
                <w:rFonts w:ascii="仿宋" w:eastAsia="仿宋" w:hAnsi="仿宋" w:hint="eastAsia"/>
                <w:sz w:val="22"/>
                <w:szCs w:val="22"/>
              </w:rPr>
              <w:t>河北省人民政府《关于印发河北省企业投资项目核准备案实施办法的通知》（冀政字〔2018〕4号）　第七条　依据本办法第五条第一款规定，省、市、县级政府规定具有项目核准权限的本级行政机关统称项目核准机关。《核准目录》所称省政府投资主管部门是指省发展改革委，所称市、县（市、区）政府投资主管部门由当地政府确定。　省、市、县级政府规定具有项目备案权限的本级发展改革、工业和信息化等行政机关统称项目备案机关。其中工业和信息化主管部门负责工业企业技术改造项目备案工作。</w:t>
            </w:r>
          </w:p>
          <w:p>
            <w:pPr>
              <w:pStyle w:val="18"/>
              <w:spacing w:before="0" w:beforeAutospacing="0" w:after="0" w:afterAutospacing="0" w:line="260" w:lineRule="exact"/>
              <w:rPr>
                <w:rFonts w:ascii="仿宋" w:eastAsia="仿宋" w:hAnsi="仿宋"/>
                <w:sz w:val="22"/>
                <w:szCs w:val="22"/>
              </w:rPr>
            </w:pPr>
          </w:p>
        </w:tc>
        <w:tc>
          <w:tcPr>
            <w:tcW w:w="4962" w:type="dxa"/>
            <w:tcBorders>
              <w:top w:val="single" w:sz="4" w:space="0" w:color="auto"/>
              <w:left w:val="single" w:sz="4" w:space="0" w:color="auto"/>
              <w:bottom w:val="single" w:sz="4" w:space="0" w:color="auto"/>
              <w:right w:val="single" w:sz="4" w:space="0" w:color="auto"/>
            </w:tcBorders>
            <w:vAlign w:val="center"/>
          </w:tcPr>
          <w:p>
            <w:pPr>
              <w:numPr>
                <w:ilvl w:val="0"/>
                <w:numId w:val="1"/>
              </w:numPr>
              <w:spacing w:line="240" w:lineRule="exact"/>
              <w:jc w:val="left"/>
              <w:rPr>
                <w:rFonts w:ascii="仿宋" w:eastAsia="仿宋" w:hAnsi="仿宋"/>
                <w:sz w:val="22"/>
                <w:szCs w:val="22"/>
              </w:rPr>
            </w:pPr>
            <w:r>
              <w:rPr>
                <w:rFonts w:ascii="仿宋" w:eastAsia="仿宋" w:hAnsi="仿宋" w:hint="eastAsia"/>
                <w:sz w:val="22"/>
                <w:szCs w:val="22"/>
              </w:rPr>
              <w:t>事后管理责任：督促项目建设单位定期通过在线平台如实报送项目开工、建设进度、资金拨付、竣工投产基本信息</w:t>
            </w:r>
          </w:p>
          <w:p>
            <w:pPr>
              <w:spacing w:line="240" w:lineRule="exact"/>
              <w:jc w:val="left"/>
              <w:rPr>
                <w:rFonts w:ascii="仿宋" w:eastAsia="仿宋" w:hAnsi="仿宋"/>
                <w:sz w:val="22"/>
                <w:szCs w:val="22"/>
              </w:rPr>
            </w:pPr>
            <w:r>
              <w:rPr>
                <w:rFonts w:ascii="仿宋" w:eastAsia="仿宋" w:hAnsi="仿宋" w:hint="eastAsia"/>
                <w:sz w:val="22"/>
                <w:szCs w:val="22"/>
              </w:rPr>
              <w:t>2.其他责任：法律法规规章等规定应履行的责任。</w:t>
            </w:r>
          </w:p>
          <w:p>
            <w:pPr>
              <w:tabs>
                <w:tab w:val="left" w:pos="7937"/>
              </w:tabs>
              <w:spacing w:line="240" w:lineRule="exact"/>
              <w:jc w:val="left"/>
              <w:rPr>
                <w:rFonts w:ascii="仿宋" w:eastAsia="仿宋" w:hAnsi="仿宋"/>
                <w:sz w:val="22"/>
                <w:szCs w:val="22"/>
              </w:rPr>
            </w:pPr>
          </w:p>
          <w:p>
            <w:pPr>
              <w:tabs>
                <w:tab w:val="left" w:pos="7937"/>
              </w:tabs>
              <w:spacing w:line="240" w:lineRule="exact"/>
              <w:jc w:val="left"/>
              <w:rPr>
                <w:rFonts w:ascii="仿宋" w:eastAsia="仿宋" w:hAnsi="仿宋"/>
                <w:sz w:val="22"/>
                <w:szCs w:val="22"/>
              </w:rPr>
            </w:pPr>
          </w:p>
          <w:p>
            <w:pPr>
              <w:tabs>
                <w:tab w:val="left" w:pos="7937"/>
              </w:tabs>
              <w:spacing w:line="240" w:lineRule="exact"/>
              <w:jc w:val="left"/>
              <w:rPr>
                <w:rFonts w:ascii="仿宋" w:eastAsia="仿宋" w:hAnsi="仿宋"/>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pPr>
              <w:pStyle w:val="18"/>
              <w:spacing w:before="0" w:beforeAutospacing="0" w:after="0" w:afterAutospacing="0" w:line="260" w:lineRule="exact"/>
              <w:rPr>
                <w:rFonts w:ascii="仿宋" w:eastAsia="仿宋" w:hAnsi="仿宋"/>
                <w:sz w:val="22"/>
                <w:szCs w:val="22"/>
              </w:rPr>
            </w:pPr>
            <w:r>
              <w:rPr>
                <w:rFonts w:ascii="仿宋" w:eastAsia="仿宋" w:hAnsi="仿宋" w:hint="eastAsia"/>
                <w:sz w:val="22"/>
                <w:szCs w:val="22"/>
              </w:rPr>
              <w:t>项目核准、备案机关，以及城乡规划、住房城乡建设、国土资源（海洋）、水行政管理、环境保护、节能审查、安全监管等部门违反相关法律、法规规定，未依法履行监管职责的，对直接负责的主管人员和其他直接责任人员依法给予处分；构成犯罪的，依法追究刑事责任；项目所在地政府有关部门不履行企业投资监管职责的，对直接负责的主管人员和其他直接责任人员，依法给予处分</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7810"/>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hint="eastAsia"/>
                <w:color w:val="000000"/>
                <w:sz w:val="22"/>
                <w:szCs w:val="22"/>
                <w:lang w:val="en-US" w:eastAsia="zh-CN"/>
              </w:rPr>
            </w:pPr>
            <w:r>
              <w:rPr>
                <w:rFonts w:ascii="仿宋" w:eastAsia="仿宋" w:hAnsi="仿宋" w:hint="eastAsia"/>
                <w:color w:val="000000"/>
                <w:sz w:val="22"/>
                <w:szCs w:val="22"/>
                <w:lang w:val="en-US" w:eastAsia="zh-CN"/>
              </w:rPr>
              <w:t>6</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行政其他</w:t>
            </w:r>
          </w:p>
        </w:tc>
        <w:tc>
          <w:tcPr>
            <w:tcW w:w="109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工业技术改造项目核准、备案</w:t>
            </w:r>
          </w:p>
        </w:tc>
        <w:tc>
          <w:tcPr>
            <w:tcW w:w="1065"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jc w:val="center"/>
              <w:rPr>
                <w:rFonts w:ascii="仿宋" w:eastAsia="仿宋" w:cs="宋体" w:hAnsi="仿宋"/>
                <w:color w:val="000000"/>
                <w:sz w:val="22"/>
                <w:szCs w:val="22"/>
              </w:rPr>
            </w:pPr>
            <w:r>
              <w:rPr>
                <w:rFonts w:ascii="仿宋" w:eastAsia="仿宋" w:cs="宋体" w:hAnsi="仿宋" w:hint="eastAsia"/>
                <w:color w:val="000000"/>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河北省工业和信息化厅关于做好工业企业技术改造投资项目核准和备案工作的通知》（冀工信规〔2018〕716号）《河北省政府核准的投资项目目录》外的工业企业技术改造投资项目，实行备案管理，按照属地原则，由县（市、区）备案。和河北省人民政府《关于印发河北省企业投资项目核准备案实施办法的通知》（冀政字〔2018〕4号）第七条第三款省、市、县级政府规定具有项目备案权限的本级发展改革、工业和信息化等行政机关统称项目备案机关。其中工业和信息化主管部门负责工业企业技术改造项目备案工作。</w:t>
            </w:r>
          </w:p>
        </w:tc>
        <w:tc>
          <w:tcPr>
            <w:tcW w:w="4962"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1、受理责任：项目单位在开工前通过在线平台报送申请文件，对项目申报齐全、符合法定形势的予以受理，不符合的，退回修改或不予受理。</w:t>
            </w:r>
          </w:p>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2、审查责任：对项目是否危害经济安全、社会安全、生态安全等国家安全；是否符合相关发展建设规划、产业政策和技术标准；是否合理开发并有效利用资源；是否对重大公共利益产生不利影响进行审查。</w:t>
            </w:r>
          </w:p>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3、决定公布责任：对符合条件的项目经同意备案。</w:t>
            </w:r>
          </w:p>
          <w:p>
            <w:pPr>
              <w:tabs>
                <w:tab w:val="left" w:pos="7937"/>
              </w:tabs>
              <w:spacing w:line="260" w:lineRule="exact"/>
              <w:rPr>
                <w:rFonts w:ascii="仿宋" w:eastAsia="仿宋" w:cs="宋体" w:hAnsi="仿宋"/>
                <w:color w:val="000000"/>
                <w:sz w:val="22"/>
                <w:szCs w:val="22"/>
              </w:rPr>
            </w:pPr>
            <w:r>
              <w:rPr>
                <w:rFonts w:ascii="仿宋" w:eastAsia="仿宋" w:cs="宋体" w:hAnsi="仿宋" w:hint="eastAsia"/>
                <w:color w:val="000000"/>
                <w:sz w:val="22"/>
                <w:szCs w:val="22"/>
              </w:rPr>
              <w:t>4、其他法律法规规章文件规定应履行的责任。</w:t>
            </w:r>
          </w:p>
        </w:tc>
        <w:tc>
          <w:tcPr>
            <w:tcW w:w="3260" w:type="dxa"/>
            <w:tcBorders>
              <w:top w:val="single" w:sz="4" w:space="0" w:color="auto"/>
              <w:left w:val="single" w:sz="4" w:space="0" w:color="auto"/>
              <w:bottom w:val="single" w:sz="4" w:space="0" w:color="auto"/>
              <w:right w:val="single" w:sz="4" w:space="0" w:color="auto"/>
            </w:tcBorders>
            <w:vAlign w:val="center"/>
          </w:tcPr>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项目核准、备案机关有下列情形之一的，由其上级行政机关责令改正，对负有责任的领导人员和直接责任人员由有关单位和部门依法依纪给予处分：</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（一）超越法定职权予以核准或备案的；</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（二）对不符合法定条件的项目予以核准的；</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（三）对符合法定条件的项目不予核准的；</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（四）擅自增减核准审查条件的，或者以备案名义变相审批、核准的；</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（五）不在法定期限内作出核准决定的；</w:t>
            </w:r>
          </w:p>
          <w:p>
            <w:pPr>
              <w:pStyle w:val="18"/>
              <w:spacing w:before="0" w:beforeAutospacing="0" w:after="0" w:afterAutospacing="0" w:line="260" w:lineRule="exact"/>
              <w:rPr>
                <w:rFonts w:ascii="仿宋" w:eastAsia="仿宋" w:hAnsi="仿宋"/>
                <w:color w:val="000000"/>
                <w:kern w:val="2"/>
                <w:sz w:val="22"/>
                <w:szCs w:val="22"/>
              </w:rPr>
            </w:pPr>
            <w:r>
              <w:rPr>
                <w:rFonts w:ascii="仿宋" w:eastAsia="仿宋" w:hAnsi="仿宋" w:hint="eastAsia"/>
                <w:color w:val="000000"/>
                <w:kern w:val="2"/>
                <w:sz w:val="22"/>
                <w:szCs w:val="22"/>
              </w:rPr>
              <w:t>　　（六）不依法履行监管职责或者监督不力，造成严重后果的。</w:t>
            </w:r>
          </w:p>
          <w:p>
            <w:pPr>
              <w:pStyle w:val="18"/>
              <w:spacing w:before="0" w:beforeAutospacing="0" w:after="0" w:afterAutospacing="0" w:line="260" w:lineRule="exact"/>
              <w:rPr>
                <w:rFonts w:ascii="仿宋" w:eastAsia="仿宋" w:cs="宋体" w:hAnsi="仿宋"/>
                <w:color w:val="000000"/>
                <w:sz w:val="22"/>
                <w:szCs w:val="22"/>
              </w:rPr>
            </w:pPr>
            <w:r>
              <w:rPr>
                <w:rFonts w:ascii="仿宋" w:eastAsia="仿宋" w:hAnsi="仿宋" w:hint="eastAsia"/>
                <w:color w:val="000000"/>
                <w:kern w:val="2"/>
                <w:sz w:val="22"/>
                <w:szCs w:val="22"/>
              </w:rPr>
              <w:t>　　项目核准、备案机关及其工作人员，以及其他相关部门及其工作人员，在项目核准、备案以及相关审批手续办理过程中玩忽职守、滥用职权、徇私舞弊、索贿受贿的，对负有责任的领导人员和直接责任人员依法给予处分；构成犯罪的，依法追究刑事责任。</w:t>
            </w: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r>
        <w:trPr>
          <w:trHeight w:hRule="exact" w:val="5439"/>
        </w:trPr>
        <w:tc>
          <w:tcPr>
            <w:tcW w:w="7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lang w:val="en-US" w:eastAsia="zh-CN"/>
              </w:rPr>
            </w:pPr>
            <w:r>
              <w:rPr>
                <w:rFonts w:ascii="仿宋" w:eastAsia="仿宋" w:hAnsi="仿宋"/>
                <w:color w:val="000000"/>
                <w:sz w:val="22"/>
                <w:szCs w:val="22"/>
                <w:lang w:val="en-US" w:eastAsia="zh-CN"/>
              </w:rPr>
              <w:t>7</w:t>
            </w:r>
          </w:p>
        </w:tc>
        <w:tc>
          <w:tcPr>
            <w:tcW w:w="780"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r>
              <w:rPr>
                <w:rFonts w:ascii="仿宋" w:eastAsia="仿宋" w:hAnsi="仿宋" w:hint="eastAsia"/>
                <w:color w:val="000000"/>
                <w:sz w:val="22"/>
                <w:szCs w:val="22"/>
              </w:rPr>
              <w:t>行政其他</w:t>
            </w:r>
          </w:p>
        </w:tc>
        <w:tc>
          <w:tcPr>
            <w:tcW w:w="109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sz w:val="22"/>
                <w:szCs w:val="22"/>
              </w:rPr>
            </w:pPr>
            <w:r>
              <w:rPr>
                <w:rFonts w:ascii="仿宋" w:eastAsia="仿宋" w:hAnsi="仿宋" w:hint="eastAsia"/>
                <w:sz w:val="22"/>
                <w:szCs w:val="22"/>
              </w:rPr>
              <w:t>科学技术研究与发展项目审批</w:t>
            </w:r>
          </w:p>
        </w:tc>
        <w:tc>
          <w:tcPr>
            <w:tcW w:w="1065"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sz w:val="22"/>
                <w:szCs w:val="22"/>
              </w:rPr>
            </w:pPr>
            <w:r>
              <w:rPr>
                <w:rFonts w:ascii="仿宋" w:eastAsia="仿宋" w:hAnsi="仿宋"/>
                <w:sz w:val="22"/>
                <w:szCs w:val="22"/>
              </w:rPr>
              <w:t>工信局</w:t>
            </w:r>
          </w:p>
        </w:tc>
        <w:tc>
          <w:tcPr>
            <w:tcW w:w="2184" w:type="dxa"/>
            <w:tcBorders>
              <w:top w:val="single" w:sz="4" w:space="0" w:color="auto"/>
              <w:left w:val="single" w:sz="4" w:space="0" w:color="auto"/>
              <w:bottom w:val="single" w:sz="4" w:space="0" w:color="auto"/>
              <w:right w:val="single" w:sz="4" w:space="0" w:color="auto"/>
            </w:tcBorders>
            <w:vAlign w:val="center"/>
          </w:tcPr>
          <w:p>
            <w:pPr>
              <w:pStyle w:val="18"/>
              <w:shd w:val="clear" w:color="auto" w:fill="FFFFFF"/>
              <w:spacing w:before="0" w:beforeAutospacing="0" w:after="0" w:afterAutospacing="0" w:line="260" w:lineRule="exact"/>
              <w:jc w:val="both"/>
              <w:rPr>
                <w:rFonts w:ascii="仿宋" w:eastAsia="仿宋" w:cs="方正仿宋简体" w:hAnsi="仿宋"/>
                <w:sz w:val="22"/>
                <w:szCs w:val="22"/>
              </w:rPr>
            </w:pPr>
            <w:r>
              <w:rPr>
                <w:rFonts w:ascii="仿宋" w:eastAsia="仿宋" w:hAnsi="仿宋" w:hint="eastAsia"/>
                <w:sz w:val="22"/>
                <w:szCs w:val="22"/>
              </w:rPr>
              <w:t>《河北省省级科技计划项目管理办法》冀科规&lt;2020&gt;1号文件 第七条项目归口管理部门的职责</w:t>
            </w:r>
            <w:r>
              <w:rPr>
                <w:rFonts w:ascii="仿宋" w:eastAsia="仿宋" w:cs="方正仿宋简体" w:hAnsi="仿宋" w:hint="eastAsia"/>
                <w:sz w:val="22"/>
                <w:szCs w:val="22"/>
              </w:rPr>
              <w:t>组织、审查和推荐本地区、本系统的项目；负责本地区、本系统的科研诚信管理；</w:t>
            </w:r>
          </w:p>
          <w:p>
            <w:pPr>
              <w:autoSpaceDN w:val="0"/>
              <w:spacing w:line="300" w:lineRule="exact"/>
              <w:jc w:val="center"/>
              <w:textAlignment w:val="center"/>
              <w:rPr>
                <w:rFonts w:ascii="仿宋" w:eastAsia="仿宋" w:hAnsi="仿宋"/>
                <w:sz w:val="22"/>
                <w:szCs w:val="22"/>
              </w:rPr>
            </w:pPr>
            <w:r>
              <w:rPr>
                <w:rFonts w:ascii="仿宋" w:eastAsia="仿宋" w:cs="方正仿宋简体" w:hAnsi="仿宋" w:hint="eastAsia"/>
                <w:sz w:val="22"/>
                <w:szCs w:val="22"/>
              </w:rPr>
              <w:t>督导项目承担单位按时启动和实施项目，对项目执行和经费使用情况进行检查和监督，协调解决项目实施中的有关问题。</w:t>
            </w:r>
          </w:p>
        </w:tc>
        <w:tc>
          <w:tcPr>
            <w:tcW w:w="4962" w:type="dxa"/>
            <w:tcBorders>
              <w:top w:val="single" w:sz="4" w:space="0" w:color="auto"/>
              <w:left w:val="single" w:sz="4" w:space="0" w:color="auto"/>
              <w:bottom w:val="single" w:sz="4" w:space="0" w:color="auto"/>
              <w:right w:val="single" w:sz="4" w:space="0" w:color="auto"/>
            </w:tcBorders>
            <w:vAlign w:val="center"/>
          </w:tcPr>
          <w:p>
            <w:pPr>
              <w:pStyle w:val="18"/>
              <w:shd w:val="clear" w:color="auto" w:fill="FFFFFF"/>
              <w:spacing w:before="0" w:beforeAutospacing="0" w:after="0" w:afterAutospacing="0" w:line="260" w:lineRule="exact"/>
              <w:jc w:val="both"/>
              <w:rPr>
                <w:rFonts w:ascii="仿宋" w:eastAsia="仿宋" w:cs="方正仿宋简体" w:hAnsi="仿宋"/>
                <w:sz w:val="22"/>
                <w:szCs w:val="22"/>
              </w:rPr>
            </w:pPr>
            <w:r>
              <w:rPr>
                <w:rFonts w:ascii="仿宋" w:eastAsia="仿宋" w:cs="方正仿宋简体" w:hAnsi="仿宋" w:hint="eastAsia"/>
                <w:sz w:val="22"/>
                <w:szCs w:val="22"/>
              </w:rPr>
              <w:t>（一）组织、审查和推荐本</w:t>
            </w:r>
            <w:r>
              <w:rPr>
                <w:rFonts w:ascii="仿宋" w:eastAsia="仿宋" w:cs="方正仿宋简体" w:hAnsi="仿宋"/>
                <w:sz w:val="22"/>
                <w:szCs w:val="22"/>
              </w:rPr>
              <w:t>市</w:t>
            </w:r>
            <w:r>
              <w:rPr>
                <w:rFonts w:ascii="仿宋" w:eastAsia="仿宋" w:cs="方正仿宋简体" w:hAnsi="仿宋" w:hint="eastAsia"/>
                <w:sz w:val="22"/>
                <w:szCs w:val="22"/>
              </w:rPr>
              <w:t>、本系统的项目；</w:t>
            </w:r>
          </w:p>
          <w:p>
            <w:pPr>
              <w:pStyle w:val="18"/>
              <w:shd w:val="clear" w:color="auto" w:fill="FFFFFF"/>
              <w:spacing w:before="0" w:beforeAutospacing="0" w:after="0" w:afterAutospacing="0" w:line="260" w:lineRule="exact"/>
              <w:jc w:val="both"/>
              <w:rPr>
                <w:rFonts w:ascii="仿宋" w:eastAsia="仿宋" w:cs="方正仿宋简体" w:hAnsi="仿宋"/>
                <w:sz w:val="22"/>
                <w:szCs w:val="22"/>
              </w:rPr>
            </w:pPr>
            <w:r>
              <w:rPr>
                <w:rFonts w:ascii="仿宋" w:eastAsia="仿宋" w:cs="方正仿宋简体" w:hAnsi="仿宋" w:hint="eastAsia"/>
                <w:sz w:val="22"/>
                <w:szCs w:val="22"/>
              </w:rPr>
              <w:t>（二）负责本</w:t>
            </w:r>
            <w:r>
              <w:rPr>
                <w:rFonts w:ascii="仿宋" w:eastAsia="仿宋" w:cs="方正仿宋简体" w:hAnsi="仿宋"/>
                <w:sz w:val="22"/>
                <w:szCs w:val="22"/>
              </w:rPr>
              <w:t>市</w:t>
            </w:r>
            <w:r>
              <w:rPr>
                <w:rFonts w:ascii="仿宋" w:eastAsia="仿宋" w:cs="方正仿宋简体" w:hAnsi="仿宋" w:hint="eastAsia"/>
                <w:sz w:val="22"/>
                <w:szCs w:val="22"/>
              </w:rPr>
              <w:t>、本系统的科研诚信管理；</w:t>
            </w:r>
          </w:p>
          <w:p>
            <w:pPr>
              <w:pStyle w:val="18"/>
              <w:shd w:val="clear" w:color="auto" w:fill="FFFFFF"/>
              <w:spacing w:before="0" w:beforeAutospacing="0" w:after="0" w:afterAutospacing="0" w:line="260" w:lineRule="exact"/>
              <w:jc w:val="both"/>
              <w:rPr>
                <w:rFonts w:ascii="仿宋" w:eastAsia="仿宋" w:cs="方正仿宋简体" w:hAnsi="仿宋"/>
                <w:sz w:val="22"/>
                <w:szCs w:val="22"/>
              </w:rPr>
            </w:pPr>
            <w:r>
              <w:rPr>
                <w:rFonts w:ascii="仿宋" w:eastAsia="仿宋" w:cs="方正仿宋简体" w:hAnsi="仿宋" w:hint="eastAsia"/>
                <w:sz w:val="22"/>
                <w:szCs w:val="22"/>
              </w:rPr>
              <w:t>（三）督导项目承担单位按时启动和实施项目，对项目执行和经费使用情况进行检查和监督，协调解决项目实施中的有关问题，根据项目执行情况提出项目调整、终止及撤销建议，督导承担单位执行调整、终止及撤销工作；</w:t>
            </w:r>
          </w:p>
          <w:p>
            <w:pPr>
              <w:pStyle w:val="18"/>
              <w:shd w:val="clear" w:color="auto" w:fill="FFFFFF"/>
              <w:spacing w:before="0" w:beforeAutospacing="0" w:after="0" w:afterAutospacing="0" w:line="260" w:lineRule="exact"/>
              <w:jc w:val="both"/>
              <w:rPr>
                <w:rFonts w:ascii="仿宋" w:eastAsia="仿宋" w:cs="方正仿宋简体" w:hAnsi="仿宋"/>
                <w:sz w:val="22"/>
                <w:szCs w:val="22"/>
              </w:rPr>
            </w:pPr>
            <w:r>
              <w:rPr>
                <w:rFonts w:ascii="仿宋" w:eastAsia="仿宋" w:cs="方正仿宋简体" w:hAnsi="仿宋" w:hint="eastAsia"/>
                <w:sz w:val="22"/>
                <w:szCs w:val="22"/>
              </w:rPr>
              <w:t>（四）督促项目承担单位按期验收；</w:t>
            </w:r>
          </w:p>
          <w:p>
            <w:pPr>
              <w:pStyle w:val="18"/>
              <w:shd w:val="clear" w:color="auto" w:fill="FFFFFF"/>
              <w:spacing w:before="0" w:beforeAutospacing="0" w:after="0" w:afterAutospacing="0" w:line="260" w:lineRule="exact"/>
              <w:jc w:val="both"/>
              <w:rPr>
                <w:rFonts w:ascii="仿宋" w:eastAsia="仿宋" w:hAnsi="仿宋"/>
                <w:sz w:val="22"/>
                <w:szCs w:val="22"/>
              </w:rPr>
            </w:pPr>
            <w:r>
              <w:rPr>
                <w:rFonts w:ascii="仿宋" w:eastAsia="仿宋" w:cs="方正仿宋简体" w:hAnsi="仿宋" w:hint="eastAsia"/>
                <w:sz w:val="22"/>
                <w:szCs w:val="22"/>
              </w:rPr>
              <w:t>（五）协调推动项目成果的转移转化与应用示范。</w:t>
            </w:r>
          </w:p>
        </w:tc>
        <w:tc>
          <w:tcPr>
            <w:tcW w:w="3260" w:type="dxa"/>
            <w:tcBorders>
              <w:top w:val="single" w:sz="4" w:space="0" w:color="auto"/>
              <w:left w:val="single" w:sz="4" w:space="0" w:color="auto"/>
              <w:bottom w:val="single" w:sz="4" w:space="0" w:color="auto"/>
              <w:right w:val="single" w:sz="4" w:space="0" w:color="auto"/>
            </w:tcBorders>
            <w:vAlign w:val="center"/>
          </w:tcPr>
          <w:p>
            <w:pPr>
              <w:pStyle w:val="18"/>
              <w:shd w:val="clear" w:color="auto" w:fill="FFFFFF"/>
              <w:spacing w:before="0" w:beforeAutospacing="0" w:after="0" w:afterAutospacing="0" w:line="260" w:lineRule="exact"/>
              <w:jc w:val="both"/>
              <w:rPr>
                <w:rFonts w:ascii="仿宋" w:eastAsia="仿宋" w:cs="方正仿宋简体" w:hAnsi="仿宋"/>
                <w:sz w:val="22"/>
                <w:szCs w:val="22"/>
                <w:shd w:val="clear" w:color="auto" w:fill="FFFFFF"/>
              </w:rPr>
            </w:pPr>
            <w:r>
              <w:rPr>
                <w:rFonts w:ascii="仿宋" w:eastAsia="仿宋" w:cs="方正仿宋简体" w:hAnsi="仿宋" w:hint="eastAsia"/>
                <w:sz w:val="22"/>
                <w:szCs w:val="22"/>
                <w:shd w:val="clear" w:color="auto" w:fill="FFFFFF"/>
              </w:rPr>
              <w:t>有下列情形之一的，依纪依法追究纪律责任，涉嫌犯罪的，依法移送司法机关处理：不履行职责；或者与相关人员串通、弄虚作假，骗取、违规列支省</w:t>
            </w:r>
            <w:r>
              <w:rPr>
                <w:rFonts w:ascii="仿宋" w:eastAsia="仿宋" w:cs="方正仿宋简体" w:hAnsi="仿宋"/>
                <w:sz w:val="22"/>
                <w:szCs w:val="22"/>
                <w:shd w:val="clear" w:color="auto" w:fill="FFFFFF"/>
              </w:rPr>
              <w:t>、唐山和我市</w:t>
            </w:r>
            <w:r>
              <w:rPr>
                <w:rFonts w:ascii="仿宋" w:eastAsia="仿宋" w:cs="方正仿宋简体" w:hAnsi="仿宋" w:hint="eastAsia"/>
                <w:sz w:val="22"/>
                <w:szCs w:val="22"/>
                <w:shd w:val="clear" w:color="auto" w:fill="FFFFFF"/>
              </w:rPr>
              <w:t>财政科技资金；或者利用职务之便，吃拿卡要、收受他人财物的</w:t>
            </w:r>
          </w:p>
          <w:p>
            <w:pPr>
              <w:autoSpaceDN w:val="0"/>
              <w:spacing w:line="260" w:lineRule="exact"/>
              <w:textAlignment w:val="center"/>
              <w:rPr>
                <w:rFonts w:ascii="仿宋" w:eastAsia="仿宋" w:cs="方正仿宋简体" w:hAnsi="仿宋"/>
                <w:sz w:val="22"/>
                <w:szCs w:val="22"/>
              </w:rPr>
            </w:pPr>
          </w:p>
        </w:tc>
        <w:tc>
          <w:tcPr>
            <w:tcW w:w="519" w:type="dxa"/>
            <w:tcBorders>
              <w:top w:val="single" w:sz="4" w:space="0" w:color="auto"/>
              <w:left w:val="single" w:sz="4" w:space="0" w:color="auto"/>
              <w:bottom w:val="single" w:sz="4" w:space="0" w:color="auto"/>
              <w:right w:val="single" w:sz="4" w:space="0" w:color="auto"/>
            </w:tcBorders>
            <w:vAlign w:val="center"/>
          </w:tcPr>
          <w:p>
            <w:pPr>
              <w:autoSpaceDN w:val="0"/>
              <w:spacing w:line="300" w:lineRule="exact"/>
              <w:jc w:val="center"/>
              <w:textAlignment w:val="center"/>
              <w:rPr>
                <w:rFonts w:ascii="仿宋" w:eastAsia="仿宋" w:hAnsi="仿宋"/>
                <w:color w:val="000000"/>
                <w:sz w:val="22"/>
                <w:szCs w:val="22"/>
              </w:rPr>
            </w:pPr>
          </w:p>
        </w:tc>
      </w:tr>
    </w:tbl>
    <w:p>
      <w:pPr>
        <w:jc w:val="left"/>
        <w:rPr>
          <w:sz w:val="22"/>
          <w:szCs w:val="22"/>
        </w:rPr>
      </w:pPr>
    </w:p>
    <w:sectPr>
      <w:pgSz w:w="16838" w:h="11906" w:orient="landscape"/>
      <w:pgMar w:top="1803" w:right="1134" w:bottom="1803" w:left="1134"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variable"/>
    <w:sig w:usb0="800002BF" w:usb1="38CF7CFA" w:usb2="00000016" w:usb3="00000000" w:csb0="00040001" w:csb1="00000000"/>
  </w:font>
  <w:font w:name="方正黑体简体">
    <w:panose1 w:val="03000509000000000000"/>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方正仿宋简体">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A389D06"/>
    <w:multiLevelType w:val="singleLevel"/>
    <w:tmpl w:val="DA389D06"/>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docVars>
    <w:docVar w:name="commondata" w:val="eyJoZGlkIjoiZmE1NzliY2RiOWQ3ODMyNzNjZmJiZGI4ZDYyN2QyYTQ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仿宋_GB2312"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仿宋_GB2312" w:cs="Times New Roman" w:hAnsi="Times New Roman"/>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widowControl/>
      <w:spacing w:before="100" w:beforeAutospacing="1" w:after="100" w:afterAutospacing="1"/>
      <w:jc w:val="left"/>
    </w:pPr>
    <w:rPr>
      <w:rFonts w:ascii="宋体" w:eastAsia="宋体" w:cs="宋体" w:hAnsi="宋体"/>
      <w:kern w:val="0"/>
      <w:sz w:val="24"/>
      <w:szCs w:val="24"/>
    </w:rPr>
  </w:style>
  <w:style w:type="character" w:styleId="19">
    <w:name w:val="Strong"/>
    <w:qFormat/>
    <w:basedOn w:val="10"/>
    <w:rPr>
      <w:b/>
      <w:bCs/>
    </w:rPr>
  </w:style>
  <w:style w:type="paragraph" w:customStyle="1" w:styleId="20">
    <w:name w:val="Char"/>
    <w:qFormat/>
    <w:basedOn w:val="0"/>
    <w:pPr>
      <w:snapToGrid w:val="0"/>
      <w:spacing w:afterLines="50" w:after="50" w:line="360" w:lineRule="auto"/>
      <w:ind w:firstLineChars="200" w:firstLine="200"/>
    </w:pPr>
  </w:style>
  <w:style w:type="paragraph" w:styleId="21">
    <w:name w:val="No Spacing"/>
    <w:qFormat/>
    <w:pPr>
      <w:widowControl w:val="0"/>
      <w:jc w:val="both"/>
    </w:pPr>
    <w:rPr>
      <w:rFonts w:ascii="Times New Roman" w:eastAsia="仿宋_GB2312" w:cs="Times New Roman" w:hAnsi="Times New Roman"/>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8F96B63-F5D7-4BF7-B31B-950FA83330B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106</TotalTime>
  <Application>Yozo_Office27021597764231189</Application>
  <Pages>6</Pages>
  <Words>0</Words>
  <Characters>3031</Characters>
  <Lines>0</Lines>
  <Paragraphs>5</Paragraphs>
  <CharactersWithSpaces>4042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7</cp:revision>
  <cp:lastPrinted>2021-04-22T08:51:00Z</cp:lastPrinted>
  <dcterms:created xsi:type="dcterms:W3CDTF">2021-03-16T05:44:00Z</dcterms:created>
  <dcterms:modified xsi:type="dcterms:W3CDTF">2025-03-03T07:15:23Z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KSOSaveFontToCloudKey">
    <vt:lpwstr>206737848_cloud</vt:lpwstr>
  </property>
  <property fmtid="{D5CDD505-2E9C-101B-9397-08002B2CF9AE}" pid="4" name="ICV">
    <vt:lpwstr>3FF751A7B2B14154B073FFBBE019160D</vt:lpwstr>
  </property>
</Properties>
</file>