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841DC">
      <w:pPr>
        <w:spacing w:line="600" w:lineRule="exact"/>
        <w:jc w:val="center"/>
        <w:rPr>
          <w:rFonts w:ascii="方正小标宋简体" w:hAnsi="方正小标宋简体" w:eastAsia="方正小标宋简体"/>
        </w:rPr>
      </w:pPr>
      <w:r>
        <w:rPr>
          <w:rFonts w:hint="eastAsia" w:ascii="方正小标宋简体" w:hAnsi="方正小标宋简体" w:eastAsia="方正小标宋简体"/>
        </w:rPr>
        <w:t>医疗保障部门权责清单事项分表</w:t>
      </w:r>
    </w:p>
    <w:p w14:paraId="70E254F9">
      <w:pPr>
        <w:spacing w:line="360" w:lineRule="exact"/>
        <w:jc w:val="center"/>
        <w:rPr>
          <w:rFonts w:ascii="楷体_GB2312" w:hAnsi="楷体_GB2312" w:eastAsia="楷体_GB2312"/>
          <w:sz w:val="28"/>
          <w:szCs w:val="24"/>
        </w:rPr>
      </w:pPr>
      <w:r>
        <w:rPr>
          <w:rFonts w:hint="eastAsia" w:ascii="楷体_GB2312" w:hAnsi="楷体_GB2312" w:eastAsia="楷体_GB2312"/>
          <w:sz w:val="24"/>
          <w:szCs w:val="24"/>
        </w:rPr>
        <w:t>（共五类、十七项）</w:t>
      </w:r>
    </w:p>
    <w:p w14:paraId="208B8F1D">
      <w:pPr>
        <w:spacing w:line="360" w:lineRule="exact"/>
        <w:ind w:firstLine="480" w:firstLineChars="200"/>
        <w:rPr>
          <w:rFonts w:ascii="楷体_GB2312" w:hAnsi="楷体_GB2312" w:eastAsia="楷体_GB2312"/>
          <w:sz w:val="28"/>
          <w:szCs w:val="24"/>
        </w:rPr>
      </w:pPr>
      <w:r>
        <w:rPr>
          <w:rFonts w:hint="eastAsia" w:ascii="楷体_GB2312" w:hAnsi="楷体_GB2312" w:eastAsia="楷体_GB2312"/>
          <w:sz w:val="24"/>
          <w:szCs w:val="28"/>
        </w:rPr>
        <w:t>单位：遵化市医疗保障局</w:t>
      </w:r>
      <w:r>
        <w:rPr>
          <w:rFonts w:hint="eastAsia" w:ascii="楷体_GB2312" w:hAnsi="楷体_GB2312" w:eastAsia="楷体_GB2312" w:cs="Arial"/>
          <w:sz w:val="24"/>
          <w:szCs w:val="28"/>
        </w:rPr>
        <w:t>（公章）</w:t>
      </w:r>
    </w:p>
    <w:tbl>
      <w:tblPr>
        <w:tblStyle w:val="7"/>
        <w:tblW w:w="1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6"/>
        <w:gridCol w:w="1176"/>
        <w:gridCol w:w="1128"/>
        <w:gridCol w:w="3948"/>
        <w:gridCol w:w="3744"/>
        <w:gridCol w:w="3144"/>
        <w:gridCol w:w="687"/>
      </w:tblGrid>
      <w:tr w14:paraId="206E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13" w:type="dxa"/>
            <w:vAlign w:val="center"/>
          </w:tcPr>
          <w:p w14:paraId="1930D752">
            <w:pPr>
              <w:autoSpaceDN w:val="0"/>
              <w:spacing w:line="300" w:lineRule="exact"/>
              <w:jc w:val="center"/>
              <w:textAlignment w:val="center"/>
              <w:rPr>
                <w:rFonts w:ascii="仿宋_GB2312"/>
                <w:sz w:val="24"/>
                <w:szCs w:val="24"/>
              </w:rPr>
            </w:pPr>
            <w:r>
              <w:rPr>
                <w:rFonts w:ascii="黑体" w:hAnsi="黑体" w:eastAsia="黑体"/>
                <w:color w:val="000000"/>
                <w:spacing w:val="-15"/>
                <w:sz w:val="24"/>
                <w:szCs w:val="24"/>
              </w:rPr>
              <w:t>序号</w:t>
            </w:r>
          </w:p>
        </w:tc>
        <w:tc>
          <w:tcPr>
            <w:tcW w:w="1236" w:type="dxa"/>
            <w:vAlign w:val="center"/>
          </w:tcPr>
          <w:p w14:paraId="5B1E7C88">
            <w:pPr>
              <w:autoSpaceDN w:val="0"/>
              <w:spacing w:line="300" w:lineRule="exact"/>
              <w:jc w:val="center"/>
              <w:textAlignment w:val="center"/>
              <w:rPr>
                <w:rFonts w:ascii="仿宋_GB2312"/>
                <w:sz w:val="24"/>
                <w:szCs w:val="24"/>
              </w:rPr>
            </w:pPr>
            <w:r>
              <w:rPr>
                <w:rFonts w:ascii="黑体" w:hAnsi="黑体" w:eastAsia="黑体"/>
                <w:color w:val="000000"/>
                <w:spacing w:val="-15"/>
                <w:sz w:val="24"/>
                <w:szCs w:val="24"/>
              </w:rPr>
              <w:t>权力类型</w:t>
            </w:r>
          </w:p>
        </w:tc>
        <w:tc>
          <w:tcPr>
            <w:tcW w:w="1176" w:type="dxa"/>
            <w:vAlign w:val="center"/>
          </w:tcPr>
          <w:p w14:paraId="663A05E6">
            <w:pPr>
              <w:autoSpaceDN w:val="0"/>
              <w:spacing w:line="300" w:lineRule="exact"/>
              <w:jc w:val="center"/>
              <w:textAlignment w:val="center"/>
              <w:rPr>
                <w:rFonts w:ascii="仿宋_GB2312"/>
                <w:sz w:val="24"/>
                <w:szCs w:val="24"/>
              </w:rPr>
            </w:pPr>
            <w:r>
              <w:rPr>
                <w:rFonts w:ascii="黑体" w:hAnsi="黑体" w:eastAsia="黑体"/>
                <w:color w:val="000000"/>
                <w:sz w:val="24"/>
                <w:szCs w:val="24"/>
              </w:rPr>
              <w:t>权力事项</w:t>
            </w:r>
          </w:p>
        </w:tc>
        <w:tc>
          <w:tcPr>
            <w:tcW w:w="1128" w:type="dxa"/>
            <w:vAlign w:val="center"/>
          </w:tcPr>
          <w:p w14:paraId="726B836B">
            <w:pPr>
              <w:autoSpaceDN w:val="0"/>
              <w:spacing w:line="300" w:lineRule="exact"/>
              <w:jc w:val="center"/>
              <w:textAlignment w:val="center"/>
              <w:rPr>
                <w:rFonts w:ascii="仿宋_GB2312"/>
                <w:sz w:val="24"/>
                <w:szCs w:val="24"/>
              </w:rPr>
            </w:pPr>
            <w:r>
              <w:rPr>
                <w:rFonts w:ascii="黑体" w:hAnsi="黑体" w:eastAsia="黑体"/>
                <w:color w:val="000000"/>
                <w:spacing w:val="-12"/>
                <w:sz w:val="24"/>
                <w:szCs w:val="24"/>
              </w:rPr>
              <w:t>行政主体</w:t>
            </w:r>
          </w:p>
        </w:tc>
        <w:tc>
          <w:tcPr>
            <w:tcW w:w="3948" w:type="dxa"/>
            <w:vAlign w:val="center"/>
          </w:tcPr>
          <w:p w14:paraId="745AA736">
            <w:pPr>
              <w:autoSpaceDN w:val="0"/>
              <w:spacing w:line="300" w:lineRule="exact"/>
              <w:jc w:val="center"/>
              <w:textAlignment w:val="center"/>
              <w:rPr>
                <w:rFonts w:ascii="仿宋_GB2312"/>
                <w:sz w:val="24"/>
                <w:szCs w:val="24"/>
              </w:rPr>
            </w:pPr>
            <w:r>
              <w:rPr>
                <w:rFonts w:ascii="黑体" w:hAnsi="黑体" w:eastAsia="黑体"/>
                <w:color w:val="000000"/>
                <w:sz w:val="24"/>
                <w:szCs w:val="24"/>
              </w:rPr>
              <w:t>实施依据</w:t>
            </w:r>
          </w:p>
        </w:tc>
        <w:tc>
          <w:tcPr>
            <w:tcW w:w="3744" w:type="dxa"/>
            <w:vAlign w:val="center"/>
          </w:tcPr>
          <w:p w14:paraId="4CE81D46">
            <w:pPr>
              <w:autoSpaceDN w:val="0"/>
              <w:spacing w:line="300" w:lineRule="exact"/>
              <w:jc w:val="center"/>
              <w:textAlignment w:val="center"/>
              <w:rPr>
                <w:rFonts w:ascii="仿宋_GB2312"/>
                <w:sz w:val="24"/>
                <w:szCs w:val="24"/>
              </w:rPr>
            </w:pPr>
            <w:r>
              <w:rPr>
                <w:rFonts w:ascii="黑体" w:hAnsi="黑体" w:eastAsia="黑体"/>
                <w:color w:val="000000"/>
                <w:sz w:val="24"/>
                <w:szCs w:val="24"/>
              </w:rPr>
              <w:t>责任事项</w:t>
            </w:r>
          </w:p>
        </w:tc>
        <w:tc>
          <w:tcPr>
            <w:tcW w:w="3144" w:type="dxa"/>
            <w:vAlign w:val="center"/>
          </w:tcPr>
          <w:p w14:paraId="076CEED1">
            <w:pPr>
              <w:autoSpaceDN w:val="0"/>
              <w:spacing w:line="300" w:lineRule="exact"/>
              <w:jc w:val="center"/>
              <w:textAlignment w:val="center"/>
              <w:rPr>
                <w:rFonts w:ascii="仿宋_GB2312"/>
                <w:sz w:val="24"/>
                <w:szCs w:val="24"/>
              </w:rPr>
            </w:pPr>
            <w:r>
              <w:rPr>
                <w:rFonts w:ascii="黑体" w:hAnsi="黑体" w:eastAsia="黑体"/>
                <w:color w:val="000000"/>
                <w:sz w:val="24"/>
                <w:szCs w:val="24"/>
              </w:rPr>
              <w:t>追责情形</w:t>
            </w:r>
          </w:p>
        </w:tc>
        <w:tc>
          <w:tcPr>
            <w:tcW w:w="687" w:type="dxa"/>
            <w:vAlign w:val="center"/>
          </w:tcPr>
          <w:p w14:paraId="0A7FA1B6">
            <w:pPr>
              <w:autoSpaceDN w:val="0"/>
              <w:spacing w:line="300" w:lineRule="exact"/>
              <w:jc w:val="center"/>
              <w:textAlignment w:val="center"/>
              <w:rPr>
                <w:rFonts w:ascii="仿宋_GB2312"/>
                <w:sz w:val="24"/>
                <w:szCs w:val="24"/>
              </w:rPr>
            </w:pPr>
            <w:r>
              <w:rPr>
                <w:rFonts w:ascii="黑体" w:hAnsi="黑体" w:eastAsia="黑体"/>
                <w:color w:val="000000"/>
                <w:spacing w:val="-15"/>
                <w:sz w:val="24"/>
                <w:szCs w:val="24"/>
              </w:rPr>
              <w:t>备注</w:t>
            </w:r>
          </w:p>
        </w:tc>
      </w:tr>
      <w:tr w14:paraId="3AA6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exact"/>
          <w:jc w:val="center"/>
        </w:trPr>
        <w:tc>
          <w:tcPr>
            <w:tcW w:w="713" w:type="dxa"/>
            <w:vAlign w:val="center"/>
          </w:tcPr>
          <w:p w14:paraId="7A1D67A5">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w:t>
            </w:r>
          </w:p>
        </w:tc>
        <w:tc>
          <w:tcPr>
            <w:tcW w:w="1236" w:type="dxa"/>
            <w:vAlign w:val="center"/>
          </w:tcPr>
          <w:p w14:paraId="6C740998">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40AF9505">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对用人单位不办理医疗保险和生育保险登记、未按规定变更登记或注销登记以及伪造、变造登记证明的处罚</w:t>
            </w:r>
          </w:p>
        </w:tc>
        <w:tc>
          <w:tcPr>
            <w:tcW w:w="1128" w:type="dxa"/>
            <w:vAlign w:val="center"/>
          </w:tcPr>
          <w:p w14:paraId="29A14926">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5FA3940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744" w:type="dxa"/>
            <w:vAlign w:val="center"/>
          </w:tcPr>
          <w:p w14:paraId="12776E76">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1、立案责任：发现用人单位不办理医疗保险和生育保险登记、未按规定变更登记或注销登记以及伪造、变造登记证明的违法行为，予以审查，决定是否立案。</w:t>
            </w:r>
          </w:p>
          <w:p w14:paraId="797B4D9C">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42899003">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2F696968">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5AA8ABAF">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0AC03E3D">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24384561">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647DB6FF">
            <w:pPr>
              <w:autoSpaceDN w:val="0"/>
              <w:spacing w:line="26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611A0CE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35799ED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6AD8A596">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1D21152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799DCAD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3392DDD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0A3BED2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43BDCC7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237BB89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22AE122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658BF126">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47B0C3E4">
            <w:pPr>
              <w:autoSpaceDN w:val="0"/>
              <w:spacing w:line="300" w:lineRule="exact"/>
              <w:jc w:val="center"/>
              <w:textAlignment w:val="center"/>
              <w:rPr>
                <w:rFonts w:ascii="仿宋_GB2312" w:hAnsi="仿宋_GB2312"/>
                <w:color w:val="000000"/>
                <w:sz w:val="24"/>
                <w:szCs w:val="24"/>
              </w:rPr>
            </w:pPr>
          </w:p>
        </w:tc>
      </w:tr>
      <w:tr w14:paraId="04BF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5" w:hRule="exact"/>
          <w:jc w:val="center"/>
        </w:trPr>
        <w:tc>
          <w:tcPr>
            <w:tcW w:w="713" w:type="dxa"/>
            <w:vAlign w:val="center"/>
          </w:tcPr>
          <w:p w14:paraId="592C2853">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2</w:t>
            </w:r>
          </w:p>
        </w:tc>
        <w:tc>
          <w:tcPr>
            <w:tcW w:w="1236" w:type="dxa"/>
            <w:vAlign w:val="center"/>
          </w:tcPr>
          <w:p w14:paraId="295DB8AB">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4D44974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对医疗保障经办机构骗取医疗保障基金支出的处罚</w:t>
            </w:r>
          </w:p>
        </w:tc>
        <w:tc>
          <w:tcPr>
            <w:tcW w:w="1128" w:type="dxa"/>
            <w:vAlign w:val="center"/>
          </w:tcPr>
          <w:p w14:paraId="4391C83C">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0F5FCC0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14:paraId="2574476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540ABF53">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14:paraId="3387FB6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14:paraId="77E482F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1、立案责任：发现参保人将本人的基本医疗保险凭证出借给他人就医或者出借给医疗机构使用的违法行为，予以审查，决定是否立案。</w:t>
            </w:r>
          </w:p>
          <w:p w14:paraId="4D6E87F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11CB3A3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388B8A1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1EEFD2B2">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15968E6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18336433">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5C8B2D1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70FFEC2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78624C16">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30F7937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6143D9A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1C00270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70B095C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2E79F2E2">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370F9E3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412631C2">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4926331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0D3A8296">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5D479246">
            <w:pPr>
              <w:autoSpaceDN w:val="0"/>
              <w:spacing w:line="300" w:lineRule="exact"/>
              <w:jc w:val="center"/>
              <w:textAlignment w:val="center"/>
              <w:rPr>
                <w:rFonts w:ascii="仿宋_GB2312" w:hAnsi="仿宋_GB2312"/>
                <w:color w:val="000000"/>
                <w:sz w:val="22"/>
                <w:szCs w:val="22"/>
              </w:rPr>
            </w:pPr>
          </w:p>
        </w:tc>
      </w:tr>
      <w:tr w14:paraId="5FF6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exact"/>
          <w:jc w:val="center"/>
        </w:trPr>
        <w:tc>
          <w:tcPr>
            <w:tcW w:w="713" w:type="dxa"/>
            <w:vAlign w:val="center"/>
          </w:tcPr>
          <w:p w14:paraId="76B6D8BF">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3</w:t>
            </w:r>
          </w:p>
        </w:tc>
        <w:tc>
          <w:tcPr>
            <w:tcW w:w="1236" w:type="dxa"/>
            <w:vAlign w:val="center"/>
          </w:tcPr>
          <w:p w14:paraId="2D6851BA">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3B6CF84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对定点医药机构骗取医疗保障基金支出的处罚</w:t>
            </w:r>
          </w:p>
        </w:tc>
        <w:tc>
          <w:tcPr>
            <w:tcW w:w="1128" w:type="dxa"/>
            <w:vAlign w:val="center"/>
          </w:tcPr>
          <w:p w14:paraId="48BF2847">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0426711C">
            <w:pPr>
              <w:autoSpaceDN w:val="0"/>
              <w:spacing w:line="260" w:lineRule="exact"/>
              <w:jc w:val="left"/>
              <w:textAlignment w:val="center"/>
              <w:rPr>
                <w:rFonts w:ascii="仿宋_GB2312" w:hAnsi="仿宋_GB2312"/>
                <w:color w:val="000000"/>
                <w:sz w:val="18"/>
                <w:szCs w:val="18"/>
              </w:rPr>
            </w:pPr>
            <w:r>
              <w:rPr>
                <w:rFonts w:hint="eastAsia" w:ascii="仿宋_GB2312" w:hAnsi="仿宋_GB2312"/>
                <w:color w:val="000000"/>
                <w:sz w:val="18"/>
                <w:szCs w:val="18"/>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14:paraId="4C151BA0">
            <w:pPr>
              <w:autoSpaceDN w:val="0"/>
              <w:spacing w:line="260" w:lineRule="exact"/>
              <w:jc w:val="left"/>
              <w:textAlignment w:val="center"/>
              <w:rPr>
                <w:rFonts w:ascii="仿宋_GB2312" w:hAnsi="仿宋_GB2312"/>
                <w:color w:val="000000"/>
                <w:sz w:val="18"/>
                <w:szCs w:val="18"/>
              </w:rPr>
            </w:pPr>
            <w:r>
              <w:rPr>
                <w:rFonts w:hint="eastAsia" w:ascii="仿宋_GB2312" w:hAnsi="仿宋_GB2312"/>
                <w:color w:val="000000"/>
                <w:sz w:val="18"/>
                <w:szCs w:val="18"/>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522BD96B">
            <w:pPr>
              <w:autoSpaceDN w:val="0"/>
              <w:spacing w:line="260" w:lineRule="exact"/>
              <w:jc w:val="left"/>
              <w:textAlignment w:val="center"/>
              <w:rPr>
                <w:rFonts w:ascii="仿宋_GB2312" w:hAnsi="仿宋_GB2312"/>
                <w:color w:val="000000"/>
                <w:sz w:val="18"/>
                <w:szCs w:val="18"/>
              </w:rPr>
            </w:pPr>
            <w:r>
              <w:rPr>
                <w:rFonts w:hint="eastAsia" w:ascii="仿宋_GB2312" w:hAnsi="仿宋_GB2312"/>
                <w:color w:val="000000"/>
                <w:sz w:val="18"/>
                <w:szCs w:val="18"/>
              </w:rPr>
              <w:t>3.《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14:paraId="4D351E72">
            <w:pPr>
              <w:autoSpaceDN w:val="0"/>
              <w:spacing w:line="260" w:lineRule="exact"/>
              <w:jc w:val="left"/>
              <w:textAlignment w:val="center"/>
              <w:rPr>
                <w:rFonts w:ascii="仿宋_GB2312" w:hAnsi="仿宋_GB2312"/>
                <w:color w:val="000000"/>
                <w:sz w:val="18"/>
                <w:szCs w:val="18"/>
              </w:rPr>
            </w:pPr>
            <w:r>
              <w:rPr>
                <w:rFonts w:hint="eastAsia" w:ascii="仿宋_GB2312" w:hAnsi="仿宋_GB2312"/>
                <w:color w:val="000000"/>
                <w:sz w:val="18"/>
                <w:szCs w:val="18"/>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p w14:paraId="26726B97">
            <w:pPr>
              <w:autoSpaceDN w:val="0"/>
              <w:spacing w:line="260" w:lineRule="exact"/>
              <w:jc w:val="left"/>
              <w:textAlignment w:val="center"/>
              <w:rPr>
                <w:rFonts w:ascii="仿宋_GB2312" w:hAnsi="仿宋_GB2312"/>
                <w:color w:val="000000"/>
                <w:sz w:val="21"/>
                <w:szCs w:val="21"/>
              </w:rPr>
            </w:pPr>
            <w:r>
              <w:rPr>
                <w:rFonts w:hint="eastAsia" w:ascii="仿宋_GB2312" w:hAnsi="仿宋_GB2312"/>
                <w:color w:val="000000"/>
                <w:sz w:val="18"/>
                <w:szCs w:val="18"/>
              </w:rPr>
              <w:t>5.《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3744" w:type="dxa"/>
            <w:vAlign w:val="center"/>
          </w:tcPr>
          <w:p w14:paraId="4F325C8E">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1、立案责任：发现医疗保险经办机构以及医疗机构、药品经营单位等医疗保险服务机构以欺诈、伪造证明材料或者其他手段骗取医疗保险、生育保险基金支出的违法行为，予以审查，决定是否立案。</w:t>
            </w:r>
          </w:p>
          <w:p w14:paraId="700FC288">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E1130D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3177D23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10E72CB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7103833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4475C6E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0265000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6530AE2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1ADBE82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1CAA1FA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7DE4158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77D6F9A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56AA5D65">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42C102D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1168F3E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561B63AE">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6558560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2F8652E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399B57FC">
            <w:pPr>
              <w:autoSpaceDN w:val="0"/>
              <w:spacing w:line="300" w:lineRule="exact"/>
              <w:jc w:val="center"/>
              <w:textAlignment w:val="center"/>
              <w:rPr>
                <w:rFonts w:ascii="仿宋_GB2312" w:hAnsi="仿宋_GB2312"/>
                <w:color w:val="000000"/>
                <w:sz w:val="22"/>
                <w:szCs w:val="22"/>
              </w:rPr>
            </w:pPr>
          </w:p>
        </w:tc>
      </w:tr>
      <w:tr w14:paraId="7A7C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3" w:hRule="exact"/>
          <w:jc w:val="center"/>
        </w:trPr>
        <w:tc>
          <w:tcPr>
            <w:tcW w:w="713" w:type="dxa"/>
            <w:vAlign w:val="center"/>
          </w:tcPr>
          <w:p w14:paraId="389F639A">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4</w:t>
            </w:r>
          </w:p>
        </w:tc>
        <w:tc>
          <w:tcPr>
            <w:tcW w:w="1236" w:type="dxa"/>
            <w:vAlign w:val="center"/>
          </w:tcPr>
          <w:p w14:paraId="4834E006">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375869D3">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对定点医药机构基金使用一般违法行为的处罚</w:t>
            </w:r>
          </w:p>
        </w:tc>
        <w:tc>
          <w:tcPr>
            <w:tcW w:w="1128" w:type="dxa"/>
            <w:vAlign w:val="center"/>
          </w:tcPr>
          <w:p w14:paraId="06F7E18D">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63B0496A">
            <w:pPr>
              <w:autoSpaceDN w:val="0"/>
              <w:spacing w:line="300" w:lineRule="exact"/>
              <w:textAlignment w:val="center"/>
              <w:rPr>
                <w:rFonts w:ascii="仿宋_GB2312" w:hAnsi="仿宋_GB2312"/>
                <w:color w:val="000000"/>
                <w:sz w:val="21"/>
                <w:szCs w:val="21"/>
              </w:rPr>
            </w:pPr>
            <w:r>
              <w:rPr>
                <w:rFonts w:hint="eastAsia" w:ascii="仿宋_GB2312" w:hAnsi="仿宋_GB2312"/>
                <w:color w:val="000000"/>
                <w:sz w:val="22"/>
                <w:szCs w:val="22"/>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744" w:type="dxa"/>
            <w:vAlign w:val="center"/>
          </w:tcPr>
          <w:p w14:paraId="5B9E02E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1、立案责任：发现以欺诈、伪造证明材料或者其他手段骗取医疗保险、生育保险待遇的的违法行为，予以审查，决定是否立案。</w:t>
            </w:r>
          </w:p>
          <w:p w14:paraId="61B974A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1232FFE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1EE1966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73EF912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4AF94C5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410DC62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644524A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5D532CE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A27DDC8">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225B4ED5">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4BA8906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274F573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5EBD1DE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725ECF7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0C32CD9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2377731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65BE162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02D2F77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199F12CE">
            <w:pPr>
              <w:autoSpaceDN w:val="0"/>
              <w:spacing w:line="300" w:lineRule="exact"/>
              <w:jc w:val="center"/>
              <w:textAlignment w:val="center"/>
              <w:rPr>
                <w:rFonts w:ascii="仿宋_GB2312" w:hAnsi="仿宋_GB2312"/>
                <w:color w:val="000000"/>
                <w:sz w:val="22"/>
                <w:szCs w:val="22"/>
              </w:rPr>
            </w:pPr>
          </w:p>
        </w:tc>
      </w:tr>
      <w:tr w14:paraId="1A59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0" w:hRule="exact"/>
          <w:jc w:val="center"/>
        </w:trPr>
        <w:tc>
          <w:tcPr>
            <w:tcW w:w="713" w:type="dxa"/>
            <w:vAlign w:val="center"/>
          </w:tcPr>
          <w:p w14:paraId="690FB7CA">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5</w:t>
            </w:r>
          </w:p>
        </w:tc>
        <w:tc>
          <w:tcPr>
            <w:tcW w:w="1236" w:type="dxa"/>
            <w:vAlign w:val="center"/>
          </w:tcPr>
          <w:p w14:paraId="37F6C174">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2816C94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对个人骗取医疗保障基金支出、骗取医疗保障基金待遇，或者造成医疗保障基金损失行为的处罚</w:t>
            </w:r>
          </w:p>
        </w:tc>
        <w:tc>
          <w:tcPr>
            <w:tcW w:w="1128" w:type="dxa"/>
            <w:vAlign w:val="center"/>
          </w:tcPr>
          <w:p w14:paraId="48AB4B45">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6263E8A9">
            <w:pPr>
              <w:autoSpaceDN w:val="0"/>
              <w:spacing w:line="300" w:lineRule="exact"/>
              <w:textAlignment w:val="center"/>
              <w:rPr>
                <w:rFonts w:ascii="仿宋_GB2312" w:hAnsi="仿宋_GB2312"/>
                <w:color w:val="000000"/>
                <w:sz w:val="18"/>
                <w:szCs w:val="18"/>
              </w:rPr>
            </w:pPr>
            <w:r>
              <w:rPr>
                <w:rFonts w:hint="eastAsia" w:ascii="仿宋_GB2312" w:hAnsi="仿宋_GB2312"/>
                <w:color w:val="000000"/>
                <w:sz w:val="18"/>
                <w:szCs w:val="18"/>
              </w:rPr>
              <w:t>1.《中华人民共和国社会保险法》第八十八条：以欺诈、伪造证明材料或者其他手段骗取社会保险待遇的，由社会保险行政部门责令退回骗取的社会保险金，处骗取金额二倍以上五倍以下的罚款。</w:t>
            </w:r>
          </w:p>
          <w:p w14:paraId="3927B5CA">
            <w:pPr>
              <w:autoSpaceDN w:val="0"/>
              <w:spacing w:line="300" w:lineRule="exact"/>
              <w:textAlignment w:val="center"/>
              <w:rPr>
                <w:rFonts w:ascii="仿宋_GB2312" w:hAnsi="仿宋_GB2312"/>
                <w:color w:val="000000"/>
                <w:sz w:val="18"/>
                <w:szCs w:val="18"/>
              </w:rPr>
            </w:pPr>
            <w:r>
              <w:rPr>
                <w:rFonts w:hint="eastAsia" w:ascii="仿宋_GB2312" w:hAnsi="仿宋_GB2312"/>
                <w:color w:val="000000"/>
                <w:sz w:val="18"/>
                <w:szCs w:val="18"/>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41B84306">
            <w:pPr>
              <w:autoSpaceDN w:val="0"/>
              <w:spacing w:line="300" w:lineRule="exact"/>
              <w:textAlignment w:val="center"/>
              <w:rPr>
                <w:rFonts w:ascii="仿宋_GB2312" w:hAnsi="仿宋_GB2312"/>
                <w:color w:val="000000"/>
                <w:sz w:val="18"/>
                <w:szCs w:val="18"/>
              </w:rPr>
            </w:pPr>
            <w:r>
              <w:rPr>
                <w:rFonts w:hint="eastAsia" w:ascii="仿宋_GB2312" w:hAnsi="仿宋_GB2312"/>
                <w:color w:val="000000"/>
                <w:sz w:val="18"/>
                <w:szCs w:val="18"/>
              </w:rPr>
              <w:t>3.《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14:paraId="2C2E609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18"/>
                <w:szCs w:val="18"/>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14:paraId="53B3434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1、立案责任：发现采取虚报、隐瞒、伪造等手段，骗取医疗救助基金的的违法行为，予以审查，决定是否立案。</w:t>
            </w:r>
          </w:p>
          <w:p w14:paraId="5387EB4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ECC774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0D92AEB8">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6C6A31E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0560A24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334566E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6923BAE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3321037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36FB35C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330466E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572FE895">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26CCDC5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4503A613">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3D449B4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305FF22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000F8F8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6D301FC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2DD8D20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70A0D035">
            <w:pPr>
              <w:autoSpaceDN w:val="0"/>
              <w:spacing w:line="300" w:lineRule="exact"/>
              <w:jc w:val="center"/>
              <w:textAlignment w:val="center"/>
              <w:rPr>
                <w:rFonts w:ascii="仿宋_GB2312" w:hAnsi="仿宋_GB2312"/>
                <w:color w:val="000000"/>
                <w:sz w:val="22"/>
                <w:szCs w:val="22"/>
              </w:rPr>
            </w:pPr>
          </w:p>
        </w:tc>
      </w:tr>
      <w:tr w14:paraId="1173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exact"/>
          <w:jc w:val="center"/>
        </w:trPr>
        <w:tc>
          <w:tcPr>
            <w:tcW w:w="713" w:type="dxa"/>
            <w:vAlign w:val="center"/>
          </w:tcPr>
          <w:p w14:paraId="4D772BF1">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6</w:t>
            </w:r>
          </w:p>
        </w:tc>
        <w:tc>
          <w:tcPr>
            <w:tcW w:w="1236" w:type="dxa"/>
            <w:vAlign w:val="center"/>
          </w:tcPr>
          <w:p w14:paraId="3ADB3707">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23DC85D8">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对定点医药机构违反管理规定、拒绝监督检查或者提供虚假情况的处罚</w:t>
            </w:r>
          </w:p>
        </w:tc>
        <w:tc>
          <w:tcPr>
            <w:tcW w:w="1128" w:type="dxa"/>
            <w:vAlign w:val="center"/>
          </w:tcPr>
          <w:p w14:paraId="52024E56">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00A412E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744" w:type="dxa"/>
            <w:vAlign w:val="center"/>
          </w:tcPr>
          <w:p w14:paraId="1635954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1、立案责任：发现以违反医药价格管理政策等为手段，骗取医保基金支出的违法行为，予以审查，决定是否立案。</w:t>
            </w:r>
          </w:p>
          <w:p w14:paraId="6D54A953">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34DB9B7A">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1689DABE">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05D39806">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3A7ADB52">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2CFA9FB8">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15CC418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13254A0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47B3B95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0F51CE2B">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09ED021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289E29A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18BEF74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76651771">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70DF16DC">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001C7B2E">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7EB25604">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7ADEE08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68B35A99">
            <w:pPr>
              <w:autoSpaceDN w:val="0"/>
              <w:spacing w:line="300" w:lineRule="exact"/>
              <w:jc w:val="center"/>
              <w:textAlignment w:val="center"/>
              <w:rPr>
                <w:rFonts w:ascii="仿宋_GB2312" w:hAnsi="仿宋_GB2312"/>
                <w:color w:val="000000"/>
                <w:sz w:val="22"/>
                <w:szCs w:val="22"/>
              </w:rPr>
            </w:pPr>
          </w:p>
        </w:tc>
      </w:tr>
      <w:tr w14:paraId="322E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713" w:type="dxa"/>
            <w:vAlign w:val="center"/>
          </w:tcPr>
          <w:p w14:paraId="04F0133A">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7</w:t>
            </w:r>
          </w:p>
        </w:tc>
        <w:tc>
          <w:tcPr>
            <w:tcW w:w="1236" w:type="dxa"/>
            <w:vAlign w:val="center"/>
          </w:tcPr>
          <w:p w14:paraId="390E2BF7">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行政处罚</w:t>
            </w:r>
          </w:p>
        </w:tc>
        <w:tc>
          <w:tcPr>
            <w:tcW w:w="1176" w:type="dxa"/>
            <w:vAlign w:val="center"/>
          </w:tcPr>
          <w:p w14:paraId="2D35D327">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对将本人的基本医疗保险凭证出借给他人就医或者出借给医疗机构使用的处罚</w:t>
            </w:r>
          </w:p>
        </w:tc>
        <w:tc>
          <w:tcPr>
            <w:tcW w:w="1128" w:type="dxa"/>
            <w:vAlign w:val="center"/>
          </w:tcPr>
          <w:p w14:paraId="02F989E6">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38BDAA3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河北省基本医疗保险服务监督管理办法》（河北省人民政府令〔2015﹞第12号）第二十六条：违反本办法第十条第三项规定的（不得将本人的医疗保险凭证出借给他人就医或者出借给医疗机构使用），由社会保险行政部门予以警告，责令改正，并可以处二百元以上五百元以下的罚款。</w:t>
            </w:r>
          </w:p>
        </w:tc>
        <w:tc>
          <w:tcPr>
            <w:tcW w:w="3744" w:type="dxa"/>
            <w:vAlign w:val="center"/>
          </w:tcPr>
          <w:p w14:paraId="4141F74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1.立案责任：发现定点医药机构违反内部管理规定以及未按规定向医疗保障部门传送数据、信息或不配合监督检查等行为，予以审查，决定是否立案。</w:t>
            </w:r>
          </w:p>
          <w:p w14:paraId="00042A3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17D68C6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3.审查责任：审理案件调查报告，对案件违法事实、证据、调查取证程序、法律适用、处罚种类和幅度、当事人陈述和申辩理由等方面进行审查，提出处理意见（主要证据不足时，以适当的方式补充调查）。</w:t>
            </w:r>
          </w:p>
          <w:p w14:paraId="65F46AD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4.告知责任：作出行政处罚决定前，应制作《行政处罚告知书》送达当事人，告知违法事实及其享有的陈述、申辩等权利。符合听证规定的，制作并送达《行政处罚听证告知书》。</w:t>
            </w:r>
          </w:p>
          <w:p w14:paraId="617218C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5.决定责任：制作行政处罚决定书，载明行政处罚种类、依据、履行方式、期限、救济途径等内容。</w:t>
            </w:r>
          </w:p>
          <w:p w14:paraId="1A969BB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6.送达责任：行政处罚决定书按法律规定的方式送达当事人。</w:t>
            </w:r>
          </w:p>
          <w:p w14:paraId="2D86561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7.执行责任：依照生效的行政处罚决定，予以处罚。</w:t>
            </w:r>
          </w:p>
          <w:p w14:paraId="7A01F9E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8.其他法律法规规章文件规定应履行的责任。</w:t>
            </w:r>
          </w:p>
        </w:tc>
        <w:tc>
          <w:tcPr>
            <w:tcW w:w="3144" w:type="dxa"/>
            <w:vAlign w:val="center"/>
          </w:tcPr>
          <w:p w14:paraId="6E317DAB">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32241E5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1.没有法律和事实依据实施行政处罚的。</w:t>
            </w:r>
          </w:p>
          <w:p w14:paraId="3B305C2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2.行政处罚显失公正的。</w:t>
            </w:r>
          </w:p>
          <w:p w14:paraId="3D8BAB6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3.执法人员玩忽职守，对应当予以制止和处罚的违法行为不予制止、处罚，致使医疗保障基金损失的。</w:t>
            </w:r>
          </w:p>
          <w:p w14:paraId="1BDD7DD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4.不具备行政执法资格实施行政处罚的。</w:t>
            </w:r>
          </w:p>
          <w:p w14:paraId="29D83A5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5.应当依法移送追究刑事责任，而未依法移送有权机关的。</w:t>
            </w:r>
          </w:p>
          <w:p w14:paraId="654B4D9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6.擅自改变行政处罚种类、幅度的。</w:t>
            </w:r>
          </w:p>
          <w:p w14:paraId="306EBF1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7.违反法定的行政处罚程序的。</w:t>
            </w:r>
          </w:p>
          <w:p w14:paraId="6B4247BD">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8.委托不符合法定条件的组织实施行政处罚的。</w:t>
            </w:r>
          </w:p>
          <w:p w14:paraId="777EB64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9.在行政处罚过程中发生腐败行为的。</w:t>
            </w:r>
          </w:p>
          <w:p w14:paraId="22D8074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10.其他违反法律法规规章文件规定的行为。</w:t>
            </w:r>
          </w:p>
        </w:tc>
        <w:tc>
          <w:tcPr>
            <w:tcW w:w="687" w:type="dxa"/>
            <w:vAlign w:val="center"/>
          </w:tcPr>
          <w:p w14:paraId="0504C441">
            <w:pPr>
              <w:autoSpaceDN w:val="0"/>
              <w:spacing w:line="300" w:lineRule="exact"/>
              <w:jc w:val="center"/>
              <w:textAlignment w:val="center"/>
              <w:rPr>
                <w:rFonts w:ascii="仿宋_GB2312" w:hAnsi="仿宋_GB2312"/>
                <w:color w:val="000000"/>
                <w:sz w:val="22"/>
                <w:szCs w:val="22"/>
              </w:rPr>
            </w:pPr>
          </w:p>
        </w:tc>
      </w:tr>
      <w:tr w14:paraId="3607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713" w:type="dxa"/>
            <w:vAlign w:val="center"/>
          </w:tcPr>
          <w:p w14:paraId="0534335D">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8</w:t>
            </w:r>
          </w:p>
        </w:tc>
        <w:tc>
          <w:tcPr>
            <w:tcW w:w="1236" w:type="dxa"/>
            <w:vAlign w:val="center"/>
          </w:tcPr>
          <w:p w14:paraId="12FA551A">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行政强制</w:t>
            </w:r>
          </w:p>
        </w:tc>
        <w:tc>
          <w:tcPr>
            <w:tcW w:w="1176" w:type="dxa"/>
            <w:vAlign w:val="center"/>
          </w:tcPr>
          <w:p w14:paraId="10E736F3">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对可能被转移、隐匿或者灭失的医疗保险基金相关资料进行封存</w:t>
            </w:r>
          </w:p>
        </w:tc>
        <w:tc>
          <w:tcPr>
            <w:tcW w:w="1128" w:type="dxa"/>
            <w:vAlign w:val="center"/>
          </w:tcPr>
          <w:p w14:paraId="0AFC9FC4">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338EC65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1.《中华人民共和国社会保险法》第七十九条：对可能被转移、隐匿或者灭失的资料予以封存</w:t>
            </w:r>
          </w:p>
          <w:p w14:paraId="0DEBA90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2.《医疗保障基金使用监督管理条例》第二十七条：对可能被转移、隐匿或者灭失的资料等予以封存</w:t>
            </w:r>
          </w:p>
          <w:p w14:paraId="3DBF476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3.《医疗保障行政处罚程序暂行规定》第十八条：对可能被转移、隐匿或者灭失的资料等予以封存</w:t>
            </w:r>
          </w:p>
        </w:tc>
        <w:tc>
          <w:tcPr>
            <w:tcW w:w="3744" w:type="dxa"/>
            <w:vAlign w:val="center"/>
          </w:tcPr>
          <w:p w14:paraId="12A5D65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14:paraId="0089AEC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2、执行责任:由医疗保障行政主管部门实施封存，并出具封存决定书，决定书应当载明下列事项：</w:t>
            </w:r>
          </w:p>
          <w:p w14:paraId="3424269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（一）当事人的姓名或者名称、地址；</w:t>
            </w:r>
          </w:p>
          <w:p w14:paraId="2D64187B">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（二）封存的理由、依据和期限；</w:t>
            </w:r>
          </w:p>
          <w:p w14:paraId="10ED5A5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（三）封存场所、设施或者财物的名称、数量等；</w:t>
            </w:r>
          </w:p>
          <w:p w14:paraId="6F5ABE0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（四）申请行政复议或者提起行政诉讼的途径和期限；</w:t>
            </w:r>
          </w:p>
          <w:p w14:paraId="3815946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（五）医疗保障行政部门的名称、印章和日期。封存清单一式两份，由当事人和医疗保障行政部门分别保存。</w:t>
            </w:r>
          </w:p>
          <w:p w14:paraId="02322A1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14:paraId="2724FBF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4、其他法律法规规章文件规定应履行的责任。</w:t>
            </w:r>
          </w:p>
        </w:tc>
        <w:tc>
          <w:tcPr>
            <w:tcW w:w="3144" w:type="dxa"/>
            <w:vAlign w:val="center"/>
          </w:tcPr>
          <w:p w14:paraId="18F8594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51333C9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1、对不符合条件的实施行政强制措施的；</w:t>
            </w:r>
          </w:p>
          <w:p w14:paraId="608D6E7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2、因违法实施行政强制措施，给行政相对人造成损失的；</w:t>
            </w:r>
          </w:p>
          <w:p w14:paraId="4220D57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3、未依法实施封存造成社会保险基金收支、管理和投资运营相关的资料灭失；</w:t>
            </w:r>
          </w:p>
          <w:p w14:paraId="15D029E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4、违反法定权限、程序实施行政强制的；</w:t>
            </w:r>
          </w:p>
          <w:p w14:paraId="3921154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5、在实施强制执行措施中玩忽职守、滥用职权的；</w:t>
            </w:r>
          </w:p>
          <w:p w14:paraId="343EE1E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6、在行使行政强制权过程中发生腐败行为的；</w:t>
            </w:r>
          </w:p>
          <w:p w14:paraId="78FFC82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7、其他违反法律法规规章文件规定的行为。</w:t>
            </w:r>
          </w:p>
        </w:tc>
        <w:tc>
          <w:tcPr>
            <w:tcW w:w="687" w:type="dxa"/>
            <w:vAlign w:val="center"/>
          </w:tcPr>
          <w:p w14:paraId="6C295B96">
            <w:pPr>
              <w:autoSpaceDN w:val="0"/>
              <w:spacing w:line="300" w:lineRule="exact"/>
              <w:jc w:val="center"/>
              <w:textAlignment w:val="center"/>
              <w:rPr>
                <w:rFonts w:ascii="仿宋_GB2312" w:hAnsi="仿宋_GB2312"/>
                <w:color w:val="000000"/>
                <w:sz w:val="22"/>
                <w:szCs w:val="22"/>
              </w:rPr>
            </w:pPr>
          </w:p>
        </w:tc>
      </w:tr>
      <w:tr w14:paraId="0EEA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713" w:type="dxa"/>
            <w:vAlign w:val="center"/>
          </w:tcPr>
          <w:p w14:paraId="01D9D2EC">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9</w:t>
            </w:r>
          </w:p>
        </w:tc>
        <w:tc>
          <w:tcPr>
            <w:tcW w:w="1236" w:type="dxa"/>
            <w:vAlign w:val="center"/>
          </w:tcPr>
          <w:p w14:paraId="51D736AF">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622B4050">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对用人单位和个人遵守医疗保障法律、法规情况的监督检查</w:t>
            </w:r>
          </w:p>
        </w:tc>
        <w:tc>
          <w:tcPr>
            <w:tcW w:w="1128" w:type="dxa"/>
            <w:vAlign w:val="center"/>
          </w:tcPr>
          <w:p w14:paraId="263DD688">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46A197F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《中华人民共和国社会保险法》第七十七条：县级以上人民政府社会保险行政部门应当加强对用人单位和个人遵守社会保险法律、法规情况的监督检查。</w:t>
            </w:r>
          </w:p>
        </w:tc>
        <w:tc>
          <w:tcPr>
            <w:tcW w:w="3744" w:type="dxa"/>
            <w:vAlign w:val="center"/>
          </w:tcPr>
          <w:p w14:paraId="51053C3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1、检查责任：对用人单位和个人遵守医疗保险法律、法规情况进行监督检查；</w:t>
            </w:r>
          </w:p>
          <w:p w14:paraId="2498386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3E0A2F8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5EA9159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4、事后管理责任：对监督检查发现问题的整改情况组织进行核查；</w:t>
            </w:r>
          </w:p>
          <w:p w14:paraId="3DF6A14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509A643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0D7FF1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1、不对本辖区内用人单位和个人遵守医疗保险法律、法规情况进行监督检查；</w:t>
            </w:r>
          </w:p>
          <w:p w14:paraId="342E0F6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2、对在检查中发现的问题，不责令限期整改、不依法实施处罚。</w:t>
            </w:r>
          </w:p>
          <w:p w14:paraId="2091F71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3、不及时予以公告，对构成违法犯罪的不移交司法机关；</w:t>
            </w:r>
          </w:p>
          <w:p w14:paraId="4C48573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4、其他违反法律法规规章文件规定的行为。</w:t>
            </w:r>
          </w:p>
        </w:tc>
        <w:tc>
          <w:tcPr>
            <w:tcW w:w="687" w:type="dxa"/>
            <w:vAlign w:val="center"/>
          </w:tcPr>
          <w:p w14:paraId="2BB04574">
            <w:pPr>
              <w:autoSpaceDN w:val="0"/>
              <w:spacing w:line="300" w:lineRule="exact"/>
              <w:jc w:val="center"/>
              <w:textAlignment w:val="center"/>
              <w:rPr>
                <w:rFonts w:ascii="仿宋_GB2312" w:hAnsi="仿宋_GB2312"/>
                <w:color w:val="000000"/>
                <w:sz w:val="22"/>
                <w:szCs w:val="22"/>
              </w:rPr>
            </w:pPr>
          </w:p>
        </w:tc>
      </w:tr>
      <w:tr w14:paraId="55E4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3" w:type="dxa"/>
            <w:vAlign w:val="center"/>
          </w:tcPr>
          <w:p w14:paraId="797F1FBC">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10</w:t>
            </w:r>
          </w:p>
        </w:tc>
        <w:tc>
          <w:tcPr>
            <w:tcW w:w="1236" w:type="dxa"/>
            <w:vAlign w:val="center"/>
          </w:tcPr>
          <w:p w14:paraId="531262C9">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4D5D05D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对纳入医疗保障基金支付范围的医疗服务行为和医疗费用的监督</w:t>
            </w:r>
          </w:p>
        </w:tc>
        <w:tc>
          <w:tcPr>
            <w:tcW w:w="1128" w:type="dxa"/>
            <w:vAlign w:val="center"/>
          </w:tcPr>
          <w:p w14:paraId="0F34D25C">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2B39696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中华人民共和国基本医疗卫生与健康促进法》第八十七条：县级以上人民政府医疗保障主管部门应当提高医疗保障监管能力和水平，对纳入基本医疗保险基金支付范围的医疗服务行为和医疗费用加强监督管理。</w:t>
            </w:r>
          </w:p>
          <w:p w14:paraId="44CC4DC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2.《医疗保障基金使用监督管理条例》第二十二条：医疗保障行政部门应当加强对纳入医疗保障基金支付范围的医疗服务行为和医疗费用的监督。</w:t>
            </w:r>
          </w:p>
        </w:tc>
        <w:tc>
          <w:tcPr>
            <w:tcW w:w="3744" w:type="dxa"/>
            <w:vAlign w:val="center"/>
          </w:tcPr>
          <w:p w14:paraId="593F89E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1、检查责任：对纳入基本医疗保险基金支付范围的医疗服务行为和医疗费用进行监督管理；</w:t>
            </w:r>
          </w:p>
          <w:p w14:paraId="24D7F68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0E9FD02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5B591E8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4、事后管理责任：对监督检查发现问题的整改情况组织进行核查；</w:t>
            </w:r>
          </w:p>
          <w:p w14:paraId="546EE5C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3104E63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00AFE55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1、不对本辖区内纳入基本医疗保险基金支付范围的医疗服务行为和医疗费用进行监督管理；</w:t>
            </w:r>
          </w:p>
          <w:p w14:paraId="54C2949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2、对在检查中发现的问题，不责令限期整改、不依法实施处罚。</w:t>
            </w:r>
          </w:p>
          <w:p w14:paraId="79E1C47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3、不及时予以公告，对构成违法犯罪的不移交司法机关；</w:t>
            </w:r>
          </w:p>
          <w:p w14:paraId="6D83DCD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4、其他违反法律法规规章文件规定的行为。</w:t>
            </w:r>
          </w:p>
        </w:tc>
        <w:tc>
          <w:tcPr>
            <w:tcW w:w="687" w:type="dxa"/>
            <w:vAlign w:val="center"/>
          </w:tcPr>
          <w:p w14:paraId="7C4E0EDA">
            <w:pPr>
              <w:autoSpaceDN w:val="0"/>
              <w:spacing w:line="300" w:lineRule="exact"/>
              <w:jc w:val="center"/>
              <w:textAlignment w:val="center"/>
              <w:rPr>
                <w:rFonts w:ascii="仿宋_GB2312" w:hAnsi="仿宋_GB2312"/>
                <w:color w:val="000000"/>
                <w:sz w:val="22"/>
                <w:szCs w:val="22"/>
              </w:rPr>
            </w:pPr>
          </w:p>
        </w:tc>
      </w:tr>
      <w:tr w14:paraId="40DC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exact"/>
          <w:jc w:val="center"/>
        </w:trPr>
        <w:tc>
          <w:tcPr>
            <w:tcW w:w="713" w:type="dxa"/>
            <w:vAlign w:val="center"/>
          </w:tcPr>
          <w:p w14:paraId="22DACEA6">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11</w:t>
            </w:r>
          </w:p>
        </w:tc>
        <w:tc>
          <w:tcPr>
            <w:tcW w:w="1236" w:type="dxa"/>
            <w:vAlign w:val="center"/>
          </w:tcPr>
          <w:p w14:paraId="46683C19">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0AC1A95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对医疗救助的监督检查</w:t>
            </w:r>
          </w:p>
        </w:tc>
        <w:tc>
          <w:tcPr>
            <w:tcW w:w="1128" w:type="dxa"/>
            <w:vAlign w:val="center"/>
          </w:tcPr>
          <w:p w14:paraId="587DA302">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5264F57B">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《社会救助暂行办法》第五十七条：县级以上人民政府及其社会救助管理部门应当加强对社会救助工作的监督检查。</w:t>
            </w:r>
          </w:p>
        </w:tc>
        <w:tc>
          <w:tcPr>
            <w:tcW w:w="3744" w:type="dxa"/>
            <w:vAlign w:val="center"/>
          </w:tcPr>
          <w:p w14:paraId="51494F9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1、检查责任：对医疗救助的监督检查；</w:t>
            </w:r>
          </w:p>
          <w:p w14:paraId="60E11CFD">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2F07FF9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24F14BE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4、事后管理责任：对监督检查发现问题的整改情况组织进行核查；</w:t>
            </w:r>
          </w:p>
          <w:p w14:paraId="63DEE7C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7F7770B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072507C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1、不对本辖区内医疗救助进行监督管理；</w:t>
            </w:r>
          </w:p>
          <w:p w14:paraId="360A2EE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2、对在检查中发现的问题，不责令限期整改、不依法实施处罚。</w:t>
            </w:r>
          </w:p>
          <w:p w14:paraId="6E00FD0D">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3、不及时予以公告，对构成违法犯罪的不移交司法机关；</w:t>
            </w:r>
          </w:p>
          <w:p w14:paraId="1DF3DE5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4、其他违反法律法规规章文件规定的行为。</w:t>
            </w:r>
          </w:p>
        </w:tc>
        <w:tc>
          <w:tcPr>
            <w:tcW w:w="687" w:type="dxa"/>
            <w:vAlign w:val="center"/>
          </w:tcPr>
          <w:p w14:paraId="72611A67">
            <w:pPr>
              <w:autoSpaceDN w:val="0"/>
              <w:spacing w:line="300" w:lineRule="exact"/>
              <w:jc w:val="center"/>
              <w:textAlignment w:val="center"/>
              <w:rPr>
                <w:rFonts w:ascii="仿宋_GB2312" w:hAnsi="仿宋_GB2312"/>
                <w:color w:val="000000"/>
                <w:sz w:val="22"/>
                <w:szCs w:val="22"/>
              </w:rPr>
            </w:pPr>
          </w:p>
        </w:tc>
      </w:tr>
      <w:tr w14:paraId="573E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exact"/>
          <w:jc w:val="center"/>
        </w:trPr>
        <w:tc>
          <w:tcPr>
            <w:tcW w:w="713" w:type="dxa"/>
            <w:vAlign w:val="center"/>
          </w:tcPr>
          <w:p w14:paraId="1A769F61">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12</w:t>
            </w:r>
          </w:p>
        </w:tc>
        <w:tc>
          <w:tcPr>
            <w:tcW w:w="1236" w:type="dxa"/>
            <w:vAlign w:val="center"/>
          </w:tcPr>
          <w:p w14:paraId="5E8E9237">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3894D80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对药品、医用耗材价格进行监测和成本调查</w:t>
            </w:r>
          </w:p>
        </w:tc>
        <w:tc>
          <w:tcPr>
            <w:tcW w:w="1128" w:type="dxa"/>
            <w:vAlign w:val="center"/>
          </w:tcPr>
          <w:p w14:paraId="081B730E">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07E9F9F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 xml:space="preserve">1.《中华人民共和国基本医疗卫生与健康促进法》（中华人民共和国主席令第38号，2020年6月1日起施行）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        </w:t>
            </w:r>
          </w:p>
          <w:p w14:paraId="6EA3202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14:paraId="67C4097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1、检查责任：对药品、医用耗材价格进行监测和成本调查；</w:t>
            </w:r>
          </w:p>
          <w:p w14:paraId="4B0CD9DB">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28D57E9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7537F92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4、事后管理责任：对监督检查发现问题的整改情况组织进行核查；</w:t>
            </w:r>
          </w:p>
          <w:p w14:paraId="130DA08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497D8F6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14CBC719">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1、不对本辖区内对药品、医用耗材价格进行监测和成本调查；</w:t>
            </w:r>
          </w:p>
          <w:p w14:paraId="03B1C6D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2、对在检查中发现的问题，不责令限期整改、不依法实施处罚。</w:t>
            </w:r>
          </w:p>
          <w:p w14:paraId="5C16009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3、不及时予以公告，对构成违法犯罪的不移交司法机关；</w:t>
            </w:r>
          </w:p>
          <w:p w14:paraId="07632D1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4、其他违反法律法规规章文件规定的行为。</w:t>
            </w:r>
          </w:p>
        </w:tc>
        <w:tc>
          <w:tcPr>
            <w:tcW w:w="687" w:type="dxa"/>
            <w:vAlign w:val="center"/>
          </w:tcPr>
          <w:p w14:paraId="4403C495">
            <w:pPr>
              <w:autoSpaceDN w:val="0"/>
              <w:spacing w:line="300" w:lineRule="exact"/>
              <w:jc w:val="center"/>
              <w:textAlignment w:val="center"/>
              <w:rPr>
                <w:rFonts w:ascii="仿宋_GB2312" w:hAnsi="仿宋_GB2312"/>
                <w:color w:val="000000"/>
                <w:sz w:val="22"/>
                <w:szCs w:val="22"/>
              </w:rPr>
            </w:pPr>
          </w:p>
        </w:tc>
      </w:tr>
      <w:tr w14:paraId="10B4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exact"/>
          <w:jc w:val="center"/>
        </w:trPr>
        <w:tc>
          <w:tcPr>
            <w:tcW w:w="713" w:type="dxa"/>
            <w:vAlign w:val="center"/>
          </w:tcPr>
          <w:p w14:paraId="32AEBA28">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13</w:t>
            </w:r>
          </w:p>
        </w:tc>
        <w:tc>
          <w:tcPr>
            <w:tcW w:w="1236" w:type="dxa"/>
            <w:vAlign w:val="center"/>
          </w:tcPr>
          <w:p w14:paraId="52F0C7C5">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050B765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pacing w:val="-9"/>
                <w:sz w:val="22"/>
                <w:szCs w:val="22"/>
              </w:rPr>
              <w:t>对药品上市许可持有人、药品和医用耗材生产企业、药品经营企业和医疗机构向医药价格主管部门提供其药品、医用耗材的实际购销价格和购销数量等资料的监督检查</w:t>
            </w:r>
          </w:p>
        </w:tc>
        <w:tc>
          <w:tcPr>
            <w:tcW w:w="1128" w:type="dxa"/>
            <w:vAlign w:val="center"/>
          </w:tcPr>
          <w:p w14:paraId="75902E8F">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432D2A8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14:paraId="613D81D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1、检查责任：对药品上市许可持有人、药品和医用耗材生产企业、药品经营企业和医疗机构向医药价格主管部门提供其药品、医用耗材的实际购销价格和购销数量等资料的监督检查；</w:t>
            </w:r>
          </w:p>
          <w:p w14:paraId="7382C32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7000BA6D">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231DDA0B">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4、事后管理责任：对监督检查发现问题的整改情况组织进行核查；</w:t>
            </w:r>
          </w:p>
          <w:p w14:paraId="2A20272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3B878A71">
            <w:pPr>
              <w:autoSpaceDN w:val="0"/>
              <w:spacing w:line="280" w:lineRule="exact"/>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因不履行或不正确履行行政职责，有下列情形的，行政机关及相关工作人员应承担相应责任：</w:t>
            </w:r>
          </w:p>
          <w:p w14:paraId="53A16DCC">
            <w:pPr>
              <w:autoSpaceDN w:val="0"/>
              <w:spacing w:line="280" w:lineRule="exact"/>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1、不对本辖区内药品上市许可持有人、药品和医用耗材生产企业、药品经营企业和医疗机构向医药价格主管部门提供其药品、医用耗材的实际购销价格和购销数量等资料的监督检查；</w:t>
            </w:r>
          </w:p>
          <w:p w14:paraId="726DEEFD">
            <w:pPr>
              <w:autoSpaceDN w:val="0"/>
              <w:spacing w:line="280" w:lineRule="exact"/>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2、对在检查中发现的问题，不责令限期整改、不依法实施处罚。</w:t>
            </w:r>
          </w:p>
          <w:p w14:paraId="528488FD">
            <w:pPr>
              <w:autoSpaceDN w:val="0"/>
              <w:spacing w:line="280" w:lineRule="exact"/>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3、不及时予以公告，对构成违法犯罪的不移交司法机关；</w:t>
            </w:r>
          </w:p>
          <w:p w14:paraId="2D13B2BB">
            <w:pPr>
              <w:autoSpaceDN w:val="0"/>
              <w:spacing w:line="280" w:lineRule="exact"/>
              <w:textAlignment w:val="center"/>
              <w:rPr>
                <w:rFonts w:ascii="仿宋_GB2312" w:hAnsi="仿宋_GB2312"/>
                <w:color w:val="000000"/>
                <w:sz w:val="22"/>
                <w:szCs w:val="22"/>
              </w:rPr>
            </w:pPr>
            <w:r>
              <w:rPr>
                <w:rFonts w:hint="eastAsia" w:ascii="仿宋_GB2312" w:hAnsi="仿宋_GB2312"/>
                <w:color w:val="000000"/>
                <w:spacing w:val="-5"/>
                <w:sz w:val="22"/>
                <w:szCs w:val="22"/>
              </w:rPr>
              <w:t>4、其他违反法律法规规章文件规定的行为。</w:t>
            </w:r>
          </w:p>
        </w:tc>
        <w:tc>
          <w:tcPr>
            <w:tcW w:w="687" w:type="dxa"/>
            <w:vAlign w:val="center"/>
          </w:tcPr>
          <w:p w14:paraId="43BC5D1D">
            <w:pPr>
              <w:autoSpaceDN w:val="0"/>
              <w:spacing w:line="300" w:lineRule="exact"/>
              <w:jc w:val="center"/>
              <w:textAlignment w:val="center"/>
              <w:rPr>
                <w:rFonts w:ascii="仿宋_GB2312" w:hAnsi="仿宋_GB2312"/>
                <w:color w:val="000000"/>
                <w:sz w:val="22"/>
                <w:szCs w:val="22"/>
              </w:rPr>
            </w:pPr>
          </w:p>
        </w:tc>
      </w:tr>
      <w:tr w14:paraId="280C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exact"/>
          <w:jc w:val="center"/>
        </w:trPr>
        <w:tc>
          <w:tcPr>
            <w:tcW w:w="713" w:type="dxa"/>
            <w:vAlign w:val="center"/>
          </w:tcPr>
          <w:p w14:paraId="7087BC36">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14</w:t>
            </w:r>
          </w:p>
        </w:tc>
        <w:tc>
          <w:tcPr>
            <w:tcW w:w="1236" w:type="dxa"/>
            <w:vAlign w:val="center"/>
          </w:tcPr>
          <w:p w14:paraId="2B5A580D">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41F130CD">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对公立医疗机构药品和高值医用耗材集中采购行为合规性的监督检查</w:t>
            </w:r>
          </w:p>
        </w:tc>
        <w:tc>
          <w:tcPr>
            <w:tcW w:w="1128" w:type="dxa"/>
            <w:vAlign w:val="center"/>
          </w:tcPr>
          <w:p w14:paraId="67B1D238">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75A14B54">
            <w:pPr>
              <w:autoSpaceDN w:val="0"/>
              <w:spacing w:line="260" w:lineRule="exact"/>
              <w:textAlignment w:val="center"/>
              <w:rPr>
                <w:rFonts w:ascii="仿宋_GB2312" w:hAnsi="仿宋_GB2312"/>
                <w:sz w:val="22"/>
                <w:szCs w:val="22"/>
              </w:rPr>
            </w:pPr>
            <w:r>
              <w:rPr>
                <w:rFonts w:hint="eastAsia" w:ascii="仿宋_GB2312" w:hAnsi="仿宋_GB2312"/>
                <w:sz w:val="22"/>
                <w:szCs w:val="22"/>
              </w:rPr>
              <w:t>1《国务院办公厅关于推动药品集中带量采购工作常态化制度化开展的意见》（国办发〔2021〕2号）第十八条：“国家医保局要切实担负起药品集中带量采购工作常态化制度化开展的统筹协调和督促指导责任，完善相关政策措施，适时开展监测分析、督导检查、总结评估。”</w:t>
            </w:r>
          </w:p>
          <w:p w14:paraId="3D4FEEFF">
            <w:pPr>
              <w:autoSpaceDN w:val="0"/>
              <w:spacing w:line="260" w:lineRule="exact"/>
              <w:textAlignment w:val="center"/>
              <w:rPr>
                <w:rFonts w:ascii="仿宋_GB2312" w:hAnsi="仿宋_GB2312"/>
                <w:color w:val="000000"/>
                <w:sz w:val="22"/>
                <w:szCs w:val="22"/>
              </w:rPr>
            </w:pPr>
            <w:r>
              <w:rPr>
                <w:rFonts w:hint="eastAsia" w:ascii="仿宋_GB2312" w:hAnsi="仿宋_GB2312"/>
                <w:sz w:val="22"/>
                <w:szCs w:val="22"/>
              </w:rPr>
              <w:t>2.《河北省医疗保障局 河北省财政厅 河北省卫生健康委员会 河北省市场监督管理局 河北省工业和信息化厅 河北省商务厅 河北省药品监督管理局关于印发&lt;推动药品集中带量采购工作常态化制度化开展实施方案&gt;的通知》第六部分：“省医疗保障局要切实担负起药品集中带量采购工作常态化制度化开展的统筹协调和督促指导责任，完善相关政策措施，适时开展监测分析、督导检查、总结评估。”</w:t>
            </w:r>
          </w:p>
        </w:tc>
        <w:tc>
          <w:tcPr>
            <w:tcW w:w="3744" w:type="dxa"/>
            <w:vAlign w:val="center"/>
          </w:tcPr>
          <w:p w14:paraId="10D7E90B">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1、检查责任：对公立医疗机构药品和高值医用耗材集中采购行为合规性的监督检查；</w:t>
            </w:r>
          </w:p>
          <w:p w14:paraId="28CEB578">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659BA961">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56DB18D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4、事后管理责任：对监督检查发现问题的整改情况组织进行核查；</w:t>
            </w:r>
          </w:p>
          <w:p w14:paraId="7C56267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04060239">
            <w:pPr>
              <w:autoSpaceDN w:val="0"/>
              <w:spacing w:line="28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6B08C01">
            <w:pPr>
              <w:autoSpaceDN w:val="0"/>
              <w:spacing w:line="280" w:lineRule="exact"/>
              <w:textAlignment w:val="center"/>
              <w:rPr>
                <w:rFonts w:ascii="仿宋_GB2312" w:hAnsi="仿宋_GB2312"/>
                <w:color w:val="000000"/>
                <w:sz w:val="22"/>
                <w:szCs w:val="22"/>
              </w:rPr>
            </w:pPr>
            <w:r>
              <w:rPr>
                <w:rFonts w:hint="eastAsia" w:ascii="仿宋_GB2312" w:hAnsi="仿宋_GB2312"/>
                <w:color w:val="000000"/>
                <w:sz w:val="22"/>
                <w:szCs w:val="22"/>
              </w:rPr>
              <w:t>1、不对本辖区内公立医疗机构药品和高值医用耗材集中采购行为合规性的监督检查；</w:t>
            </w:r>
          </w:p>
          <w:p w14:paraId="7E8222C2">
            <w:pPr>
              <w:autoSpaceDN w:val="0"/>
              <w:spacing w:line="280" w:lineRule="exact"/>
              <w:textAlignment w:val="center"/>
              <w:rPr>
                <w:rFonts w:ascii="仿宋_GB2312" w:hAnsi="仿宋_GB2312"/>
                <w:color w:val="000000"/>
                <w:sz w:val="22"/>
                <w:szCs w:val="22"/>
              </w:rPr>
            </w:pPr>
            <w:r>
              <w:rPr>
                <w:rFonts w:hint="eastAsia" w:ascii="仿宋_GB2312" w:hAnsi="仿宋_GB2312"/>
                <w:color w:val="000000"/>
                <w:sz w:val="22"/>
                <w:szCs w:val="22"/>
              </w:rPr>
              <w:t>2、对在检查中发现的问题，不责令限期整改、不依法实施处罚。</w:t>
            </w:r>
          </w:p>
          <w:p w14:paraId="3A07EF9B">
            <w:pPr>
              <w:autoSpaceDN w:val="0"/>
              <w:spacing w:line="280" w:lineRule="exact"/>
              <w:textAlignment w:val="center"/>
              <w:rPr>
                <w:rFonts w:ascii="仿宋_GB2312" w:hAnsi="仿宋_GB2312"/>
                <w:color w:val="000000"/>
                <w:sz w:val="22"/>
                <w:szCs w:val="22"/>
              </w:rPr>
            </w:pPr>
            <w:r>
              <w:rPr>
                <w:rFonts w:hint="eastAsia" w:ascii="仿宋_GB2312" w:hAnsi="仿宋_GB2312"/>
                <w:color w:val="000000"/>
                <w:sz w:val="22"/>
                <w:szCs w:val="22"/>
              </w:rPr>
              <w:t>3、不及时予以公告，对构成违法犯罪的不移交司法机关；</w:t>
            </w:r>
          </w:p>
          <w:p w14:paraId="45CDC204">
            <w:pPr>
              <w:autoSpaceDN w:val="0"/>
              <w:spacing w:line="280" w:lineRule="exact"/>
              <w:textAlignment w:val="center"/>
              <w:rPr>
                <w:rFonts w:ascii="仿宋_GB2312" w:hAnsi="仿宋_GB2312"/>
                <w:color w:val="000000"/>
                <w:sz w:val="22"/>
                <w:szCs w:val="22"/>
              </w:rPr>
            </w:pPr>
            <w:r>
              <w:rPr>
                <w:rFonts w:hint="eastAsia" w:ascii="仿宋_GB2312" w:hAnsi="仿宋_GB2312"/>
                <w:color w:val="000000"/>
                <w:sz w:val="22"/>
                <w:szCs w:val="22"/>
              </w:rPr>
              <w:t>4、其他违反法律法规规章文件规定的行为。</w:t>
            </w:r>
          </w:p>
        </w:tc>
        <w:tc>
          <w:tcPr>
            <w:tcW w:w="687" w:type="dxa"/>
            <w:vAlign w:val="center"/>
          </w:tcPr>
          <w:p w14:paraId="278D9B21">
            <w:pPr>
              <w:autoSpaceDN w:val="0"/>
              <w:spacing w:line="300" w:lineRule="exact"/>
              <w:jc w:val="center"/>
              <w:textAlignment w:val="center"/>
              <w:rPr>
                <w:rFonts w:ascii="仿宋_GB2312" w:hAnsi="仿宋_GB2312"/>
                <w:color w:val="000000"/>
                <w:sz w:val="22"/>
                <w:szCs w:val="22"/>
              </w:rPr>
            </w:pPr>
          </w:p>
        </w:tc>
      </w:tr>
      <w:tr w14:paraId="00A1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exact"/>
          <w:jc w:val="center"/>
        </w:trPr>
        <w:tc>
          <w:tcPr>
            <w:tcW w:w="713" w:type="dxa"/>
            <w:vAlign w:val="center"/>
          </w:tcPr>
          <w:p w14:paraId="0D748CBC">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15</w:t>
            </w:r>
          </w:p>
        </w:tc>
        <w:tc>
          <w:tcPr>
            <w:tcW w:w="1236" w:type="dxa"/>
            <w:vAlign w:val="center"/>
          </w:tcPr>
          <w:p w14:paraId="54FC414A">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行政检查</w:t>
            </w:r>
          </w:p>
        </w:tc>
        <w:tc>
          <w:tcPr>
            <w:tcW w:w="1176" w:type="dxa"/>
            <w:vAlign w:val="center"/>
          </w:tcPr>
          <w:p w14:paraId="42EF05CF">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pacing w:val="-11"/>
                <w:sz w:val="22"/>
                <w:szCs w:val="22"/>
              </w:rPr>
              <w:t>医疗保险稽核</w:t>
            </w:r>
          </w:p>
        </w:tc>
        <w:tc>
          <w:tcPr>
            <w:tcW w:w="1128" w:type="dxa"/>
            <w:vAlign w:val="center"/>
          </w:tcPr>
          <w:p w14:paraId="4194FEC7">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2002E930">
            <w:pPr>
              <w:autoSpaceDN w:val="0"/>
              <w:spacing w:line="280" w:lineRule="exact"/>
              <w:textAlignment w:val="center"/>
              <w:rPr>
                <w:rFonts w:ascii="仿宋_GB2312" w:hAnsi="仿宋_GB2312"/>
                <w:color w:val="000000"/>
                <w:spacing w:val="-11"/>
                <w:sz w:val="22"/>
                <w:szCs w:val="22"/>
              </w:rPr>
            </w:pPr>
            <w:r>
              <w:rPr>
                <w:rFonts w:hint="eastAsia" w:ascii="仿宋_GB2312" w:hAnsi="仿宋_GB2312"/>
                <w:color w:val="000000"/>
                <w:spacing w:val="-11"/>
                <w:sz w:val="22"/>
                <w:szCs w:val="22"/>
              </w:rPr>
              <w:t>1.《中华人民共和国社会保险法》（中华人民共和国主席令第35号，2018年12月29日施行）第三十一条：社会保险经办机构根据管理服务的需要，可以与医疗机构、药品经营单位签订服务协议，规范医疗服务行为。</w:t>
            </w:r>
          </w:p>
          <w:p w14:paraId="2C4DCE10">
            <w:pPr>
              <w:autoSpaceDN w:val="0"/>
              <w:spacing w:line="280" w:lineRule="exact"/>
              <w:textAlignment w:val="center"/>
              <w:rPr>
                <w:rFonts w:ascii="仿宋_GB2312" w:hAnsi="仿宋_GB2312"/>
                <w:color w:val="000000"/>
                <w:spacing w:val="-11"/>
                <w:sz w:val="22"/>
                <w:szCs w:val="22"/>
              </w:rPr>
            </w:pPr>
            <w:r>
              <w:rPr>
                <w:rFonts w:hint="eastAsia" w:ascii="仿宋_GB2312" w:hAnsi="仿宋_GB2312"/>
                <w:color w:val="000000"/>
                <w:spacing w:val="-11"/>
                <w:sz w:val="22"/>
                <w:szCs w:val="22"/>
              </w:rPr>
              <w:t>2.《河北省基本医疗保险服务监督管理办法》（河北省人民政府令〔2015〕第12号，2016年2月1日施行 根据2023年1月20日河北省人民政府令〔2023〕第1号修正）第十一条：医疗保险经办机构应当按照国家、本省和本统筹区有关规定以及基本医疗保险服务协议的约定，建立有关费用结算关系，对医疗机构和零售药店履行协议的情况进行日常监督管理。</w:t>
            </w:r>
          </w:p>
        </w:tc>
        <w:tc>
          <w:tcPr>
            <w:tcW w:w="3744" w:type="dxa"/>
            <w:vAlign w:val="center"/>
          </w:tcPr>
          <w:p w14:paraId="24F59E5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1、检查责任：对</w:t>
            </w:r>
            <w:r>
              <w:rPr>
                <w:rFonts w:hint="eastAsia" w:ascii="仿宋_GB2312" w:hAnsi="仿宋_GB2312"/>
                <w:color w:val="000000"/>
                <w:spacing w:val="-11"/>
                <w:sz w:val="22"/>
                <w:szCs w:val="22"/>
              </w:rPr>
              <w:t>医疗保险费开展稽核工作</w:t>
            </w:r>
            <w:r>
              <w:rPr>
                <w:rFonts w:hint="eastAsia" w:ascii="仿宋_GB2312" w:hAnsi="仿宋_GB2312"/>
                <w:color w:val="000000"/>
                <w:sz w:val="22"/>
                <w:szCs w:val="22"/>
              </w:rPr>
              <w:t>；</w:t>
            </w:r>
          </w:p>
          <w:p w14:paraId="7BB8B83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2、处置责任：对监督检查发现的问题，责令限期整改、依法实施处罚；</w:t>
            </w:r>
          </w:p>
          <w:p w14:paraId="58A1D3F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3、移送责任：及时予以公告，对构成违法犯罪的移送司法机关；</w:t>
            </w:r>
          </w:p>
          <w:p w14:paraId="3B00247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4、事后管理责任：对稽核发现问题的整改情况组织进行核查；</w:t>
            </w:r>
          </w:p>
          <w:p w14:paraId="73DD89CD">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5、其他责任：法律法规规章等规定应履行的责任。</w:t>
            </w:r>
          </w:p>
        </w:tc>
        <w:tc>
          <w:tcPr>
            <w:tcW w:w="3144" w:type="dxa"/>
            <w:vAlign w:val="center"/>
          </w:tcPr>
          <w:p w14:paraId="2B843BB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236FCBB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1、未依法履行基本医疗保险管理服务职责的；</w:t>
            </w:r>
          </w:p>
          <w:p w14:paraId="7768138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2、克扣或者拒不按时支付基本医疗保险基金的；</w:t>
            </w:r>
          </w:p>
          <w:p w14:paraId="5D4C899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w:t>
            </w:r>
            <w:r>
              <w:rPr>
                <w:rFonts w:hint="eastAsia" w:ascii="仿宋_GB2312"/>
                <w:sz w:val="22"/>
                <w:szCs w:val="22"/>
              </w:rPr>
              <w:t>丢失或者篡改基本医疗保险待遇记录的</w:t>
            </w:r>
            <w:r>
              <w:rPr>
                <w:rFonts w:hint="eastAsia" w:ascii="仿宋_GB2312" w:hAnsi="仿宋_GB2312"/>
                <w:color w:val="000000"/>
                <w:sz w:val="22"/>
                <w:szCs w:val="22"/>
              </w:rPr>
              <w:t>；</w:t>
            </w:r>
          </w:p>
          <w:p w14:paraId="0BA16D1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4、骗取或者协助他人骗取基本医疗保险基金支出的；</w:t>
            </w:r>
          </w:p>
          <w:p w14:paraId="130470F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5.在稽核工作中滥用职权、徇私舞弊、玩忽职守的；</w:t>
            </w:r>
          </w:p>
          <w:p w14:paraId="7F8CCBB4">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6.其他违反法律法规规章文件规定的行为。</w:t>
            </w:r>
          </w:p>
        </w:tc>
        <w:tc>
          <w:tcPr>
            <w:tcW w:w="687" w:type="dxa"/>
            <w:vAlign w:val="center"/>
          </w:tcPr>
          <w:p w14:paraId="45ADA3A8">
            <w:pPr>
              <w:autoSpaceDN w:val="0"/>
              <w:spacing w:line="300" w:lineRule="exact"/>
              <w:jc w:val="center"/>
              <w:textAlignment w:val="center"/>
              <w:rPr>
                <w:rFonts w:ascii="仿宋_GB2312" w:hAnsi="仿宋_GB2312"/>
                <w:color w:val="000000"/>
                <w:sz w:val="22"/>
                <w:szCs w:val="22"/>
              </w:rPr>
            </w:pPr>
          </w:p>
        </w:tc>
      </w:tr>
      <w:tr w14:paraId="1C06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exact"/>
          <w:jc w:val="center"/>
        </w:trPr>
        <w:tc>
          <w:tcPr>
            <w:tcW w:w="713" w:type="dxa"/>
            <w:vAlign w:val="center"/>
          </w:tcPr>
          <w:p w14:paraId="10588CDD">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16</w:t>
            </w:r>
          </w:p>
        </w:tc>
        <w:tc>
          <w:tcPr>
            <w:tcW w:w="1236" w:type="dxa"/>
            <w:vAlign w:val="center"/>
          </w:tcPr>
          <w:p w14:paraId="0BB5B938">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行政奖励</w:t>
            </w:r>
          </w:p>
        </w:tc>
        <w:tc>
          <w:tcPr>
            <w:tcW w:w="1176" w:type="dxa"/>
            <w:vAlign w:val="center"/>
          </w:tcPr>
          <w:p w14:paraId="4B6A9B28">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对举报人举报欺诈骗取医保基金行为进行奖励</w:t>
            </w:r>
          </w:p>
        </w:tc>
        <w:tc>
          <w:tcPr>
            <w:tcW w:w="1128" w:type="dxa"/>
            <w:vAlign w:val="center"/>
          </w:tcPr>
          <w:p w14:paraId="78CEC1EB">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3B5F4480">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《河北省违法违规使用医疗保障基金举报奖励办法实施细则》（冀医保规〔2023〕1号）</w:t>
            </w:r>
          </w:p>
        </w:tc>
        <w:tc>
          <w:tcPr>
            <w:tcW w:w="3744" w:type="dxa"/>
            <w:vAlign w:val="center"/>
          </w:tcPr>
          <w:p w14:paraId="731DBB4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1、受理责任：依法受理、办理本级管辖范围内及上级交办、同级转办的欺诈骗取医疗保障基金行为举报线索；</w:t>
            </w:r>
          </w:p>
          <w:p w14:paraId="3413C096">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2、督办责任：对属于下级医疗保障部门管辖范围的欺诈骗取医疗保障基金行为举报进行转办和督办；</w:t>
            </w:r>
          </w:p>
          <w:p w14:paraId="1A68CA0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3、查处责任：根据受理的举报案件线索，开展立案调查，积极会同有关部门协同办理跨行政区域、跨统筹层级及跨管理部门的欺诈骗取医疗保障基金行为举报线索；</w:t>
            </w:r>
          </w:p>
          <w:p w14:paraId="7FE7D2FD">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4、奖励责任：根据举报案件查处金额，按照规定比例对调查属实的举报案件举报人实施奖励；</w:t>
            </w:r>
          </w:p>
          <w:p w14:paraId="20FF2F35">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5、其他法律法规规章文件规定应履行的责任。</w:t>
            </w:r>
          </w:p>
        </w:tc>
        <w:tc>
          <w:tcPr>
            <w:tcW w:w="3144" w:type="dxa"/>
            <w:vAlign w:val="center"/>
          </w:tcPr>
          <w:p w14:paraId="3D8CE5B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5284DFE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1、对举报线索应当依法受理、立案调查，不受理的；</w:t>
            </w:r>
          </w:p>
          <w:p w14:paraId="7CFE5F5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2.泄露举报人相关信息的；</w:t>
            </w:r>
          </w:p>
          <w:p w14:paraId="47E0D5C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3、伪造或者教唆、伙同他人伪造举报材料,冒领举报奖金的；</w:t>
            </w:r>
          </w:p>
          <w:p w14:paraId="22D3DAC2">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4、工作中滥用职权、徇私舞弊、玩忽职守造成不良后果的；</w:t>
            </w:r>
          </w:p>
          <w:p w14:paraId="5030B22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5、工作中贪污、挪用、私分、截留奖励资金的；</w:t>
            </w:r>
          </w:p>
          <w:p w14:paraId="47B8B1A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6、其他违反法律法规规章文件规定的行为。</w:t>
            </w:r>
          </w:p>
        </w:tc>
        <w:tc>
          <w:tcPr>
            <w:tcW w:w="687" w:type="dxa"/>
            <w:vAlign w:val="center"/>
          </w:tcPr>
          <w:p w14:paraId="7E29E3AA">
            <w:pPr>
              <w:autoSpaceDN w:val="0"/>
              <w:spacing w:line="300" w:lineRule="exact"/>
              <w:jc w:val="center"/>
              <w:textAlignment w:val="center"/>
              <w:rPr>
                <w:rFonts w:ascii="仿宋_GB2312" w:hAnsi="仿宋_GB2312"/>
                <w:color w:val="000000"/>
                <w:sz w:val="22"/>
                <w:szCs w:val="22"/>
              </w:rPr>
            </w:pPr>
          </w:p>
        </w:tc>
      </w:tr>
      <w:tr w14:paraId="4DAD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exact"/>
          <w:jc w:val="center"/>
        </w:trPr>
        <w:tc>
          <w:tcPr>
            <w:tcW w:w="713" w:type="dxa"/>
            <w:vAlign w:val="center"/>
          </w:tcPr>
          <w:p w14:paraId="5AFB5D7C">
            <w:pPr>
              <w:autoSpaceDN w:val="0"/>
              <w:spacing w:line="300" w:lineRule="exact"/>
              <w:jc w:val="center"/>
              <w:textAlignment w:val="center"/>
              <w:rPr>
                <w:rFonts w:ascii="仿宋_GB2312" w:hAns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7</w:t>
            </w:r>
          </w:p>
        </w:tc>
        <w:tc>
          <w:tcPr>
            <w:tcW w:w="1236" w:type="dxa"/>
            <w:vAlign w:val="center"/>
          </w:tcPr>
          <w:p w14:paraId="6C12C47C">
            <w:pPr>
              <w:autoSpaceDN w:val="0"/>
              <w:spacing w:line="300" w:lineRule="exact"/>
              <w:jc w:val="center"/>
              <w:textAlignment w:val="center"/>
              <w:rPr>
                <w:rFonts w:ascii="仿宋_GB2312" w:hAnsi="仿宋_GB2312"/>
                <w:color w:val="000000"/>
                <w:spacing w:val="-5"/>
                <w:sz w:val="22"/>
                <w:szCs w:val="22"/>
              </w:rPr>
            </w:pPr>
            <w:r>
              <w:rPr>
                <w:rFonts w:hint="eastAsia" w:ascii="仿宋_GB2312" w:hAnsi="仿宋_GB2312"/>
                <w:color w:val="000000"/>
                <w:spacing w:val="-5"/>
                <w:sz w:val="22"/>
                <w:szCs w:val="22"/>
              </w:rPr>
              <w:t>行政备案</w:t>
            </w:r>
          </w:p>
        </w:tc>
        <w:tc>
          <w:tcPr>
            <w:tcW w:w="1176" w:type="dxa"/>
            <w:vAlign w:val="center"/>
          </w:tcPr>
          <w:p w14:paraId="445A5999">
            <w:pPr>
              <w:autoSpaceDN w:val="0"/>
              <w:spacing w:line="300" w:lineRule="exact"/>
              <w:jc w:val="left"/>
              <w:textAlignment w:val="center"/>
              <w:rPr>
                <w:rFonts w:ascii="仿宋_GB2312" w:hAnsi="仿宋_GB2312"/>
                <w:color w:val="000000"/>
                <w:sz w:val="22"/>
                <w:szCs w:val="22"/>
              </w:rPr>
            </w:pPr>
            <w:r>
              <w:rPr>
                <w:rFonts w:hint="eastAsia" w:ascii="仿宋_GB2312" w:hAnsi="仿宋_GB2312"/>
                <w:color w:val="000000"/>
                <w:sz w:val="22"/>
                <w:szCs w:val="22"/>
              </w:rPr>
              <w:t>基本医疗保险参保人员异地就医备案</w:t>
            </w:r>
          </w:p>
        </w:tc>
        <w:tc>
          <w:tcPr>
            <w:tcW w:w="1128" w:type="dxa"/>
            <w:vAlign w:val="center"/>
          </w:tcPr>
          <w:p w14:paraId="09AFEAE0">
            <w:pPr>
              <w:autoSpaceDN w:val="0"/>
              <w:spacing w:line="300" w:lineRule="exact"/>
              <w:jc w:val="center"/>
              <w:textAlignment w:val="center"/>
              <w:rPr>
                <w:rFonts w:ascii="仿宋_GB2312" w:hAnsi="仿宋_GB2312"/>
                <w:color w:val="000000"/>
                <w:sz w:val="22"/>
                <w:szCs w:val="22"/>
              </w:rPr>
            </w:pPr>
            <w:r>
              <w:rPr>
                <w:rFonts w:hint="eastAsia" w:ascii="仿宋_GB2312" w:hAnsi="仿宋_GB2312"/>
                <w:color w:val="000000"/>
                <w:sz w:val="22"/>
                <w:szCs w:val="22"/>
              </w:rPr>
              <w:t>遵化市医疗保障局</w:t>
            </w:r>
          </w:p>
        </w:tc>
        <w:tc>
          <w:tcPr>
            <w:tcW w:w="3948" w:type="dxa"/>
            <w:vAlign w:val="center"/>
          </w:tcPr>
          <w:p w14:paraId="6B15AF09">
            <w:pPr>
              <w:autoSpaceDN w:val="0"/>
              <w:spacing w:line="300" w:lineRule="exact"/>
              <w:textAlignment w:val="center"/>
              <w:rPr>
                <w:rFonts w:hint="eastAsia" w:ascii="仿宋_GB2312" w:hAnsi="仿宋_GB2312"/>
                <w:color w:val="000000"/>
                <w:sz w:val="22"/>
                <w:szCs w:val="22"/>
              </w:rPr>
            </w:pPr>
            <w:r>
              <w:rPr>
                <w:rFonts w:hint="eastAsia" w:ascii="仿宋_GB2312" w:hAnsi="仿宋_GB2312"/>
                <w:color w:val="000000"/>
                <w:sz w:val="22"/>
                <w:szCs w:val="22"/>
              </w:rPr>
              <w:t>《中华人民共和国社会保险法》第二十九条：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14:paraId="364F41E2">
            <w:pPr>
              <w:autoSpaceDN w:val="0"/>
              <w:spacing w:line="300" w:lineRule="exact"/>
              <w:textAlignment w:val="center"/>
              <w:rPr>
                <w:rFonts w:ascii="仿宋_GB2312" w:hAnsi="仿宋_GB2312"/>
                <w:color w:val="000000"/>
                <w:sz w:val="22"/>
                <w:szCs w:val="22"/>
              </w:rPr>
            </w:pPr>
          </w:p>
        </w:tc>
        <w:tc>
          <w:tcPr>
            <w:tcW w:w="3744" w:type="dxa"/>
            <w:vAlign w:val="center"/>
          </w:tcPr>
          <w:p w14:paraId="1534F107">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1、受理责任：依法受理、办理本级管辖范围内基本医疗保险参保人员异地就医备案；</w:t>
            </w:r>
          </w:p>
          <w:p w14:paraId="4D4664F3">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2、公示责任：依法依规公示办理依据、办理条件、办理程序、办理期限等内容。</w:t>
            </w:r>
          </w:p>
          <w:p w14:paraId="6F65E81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3、监督责任：对已办理服务对象提供信息的真实性、准确性进行监督检查，对服务对象的不当行为进行纠正；</w:t>
            </w:r>
          </w:p>
          <w:p w14:paraId="083D07AC">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4、其他法律法规规章文件规定应履行的责任。</w:t>
            </w:r>
          </w:p>
        </w:tc>
        <w:tc>
          <w:tcPr>
            <w:tcW w:w="3144" w:type="dxa"/>
            <w:vAlign w:val="center"/>
          </w:tcPr>
          <w:p w14:paraId="34F8FFEA">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14:paraId="1DE4934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1、对参保人员异地就医备案应当依法受理、不受理的；</w:t>
            </w:r>
          </w:p>
          <w:p w14:paraId="599B8F2E">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2.泄露参保人员备案相关信息的；</w:t>
            </w:r>
          </w:p>
          <w:p w14:paraId="3FB728AF">
            <w:pPr>
              <w:autoSpaceDN w:val="0"/>
              <w:spacing w:line="300" w:lineRule="exact"/>
              <w:textAlignment w:val="center"/>
              <w:rPr>
                <w:rFonts w:ascii="仿宋_GB2312" w:hAnsi="仿宋_GB2312"/>
                <w:color w:val="000000"/>
                <w:sz w:val="22"/>
                <w:szCs w:val="22"/>
              </w:rPr>
            </w:pPr>
            <w:r>
              <w:rPr>
                <w:rFonts w:hint="eastAsia" w:ascii="仿宋_GB2312" w:hAnsi="仿宋_GB2312"/>
                <w:color w:val="000000"/>
                <w:sz w:val="22"/>
                <w:szCs w:val="22"/>
              </w:rPr>
              <w:t>3、工作中滥</w:t>
            </w:r>
            <w:bookmarkStart w:id="0" w:name="_GoBack"/>
            <w:bookmarkEnd w:id="0"/>
            <w:r>
              <w:rPr>
                <w:rFonts w:hint="eastAsia" w:ascii="仿宋_GB2312" w:hAnsi="仿宋_GB2312"/>
                <w:color w:val="000000"/>
                <w:sz w:val="22"/>
                <w:szCs w:val="22"/>
              </w:rPr>
              <w:t>用职权、徇私舞弊、玩忽职守造成不良后果的；</w:t>
            </w:r>
          </w:p>
          <w:p w14:paraId="3A5E254C">
            <w:pPr>
              <w:autoSpaceDN w:val="0"/>
              <w:spacing w:line="300" w:lineRule="exact"/>
              <w:textAlignment w:val="center"/>
              <w:rPr>
                <w:rFonts w:ascii="仿宋_GB2312" w:hAns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87" w:type="dxa"/>
            <w:vAlign w:val="center"/>
          </w:tcPr>
          <w:p w14:paraId="5E7F22BE">
            <w:pPr>
              <w:autoSpaceDN w:val="0"/>
              <w:spacing w:line="300" w:lineRule="exact"/>
              <w:jc w:val="center"/>
              <w:textAlignment w:val="center"/>
              <w:rPr>
                <w:rFonts w:ascii="仿宋_GB2312" w:hAnsi="仿宋_GB2312"/>
                <w:color w:val="000000"/>
                <w:sz w:val="22"/>
                <w:szCs w:val="22"/>
              </w:rPr>
            </w:pPr>
          </w:p>
        </w:tc>
      </w:tr>
    </w:tbl>
    <w:p w14:paraId="37CF46C4">
      <w:pPr>
        <w:spacing w:line="400" w:lineRule="exact"/>
        <w:ind w:firstLine="480" w:firstLineChars="200"/>
        <w:rPr>
          <w:rFonts w:ascii="楷体_GB2312" w:hAnsi="楷体_GB2312" w:eastAsia="楷体_GB2312"/>
          <w:sz w:val="24"/>
        </w:rPr>
      </w:pPr>
    </w:p>
    <w:p w14:paraId="4FFAABCC"/>
    <w:sectPr>
      <w:pgSz w:w="16838" w:h="11906" w:orient="landscape"/>
      <w:pgMar w:top="964" w:right="397" w:bottom="397" w:left="397" w:header="851" w:footer="992" w:gutter="0"/>
      <w:cols w:space="0" w:num="1"/>
      <w:docGrid w:type="line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40"/>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4A2E54"/>
    <w:rsid w:val="00026CD4"/>
    <w:rsid w:val="001641DD"/>
    <w:rsid w:val="00183190"/>
    <w:rsid w:val="00264436"/>
    <w:rsid w:val="002D0239"/>
    <w:rsid w:val="003B29F0"/>
    <w:rsid w:val="003D4F47"/>
    <w:rsid w:val="005040DE"/>
    <w:rsid w:val="008D5A13"/>
    <w:rsid w:val="00B52ED4"/>
    <w:rsid w:val="00B904B9"/>
    <w:rsid w:val="00C27D3A"/>
    <w:rsid w:val="00E032E2"/>
    <w:rsid w:val="00E65038"/>
    <w:rsid w:val="00EF4674"/>
    <w:rsid w:val="01260504"/>
    <w:rsid w:val="012E48B9"/>
    <w:rsid w:val="014B67BA"/>
    <w:rsid w:val="015D43F1"/>
    <w:rsid w:val="016131F3"/>
    <w:rsid w:val="01AF37C5"/>
    <w:rsid w:val="020240E1"/>
    <w:rsid w:val="02574FB7"/>
    <w:rsid w:val="027642EC"/>
    <w:rsid w:val="028271DF"/>
    <w:rsid w:val="02AF398C"/>
    <w:rsid w:val="02F372F2"/>
    <w:rsid w:val="03043BC5"/>
    <w:rsid w:val="03A8611F"/>
    <w:rsid w:val="03B0298E"/>
    <w:rsid w:val="03BB2984"/>
    <w:rsid w:val="03D37826"/>
    <w:rsid w:val="04112D3A"/>
    <w:rsid w:val="04115588"/>
    <w:rsid w:val="042E1588"/>
    <w:rsid w:val="04683010"/>
    <w:rsid w:val="050E148F"/>
    <w:rsid w:val="053B0BA1"/>
    <w:rsid w:val="059F35A2"/>
    <w:rsid w:val="05A71B54"/>
    <w:rsid w:val="05C161A5"/>
    <w:rsid w:val="06562033"/>
    <w:rsid w:val="0745201F"/>
    <w:rsid w:val="07595B89"/>
    <w:rsid w:val="077027F3"/>
    <w:rsid w:val="07720A33"/>
    <w:rsid w:val="077457F9"/>
    <w:rsid w:val="07992C65"/>
    <w:rsid w:val="07C413C1"/>
    <w:rsid w:val="07F1253B"/>
    <w:rsid w:val="08023E0F"/>
    <w:rsid w:val="08A24D8A"/>
    <w:rsid w:val="08B55046"/>
    <w:rsid w:val="08E55248"/>
    <w:rsid w:val="092807A2"/>
    <w:rsid w:val="09663694"/>
    <w:rsid w:val="0A2075B2"/>
    <w:rsid w:val="0A67148E"/>
    <w:rsid w:val="0A793B32"/>
    <w:rsid w:val="0AC03AE4"/>
    <w:rsid w:val="0B275FA5"/>
    <w:rsid w:val="0B4C187E"/>
    <w:rsid w:val="0B5E4037"/>
    <w:rsid w:val="0BD7425E"/>
    <w:rsid w:val="0BE94B4E"/>
    <w:rsid w:val="0C01587B"/>
    <w:rsid w:val="0C1D1640"/>
    <w:rsid w:val="0C3B1A9C"/>
    <w:rsid w:val="0C4048B9"/>
    <w:rsid w:val="0C4C57C9"/>
    <w:rsid w:val="0C7552D8"/>
    <w:rsid w:val="0D744FEB"/>
    <w:rsid w:val="0D7D524A"/>
    <w:rsid w:val="0D880B19"/>
    <w:rsid w:val="0DB255E5"/>
    <w:rsid w:val="0DFB75B0"/>
    <w:rsid w:val="0ECF4E8C"/>
    <w:rsid w:val="0F2F2DC3"/>
    <w:rsid w:val="0F4A2E54"/>
    <w:rsid w:val="0F5B46BF"/>
    <w:rsid w:val="0FE6065C"/>
    <w:rsid w:val="100707A5"/>
    <w:rsid w:val="103F6174"/>
    <w:rsid w:val="107A53B0"/>
    <w:rsid w:val="109B0EF9"/>
    <w:rsid w:val="10D078C2"/>
    <w:rsid w:val="11CF7C60"/>
    <w:rsid w:val="12A01CF7"/>
    <w:rsid w:val="13157781"/>
    <w:rsid w:val="13217E57"/>
    <w:rsid w:val="133F6D81"/>
    <w:rsid w:val="137220FE"/>
    <w:rsid w:val="138C387D"/>
    <w:rsid w:val="13E02804"/>
    <w:rsid w:val="13F54010"/>
    <w:rsid w:val="14184A96"/>
    <w:rsid w:val="146F5876"/>
    <w:rsid w:val="14CB7FA5"/>
    <w:rsid w:val="14E244AE"/>
    <w:rsid w:val="14F97943"/>
    <w:rsid w:val="157F0EA2"/>
    <w:rsid w:val="15EF1E23"/>
    <w:rsid w:val="16232AB6"/>
    <w:rsid w:val="16246498"/>
    <w:rsid w:val="162C6302"/>
    <w:rsid w:val="16385413"/>
    <w:rsid w:val="16C43EFD"/>
    <w:rsid w:val="16D7565C"/>
    <w:rsid w:val="16F90E68"/>
    <w:rsid w:val="173F0680"/>
    <w:rsid w:val="17767301"/>
    <w:rsid w:val="17D168E6"/>
    <w:rsid w:val="17EB5169"/>
    <w:rsid w:val="18197EE6"/>
    <w:rsid w:val="181A1358"/>
    <w:rsid w:val="182D458E"/>
    <w:rsid w:val="18441237"/>
    <w:rsid w:val="18B123F5"/>
    <w:rsid w:val="18BF5336"/>
    <w:rsid w:val="19710EFD"/>
    <w:rsid w:val="198C62DA"/>
    <w:rsid w:val="199A357F"/>
    <w:rsid w:val="1A0517D8"/>
    <w:rsid w:val="1A083D6F"/>
    <w:rsid w:val="1A1603B0"/>
    <w:rsid w:val="1A4178C9"/>
    <w:rsid w:val="1A9277C5"/>
    <w:rsid w:val="1ADF54AF"/>
    <w:rsid w:val="1B703008"/>
    <w:rsid w:val="1BCF6F3E"/>
    <w:rsid w:val="1BD31D8D"/>
    <w:rsid w:val="1C8E1259"/>
    <w:rsid w:val="1CC6612B"/>
    <w:rsid w:val="1D7C45F8"/>
    <w:rsid w:val="1D97177C"/>
    <w:rsid w:val="1DC2510D"/>
    <w:rsid w:val="1DDA08BB"/>
    <w:rsid w:val="1DDC4E9E"/>
    <w:rsid w:val="1DF15907"/>
    <w:rsid w:val="1F2C7A66"/>
    <w:rsid w:val="1F397B5C"/>
    <w:rsid w:val="1F5836E0"/>
    <w:rsid w:val="1F590C97"/>
    <w:rsid w:val="1F744CD8"/>
    <w:rsid w:val="20133930"/>
    <w:rsid w:val="20A53D0D"/>
    <w:rsid w:val="20AE0446"/>
    <w:rsid w:val="20BE7C8F"/>
    <w:rsid w:val="20E46CD8"/>
    <w:rsid w:val="21583A0C"/>
    <w:rsid w:val="21AE4629"/>
    <w:rsid w:val="21C210A9"/>
    <w:rsid w:val="21F636AC"/>
    <w:rsid w:val="22254E18"/>
    <w:rsid w:val="229A418D"/>
    <w:rsid w:val="22B505B6"/>
    <w:rsid w:val="22DE0238"/>
    <w:rsid w:val="22EF4C72"/>
    <w:rsid w:val="22F74EA0"/>
    <w:rsid w:val="23101519"/>
    <w:rsid w:val="23181B03"/>
    <w:rsid w:val="23203368"/>
    <w:rsid w:val="2352138C"/>
    <w:rsid w:val="23D45B07"/>
    <w:rsid w:val="23F558D7"/>
    <w:rsid w:val="244A4B64"/>
    <w:rsid w:val="246C0357"/>
    <w:rsid w:val="252D795E"/>
    <w:rsid w:val="26005C02"/>
    <w:rsid w:val="260976EE"/>
    <w:rsid w:val="26AB34AC"/>
    <w:rsid w:val="2703192A"/>
    <w:rsid w:val="276305C7"/>
    <w:rsid w:val="27642843"/>
    <w:rsid w:val="2779396C"/>
    <w:rsid w:val="277C0026"/>
    <w:rsid w:val="27A12F7C"/>
    <w:rsid w:val="27BE4785"/>
    <w:rsid w:val="27CF6F88"/>
    <w:rsid w:val="27FF68FB"/>
    <w:rsid w:val="28625C0D"/>
    <w:rsid w:val="28827F66"/>
    <w:rsid w:val="2889354C"/>
    <w:rsid w:val="291812D9"/>
    <w:rsid w:val="291D0160"/>
    <w:rsid w:val="29C80F86"/>
    <w:rsid w:val="2A454A26"/>
    <w:rsid w:val="2AA77887"/>
    <w:rsid w:val="2AB62E6C"/>
    <w:rsid w:val="2ACE4FE9"/>
    <w:rsid w:val="2B9411CB"/>
    <w:rsid w:val="2B9E78E9"/>
    <w:rsid w:val="2C3346DE"/>
    <w:rsid w:val="2C743906"/>
    <w:rsid w:val="2CB0181B"/>
    <w:rsid w:val="2CE806E5"/>
    <w:rsid w:val="2D0B507A"/>
    <w:rsid w:val="2D1C428E"/>
    <w:rsid w:val="2D3A3D42"/>
    <w:rsid w:val="2D74523D"/>
    <w:rsid w:val="2DFE78AA"/>
    <w:rsid w:val="2E4200AC"/>
    <w:rsid w:val="2E456EF4"/>
    <w:rsid w:val="2E98151B"/>
    <w:rsid w:val="2EAD1BF6"/>
    <w:rsid w:val="2F264491"/>
    <w:rsid w:val="2F2D1BD2"/>
    <w:rsid w:val="2F81360A"/>
    <w:rsid w:val="302C2584"/>
    <w:rsid w:val="305F34A0"/>
    <w:rsid w:val="3084772A"/>
    <w:rsid w:val="30C26D4E"/>
    <w:rsid w:val="30C6482C"/>
    <w:rsid w:val="31051061"/>
    <w:rsid w:val="312A7E00"/>
    <w:rsid w:val="31561600"/>
    <w:rsid w:val="32140300"/>
    <w:rsid w:val="3215301F"/>
    <w:rsid w:val="321B4EDA"/>
    <w:rsid w:val="322C5F62"/>
    <w:rsid w:val="329908EA"/>
    <w:rsid w:val="33722B6E"/>
    <w:rsid w:val="33800FA7"/>
    <w:rsid w:val="33DA271C"/>
    <w:rsid w:val="33FF566E"/>
    <w:rsid w:val="341E32A9"/>
    <w:rsid w:val="348602CC"/>
    <w:rsid w:val="34BC2C62"/>
    <w:rsid w:val="351331CA"/>
    <w:rsid w:val="35603817"/>
    <w:rsid w:val="356176EF"/>
    <w:rsid w:val="358565C4"/>
    <w:rsid w:val="35887D95"/>
    <w:rsid w:val="36452B7C"/>
    <w:rsid w:val="364819D2"/>
    <w:rsid w:val="36627155"/>
    <w:rsid w:val="36631976"/>
    <w:rsid w:val="369D411A"/>
    <w:rsid w:val="36B819FA"/>
    <w:rsid w:val="36CE4C6C"/>
    <w:rsid w:val="36D14CAA"/>
    <w:rsid w:val="36DC3C78"/>
    <w:rsid w:val="3723135D"/>
    <w:rsid w:val="37CF5B79"/>
    <w:rsid w:val="38297581"/>
    <w:rsid w:val="385A409F"/>
    <w:rsid w:val="38A11FF1"/>
    <w:rsid w:val="38CB477E"/>
    <w:rsid w:val="38CD11D8"/>
    <w:rsid w:val="38DC666E"/>
    <w:rsid w:val="38ED4286"/>
    <w:rsid w:val="38FD76A3"/>
    <w:rsid w:val="39112D88"/>
    <w:rsid w:val="392A290A"/>
    <w:rsid w:val="39906F65"/>
    <w:rsid w:val="39C43830"/>
    <w:rsid w:val="39F56C7E"/>
    <w:rsid w:val="3A0970E1"/>
    <w:rsid w:val="3AA43608"/>
    <w:rsid w:val="3AAE5CA1"/>
    <w:rsid w:val="3AC40737"/>
    <w:rsid w:val="3B002D6B"/>
    <w:rsid w:val="3B2D4B79"/>
    <w:rsid w:val="3B494DC5"/>
    <w:rsid w:val="3B4B5C4C"/>
    <w:rsid w:val="3B6D29AF"/>
    <w:rsid w:val="3BA337A0"/>
    <w:rsid w:val="3C054E97"/>
    <w:rsid w:val="3C7F3AEB"/>
    <w:rsid w:val="3CCF7C8B"/>
    <w:rsid w:val="3D6C4EAB"/>
    <w:rsid w:val="3D9A5EC5"/>
    <w:rsid w:val="3E5662CC"/>
    <w:rsid w:val="3E6C77C7"/>
    <w:rsid w:val="3E7773F9"/>
    <w:rsid w:val="3EAB48AF"/>
    <w:rsid w:val="3EDC13D4"/>
    <w:rsid w:val="3EDE7E49"/>
    <w:rsid w:val="3F1508F9"/>
    <w:rsid w:val="3FA053A4"/>
    <w:rsid w:val="3FA55288"/>
    <w:rsid w:val="3FAE0CAE"/>
    <w:rsid w:val="3FC35562"/>
    <w:rsid w:val="40344ECB"/>
    <w:rsid w:val="40482040"/>
    <w:rsid w:val="40C42920"/>
    <w:rsid w:val="41E50F20"/>
    <w:rsid w:val="420B08CE"/>
    <w:rsid w:val="42893EC1"/>
    <w:rsid w:val="42A55AD8"/>
    <w:rsid w:val="42CB588A"/>
    <w:rsid w:val="43BA4423"/>
    <w:rsid w:val="441A6BB0"/>
    <w:rsid w:val="441C5EC4"/>
    <w:rsid w:val="44207B55"/>
    <w:rsid w:val="442C4B14"/>
    <w:rsid w:val="444C00AD"/>
    <w:rsid w:val="44690CD8"/>
    <w:rsid w:val="44D23F26"/>
    <w:rsid w:val="45495BDA"/>
    <w:rsid w:val="45521B2F"/>
    <w:rsid w:val="4556689C"/>
    <w:rsid w:val="457C54E4"/>
    <w:rsid w:val="46093209"/>
    <w:rsid w:val="46A66C70"/>
    <w:rsid w:val="46B1111D"/>
    <w:rsid w:val="46C946A9"/>
    <w:rsid w:val="47662241"/>
    <w:rsid w:val="479A2493"/>
    <w:rsid w:val="47DC0B10"/>
    <w:rsid w:val="480901F9"/>
    <w:rsid w:val="48483DDF"/>
    <w:rsid w:val="48520470"/>
    <w:rsid w:val="48BA3384"/>
    <w:rsid w:val="48CB3B4D"/>
    <w:rsid w:val="49194F05"/>
    <w:rsid w:val="495C2CEF"/>
    <w:rsid w:val="49920BED"/>
    <w:rsid w:val="4A6431EF"/>
    <w:rsid w:val="4AB81078"/>
    <w:rsid w:val="4ABB0C65"/>
    <w:rsid w:val="4B320869"/>
    <w:rsid w:val="4B60237E"/>
    <w:rsid w:val="4B7B590F"/>
    <w:rsid w:val="4BBA7AF5"/>
    <w:rsid w:val="4C1348DF"/>
    <w:rsid w:val="4C5751DC"/>
    <w:rsid w:val="4C8B33D8"/>
    <w:rsid w:val="4CBB7354"/>
    <w:rsid w:val="4CC933A4"/>
    <w:rsid w:val="4CE14E37"/>
    <w:rsid w:val="4CE4450F"/>
    <w:rsid w:val="4D0D5607"/>
    <w:rsid w:val="4D2745BF"/>
    <w:rsid w:val="4E2C743A"/>
    <w:rsid w:val="4E4423D3"/>
    <w:rsid w:val="4E71365E"/>
    <w:rsid w:val="4E8512B2"/>
    <w:rsid w:val="4EB524EC"/>
    <w:rsid w:val="4EE233BA"/>
    <w:rsid w:val="4F0D349F"/>
    <w:rsid w:val="4F7B58D6"/>
    <w:rsid w:val="4F881BDE"/>
    <w:rsid w:val="4F9412B8"/>
    <w:rsid w:val="4FA630C9"/>
    <w:rsid w:val="4FE41FCE"/>
    <w:rsid w:val="500F4415"/>
    <w:rsid w:val="507C1A9E"/>
    <w:rsid w:val="510E14B4"/>
    <w:rsid w:val="51594781"/>
    <w:rsid w:val="51B0386F"/>
    <w:rsid w:val="51D260BC"/>
    <w:rsid w:val="52150468"/>
    <w:rsid w:val="521E264A"/>
    <w:rsid w:val="52353494"/>
    <w:rsid w:val="525F126A"/>
    <w:rsid w:val="52794644"/>
    <w:rsid w:val="529A652C"/>
    <w:rsid w:val="52B9121A"/>
    <w:rsid w:val="52E15415"/>
    <w:rsid w:val="535D0A9B"/>
    <w:rsid w:val="536C11D5"/>
    <w:rsid w:val="5393057B"/>
    <w:rsid w:val="53AB4FCA"/>
    <w:rsid w:val="53C75FC4"/>
    <w:rsid w:val="54192E36"/>
    <w:rsid w:val="54516BEF"/>
    <w:rsid w:val="548C0961"/>
    <w:rsid w:val="54912E55"/>
    <w:rsid w:val="54A97B72"/>
    <w:rsid w:val="55334C41"/>
    <w:rsid w:val="55366E7E"/>
    <w:rsid w:val="55B57788"/>
    <w:rsid w:val="56426BF2"/>
    <w:rsid w:val="577E5886"/>
    <w:rsid w:val="57856C4F"/>
    <w:rsid w:val="57AD0D36"/>
    <w:rsid w:val="57C516B1"/>
    <w:rsid w:val="57E02DBF"/>
    <w:rsid w:val="58346797"/>
    <w:rsid w:val="587A050C"/>
    <w:rsid w:val="587B1981"/>
    <w:rsid w:val="5886189A"/>
    <w:rsid w:val="58870107"/>
    <w:rsid w:val="58D40835"/>
    <w:rsid w:val="598D0825"/>
    <w:rsid w:val="59AC7B02"/>
    <w:rsid w:val="59E93470"/>
    <w:rsid w:val="5A237216"/>
    <w:rsid w:val="5AA924D7"/>
    <w:rsid w:val="5B876532"/>
    <w:rsid w:val="5B9B6374"/>
    <w:rsid w:val="5BD54241"/>
    <w:rsid w:val="5C196749"/>
    <w:rsid w:val="5C6B7B3D"/>
    <w:rsid w:val="5C714432"/>
    <w:rsid w:val="5CA120FE"/>
    <w:rsid w:val="5CA93A24"/>
    <w:rsid w:val="5CDD7AC6"/>
    <w:rsid w:val="5CFB22D0"/>
    <w:rsid w:val="5D315C26"/>
    <w:rsid w:val="5D5365DB"/>
    <w:rsid w:val="5DB84E80"/>
    <w:rsid w:val="5DD306E7"/>
    <w:rsid w:val="5DE920DB"/>
    <w:rsid w:val="5E2756D4"/>
    <w:rsid w:val="5E88565E"/>
    <w:rsid w:val="5EF7102B"/>
    <w:rsid w:val="5F9078BE"/>
    <w:rsid w:val="5FC164D8"/>
    <w:rsid w:val="5FF91830"/>
    <w:rsid w:val="60106556"/>
    <w:rsid w:val="60721A8D"/>
    <w:rsid w:val="608E04A8"/>
    <w:rsid w:val="6116421D"/>
    <w:rsid w:val="611C3E47"/>
    <w:rsid w:val="61CA2251"/>
    <w:rsid w:val="61DB60A0"/>
    <w:rsid w:val="61E820D4"/>
    <w:rsid w:val="623B3998"/>
    <w:rsid w:val="62490973"/>
    <w:rsid w:val="62B03BB3"/>
    <w:rsid w:val="62BC4ECF"/>
    <w:rsid w:val="62CC20C6"/>
    <w:rsid w:val="62CF1152"/>
    <w:rsid w:val="63013777"/>
    <w:rsid w:val="631270FD"/>
    <w:rsid w:val="631E5351"/>
    <w:rsid w:val="63453226"/>
    <w:rsid w:val="63554BFD"/>
    <w:rsid w:val="635E69B4"/>
    <w:rsid w:val="63AD372F"/>
    <w:rsid w:val="63C20A69"/>
    <w:rsid w:val="63DD0AB5"/>
    <w:rsid w:val="63ED0CA2"/>
    <w:rsid w:val="64300ED2"/>
    <w:rsid w:val="64764975"/>
    <w:rsid w:val="64972A6F"/>
    <w:rsid w:val="649F3405"/>
    <w:rsid w:val="65321724"/>
    <w:rsid w:val="659F3119"/>
    <w:rsid w:val="65E818B9"/>
    <w:rsid w:val="66825A18"/>
    <w:rsid w:val="668C7A9E"/>
    <w:rsid w:val="66E31721"/>
    <w:rsid w:val="66F05A9F"/>
    <w:rsid w:val="66FB5CF5"/>
    <w:rsid w:val="67177DA9"/>
    <w:rsid w:val="672A0265"/>
    <w:rsid w:val="67342531"/>
    <w:rsid w:val="679E2AE3"/>
    <w:rsid w:val="67C34DC0"/>
    <w:rsid w:val="68E23F3E"/>
    <w:rsid w:val="69845707"/>
    <w:rsid w:val="69A11DD3"/>
    <w:rsid w:val="69F15A64"/>
    <w:rsid w:val="6A1409D4"/>
    <w:rsid w:val="6A560F45"/>
    <w:rsid w:val="6A7F732E"/>
    <w:rsid w:val="6A8364BD"/>
    <w:rsid w:val="6B556BB7"/>
    <w:rsid w:val="6B640E5E"/>
    <w:rsid w:val="6B7764C1"/>
    <w:rsid w:val="6BC0382D"/>
    <w:rsid w:val="6BCF0BE9"/>
    <w:rsid w:val="6BD71487"/>
    <w:rsid w:val="6C0F07E5"/>
    <w:rsid w:val="6C4C6280"/>
    <w:rsid w:val="6CA57A59"/>
    <w:rsid w:val="6CD0150E"/>
    <w:rsid w:val="6D027084"/>
    <w:rsid w:val="6D8A3F53"/>
    <w:rsid w:val="6D8A4D77"/>
    <w:rsid w:val="6E087612"/>
    <w:rsid w:val="6E106118"/>
    <w:rsid w:val="6E7D6756"/>
    <w:rsid w:val="6E8554E7"/>
    <w:rsid w:val="6E8918D5"/>
    <w:rsid w:val="6F3B5392"/>
    <w:rsid w:val="6FDF21F2"/>
    <w:rsid w:val="6FFE3F01"/>
    <w:rsid w:val="70134D61"/>
    <w:rsid w:val="70981D83"/>
    <w:rsid w:val="70E23371"/>
    <w:rsid w:val="71034CC6"/>
    <w:rsid w:val="711577E5"/>
    <w:rsid w:val="71393743"/>
    <w:rsid w:val="71682301"/>
    <w:rsid w:val="7176144B"/>
    <w:rsid w:val="71880977"/>
    <w:rsid w:val="71E66C63"/>
    <w:rsid w:val="71F03EFA"/>
    <w:rsid w:val="71FF3F88"/>
    <w:rsid w:val="72037A4B"/>
    <w:rsid w:val="721B6771"/>
    <w:rsid w:val="72423B34"/>
    <w:rsid w:val="727C321E"/>
    <w:rsid w:val="72A73C6F"/>
    <w:rsid w:val="72AA6EE8"/>
    <w:rsid w:val="72D76E99"/>
    <w:rsid w:val="737B6168"/>
    <w:rsid w:val="73D27055"/>
    <w:rsid w:val="73E208E1"/>
    <w:rsid w:val="73FC73C9"/>
    <w:rsid w:val="740136DD"/>
    <w:rsid w:val="74304F43"/>
    <w:rsid w:val="746D29B8"/>
    <w:rsid w:val="74952401"/>
    <w:rsid w:val="749A2D06"/>
    <w:rsid w:val="74BE0A91"/>
    <w:rsid w:val="74E07068"/>
    <w:rsid w:val="7540694D"/>
    <w:rsid w:val="76876A9D"/>
    <w:rsid w:val="768D4881"/>
    <w:rsid w:val="76C53B7D"/>
    <w:rsid w:val="774F1376"/>
    <w:rsid w:val="77F554ED"/>
    <w:rsid w:val="781110A6"/>
    <w:rsid w:val="783378D6"/>
    <w:rsid w:val="78396995"/>
    <w:rsid w:val="78464465"/>
    <w:rsid w:val="784D0AA4"/>
    <w:rsid w:val="78674EB6"/>
    <w:rsid w:val="786E52B6"/>
    <w:rsid w:val="78D84CC3"/>
    <w:rsid w:val="78D862E1"/>
    <w:rsid w:val="795E52BF"/>
    <w:rsid w:val="79760849"/>
    <w:rsid w:val="79FC31B1"/>
    <w:rsid w:val="7A1C46F0"/>
    <w:rsid w:val="7A2D57C1"/>
    <w:rsid w:val="7A81649F"/>
    <w:rsid w:val="7A9E1E3E"/>
    <w:rsid w:val="7AC6499D"/>
    <w:rsid w:val="7B291CB7"/>
    <w:rsid w:val="7B5E3ED4"/>
    <w:rsid w:val="7B644734"/>
    <w:rsid w:val="7B6B21F3"/>
    <w:rsid w:val="7BA646C2"/>
    <w:rsid w:val="7BCC5F63"/>
    <w:rsid w:val="7C3374DE"/>
    <w:rsid w:val="7C7775F6"/>
    <w:rsid w:val="7C930E77"/>
    <w:rsid w:val="7CBB4EEF"/>
    <w:rsid w:val="7CE13D5A"/>
    <w:rsid w:val="7D534384"/>
    <w:rsid w:val="7DA24A7F"/>
    <w:rsid w:val="7E062C24"/>
    <w:rsid w:val="7E0A60A1"/>
    <w:rsid w:val="7E564414"/>
    <w:rsid w:val="7E58338C"/>
    <w:rsid w:val="7E7C4CB7"/>
    <w:rsid w:val="7E9612A5"/>
    <w:rsid w:val="7F3734DA"/>
    <w:rsid w:val="7F6B4245"/>
    <w:rsid w:val="7F875871"/>
    <w:rsid w:val="7FDE3758"/>
    <w:rsid w:val="7FE241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3">
    <w:name w:val="heading 3"/>
    <w:basedOn w:val="1"/>
    <w:next w:val="1"/>
    <w:unhideWhenUsed/>
    <w:qFormat/>
    <w:uiPriority w:val="0"/>
    <w:pPr>
      <w:keepNext/>
      <w:keepLines/>
      <w:spacing w:line="600" w:lineRule="exact"/>
      <w:outlineLvl w:val="2"/>
    </w:p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styleId="12">
    <w:name w:val="HTML Cite"/>
    <w:basedOn w:val="8"/>
    <w:qFormat/>
    <w:uiPriority w:val="0"/>
  </w:style>
  <w:style w:type="character" w:customStyle="1" w:styleId="13">
    <w:name w:val="bsharetext"/>
    <w:basedOn w:val="8"/>
    <w:qFormat/>
    <w:uiPriority w:val="0"/>
  </w:style>
  <w:style w:type="character" w:customStyle="1" w:styleId="14">
    <w:name w:val="页眉 Char"/>
    <w:basedOn w:val="8"/>
    <w:link w:val="5"/>
    <w:qFormat/>
    <w:uiPriority w:val="0"/>
    <w:rPr>
      <w:rFonts w:eastAsia="仿宋_GB2312" w:asciiTheme="minorHAnsi" w:hAnsiTheme="minorHAnsi" w:cstheme="minorBidi"/>
      <w:kern w:val="2"/>
      <w:sz w:val="18"/>
      <w:szCs w:val="18"/>
    </w:rPr>
  </w:style>
  <w:style w:type="character" w:customStyle="1" w:styleId="15">
    <w:name w:val="页脚 Char"/>
    <w:basedOn w:val="8"/>
    <w:link w:val="4"/>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13907</Words>
  <Characters>14010</Characters>
  <Lines>102</Lines>
  <Paragraphs>28</Paragraphs>
  <TotalTime>6</TotalTime>
  <ScaleCrop>false</ScaleCrop>
  <LinksUpToDate>false</LinksUpToDate>
  <CharactersWithSpaces>14025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2020-11-02T08:34:00Z</dcterms:created>
  <dc:creator>lenovo</dc:creator>
  <cp:lastModifiedBy>3d2y</cp:lastModifiedBy>
  <cp:lastPrinted>2024-12-25T01:05:00Z</cp:lastPrinted>
  <dcterms:modified xsi:type="dcterms:W3CDTF">2025-02-28T05:45:36Z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B03DC00DB6A54C37B01D05E0BC497629</vt:lpwstr>
  </property>
  <property fmtid="{D5CDD505-2E9C-101B-9397-08002B2CF9AE}" pid="4" name="KSOTemplateDocerSaveRecord">
    <vt:lpwstr>eyJoZGlkIjoiYWJlODkzZDZlMjBkMGNiZDlkYWVhYTk2NTMxN2Y4NDgiLCJ1c2VySWQiOiI1ODAwMzMzNzEifQ==</vt:lpwstr>
  </property>
</Properties>
</file>