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line="560" w:lineRule="exact"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Bdr/>
        <w:spacing w:line="560" w:lineRule="exact"/>
        <w:ind/>
        <w:rPr/>
      </w:pPr>
      <w:r>
        <w:t xml:space="preserve">  </w:t>
      </w:r>
      <w:r/>
    </w:p>
    <w:p>
      <w:pPr>
        <w:pBdr/>
        <w:spacing w:line="560" w:lineRule="exact"/>
        <w:ind w:firstLine="220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 xml:space="preserve">遵化市东新庄镇人民政府</w:t>
      </w:r>
      <w:r>
        <w:rPr>
          <w:rFonts w:hint="eastAsia" w:asciiTheme="minorEastAsia" w:hAnsiTheme="minorEastAsia" w:eastAsiaTheme="minorEastAsia"/>
          <w:sz w:val="44"/>
          <w:szCs w:val="44"/>
        </w:rPr>
      </w:r>
    </w:p>
    <w:p>
      <w:pPr>
        <w:pBdr/>
        <w:spacing w:line="560" w:lineRule="exact"/>
        <w:ind w:firstLine="220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 xml:space="preserve">2016年度</w:t>
      </w:r>
      <w:r>
        <w:rPr>
          <w:rFonts w:hint="eastAsia" w:asciiTheme="minorEastAsia" w:hAnsiTheme="minorEastAsia" w:eastAsiaTheme="minorEastAsia"/>
          <w:sz w:val="44"/>
          <w:szCs w:val="44"/>
        </w:rPr>
        <w:t xml:space="preserve">决算公开</w:t>
      </w:r>
      <w:r>
        <w:rPr>
          <w:rFonts w:hint="eastAsia" w:asciiTheme="minorEastAsia" w:hAnsiTheme="minorEastAsia" w:eastAsiaTheme="minorEastAsia"/>
          <w:sz w:val="44"/>
          <w:szCs w:val="44"/>
        </w:rPr>
      </w:r>
    </w:p>
    <w:p>
      <w:pPr>
        <w:pBdr/>
        <w:spacing w:line="560" w:lineRule="exact"/>
        <w:ind w:firstLine="220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 xml:space="preserve">说</w:t>
      </w:r>
      <w:r>
        <w:rPr>
          <w:rFonts w:hint="eastAsia" w:asciiTheme="minorEastAsia" w:hAnsiTheme="minorEastAsia" w:eastAsiaTheme="minorEastAsia"/>
          <w:sz w:val="44"/>
          <w:szCs w:val="44"/>
        </w:rPr>
        <w:t xml:space="preserve">    </w:t>
      </w:r>
      <w:r>
        <w:rPr>
          <w:rFonts w:hint="eastAsia" w:asciiTheme="minorEastAsia" w:hAnsiTheme="minorEastAsia" w:eastAsiaTheme="minorEastAsia"/>
          <w:sz w:val="44"/>
          <w:szCs w:val="44"/>
        </w:rPr>
        <w:t xml:space="preserve">明</w:t>
      </w:r>
      <w:r>
        <w:rPr>
          <w:rFonts w:asciiTheme="minorEastAsia" w:hAnsiTheme="minorEastAsia" w:eastAsiaTheme="minorEastAsia"/>
          <w:sz w:val="44"/>
          <w:szCs w:val="44"/>
        </w:rPr>
      </w:r>
    </w:p>
    <w:p>
      <w:pPr>
        <w:pBdr/>
        <w:spacing w:line="560" w:lineRule="exact"/>
        <w:ind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第一部分</w:t>
      </w:r>
      <w:r>
        <w:rPr>
          <w:rFonts w:asciiTheme="minorEastAsia" w:hAnsiTheme="minorEastAsia" w:eastAsia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部门概况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一、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部门职责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widowControl w:val="true"/>
        <w:pBdr/>
        <w:tabs>
          <w:tab w:val="left" w:leader="none" w:pos="5552"/>
          <w:tab w:val="left" w:leader="none" w:pos="7323"/>
          <w:tab w:val="left" w:leader="none" w:pos="12218"/>
          <w:tab w:val="left" w:leader="none" w:pos="14365"/>
          <w:tab w:val="left" w:leader="none" w:pos="17759"/>
          <w:tab w:val="left" w:leader="none" w:pos="19300"/>
          <w:tab w:val="left" w:leader="none" w:pos="20220"/>
        </w:tabs>
        <w:spacing w:line="560" w:lineRule="exact"/>
        <w:ind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 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单位主要职责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根据《唐山市机构编制委员会关于印发〈遵化市乡镇机构改革方案〉的通知》（唐机编字［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2011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］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47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号），结合工作实际，制定本方案。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黑体" w:asciiTheme="minorEastAsia" w:hAnsiTheme="minorEastAsia" w:eastAsiaTheme="minorEastAsia"/>
          <w:b/>
          <w:sz w:val="32"/>
          <w:szCs w:val="32"/>
        </w:rPr>
      </w:pPr>
      <w:r>
        <w:rPr>
          <w:rFonts w:cs="黑体" w:asciiTheme="minorEastAsia" w:hAnsiTheme="minorEastAsia" w:eastAsiaTheme="minorEastAsia"/>
          <w:b/>
          <w:sz w:val="32"/>
          <w:szCs w:val="32"/>
        </w:rPr>
        <w:t xml:space="preserve">(</w:t>
      </w:r>
      <w:r>
        <w:rPr>
          <w:rFonts w:hint="eastAsia" w:cs="黑体" w:asciiTheme="minorEastAsia" w:hAnsiTheme="minorEastAsia" w:eastAsiaTheme="minorEastAsia"/>
          <w:b/>
          <w:sz w:val="32"/>
          <w:szCs w:val="32"/>
        </w:rPr>
        <w:t xml:space="preserve">一</w:t>
      </w:r>
      <w:r>
        <w:rPr>
          <w:rFonts w:cs="黑体" w:asciiTheme="minorEastAsia" w:hAnsiTheme="minorEastAsia" w:eastAsiaTheme="minorEastAsia"/>
          <w:b/>
          <w:sz w:val="32"/>
          <w:szCs w:val="32"/>
        </w:rPr>
        <w:t xml:space="preserve">)</w:t>
      </w:r>
      <w:r>
        <w:rPr>
          <w:rFonts w:hint="eastAsia" w:cs="黑体" w:asciiTheme="minorEastAsia" w:hAnsiTheme="minorEastAsia" w:eastAsiaTheme="minorEastAsia"/>
          <w:b/>
          <w:sz w:val="32"/>
          <w:szCs w:val="32"/>
        </w:rPr>
        <w:t xml:space="preserve">主要职责</w:t>
      </w:r>
      <w:r>
        <w:rPr>
          <w:rFonts w:cs="黑体" w:asciiTheme="minorEastAsia" w:hAnsiTheme="minorEastAsia" w:eastAsiaTheme="minorEastAsia"/>
          <w:b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贯彻落实党和国家在农村的各项方针政策和法律法规，做好农业、农村、农民工作，现阶段，主要围绕以下四个方面全面履行职责。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sz w:val="32"/>
          <w:szCs w:val="32"/>
        </w:rPr>
        <w:t xml:space="preserve">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、促进经济发展，增加农民收入。依据市国民经济和社会发展中长期规划及年度计划，结合本乡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营造良好的发展环境，提高经济发展的质量和水平，促进招商引资和项目建设工作。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sz w:val="32"/>
          <w:szCs w:val="32"/>
        </w:rPr>
        <w:t xml:space="preserve">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、提供公共服务，着力改善民生。发展农村义务教育、公共卫生、文化体育、广播电视等各项事业，促进农村经济社会协调发展；落实计划生育基本国策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sz w:val="32"/>
          <w:szCs w:val="32"/>
        </w:rPr>
        <w:t xml:space="preserve">3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、加强社会管理，维护农村稳定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完善预警机制，妥善处理公共性、突发性、群体性事件；加强安全生产管理，做好各项安全生产工作的监督检查、隐患排查，落实安全生产责任制。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sz w:val="32"/>
          <w:szCs w:val="32"/>
        </w:rPr>
        <w:t xml:space="preserve">4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、推进基层民主，促进农村和谐。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（二）遵化东新庄镇人民政府部门单位构成</w:t>
      </w:r>
      <w:r>
        <w:rPr>
          <w:rFonts w:cs="仿宋_GB2312" w:asciiTheme="minorEastAsia" w:hAnsiTheme="minorEastAsia" w:eastAsiaTheme="minorEastAsia"/>
          <w:b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按照人口规模分类，东新庄镇为三类乡镇，设置行政机构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3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个，即：党政综合办公室、经济发展办公室、社会事务办公室；设置事业单位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3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个，即：财政所、文化综合服务中心、人口和计划生育服务中心、劳动保障事务站。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楷体_GB2312" w:asciiTheme="minorEastAsia" w:hAnsiTheme="minorEastAsia" w:eastAsiaTheme="minorEastAsia"/>
          <w:b/>
          <w:sz w:val="32"/>
          <w:szCs w:val="32"/>
        </w:rPr>
      </w:pPr>
      <w:r>
        <w:rPr>
          <w:rFonts w:cs="楷体_GB2312" w:asciiTheme="minorEastAsia" w:hAnsiTheme="minorEastAsia" w:eastAsiaTheme="minorEastAsia"/>
          <w:b/>
          <w:sz w:val="32"/>
          <w:szCs w:val="32"/>
        </w:rPr>
        <w:t xml:space="preserve">——</w:t>
      </w:r>
      <w:r>
        <w:rPr>
          <w:rFonts w:cs="楷体_GB2312" w:asciiTheme="minorEastAsia" w:hAnsiTheme="minorEastAsia" w:eastAsiaTheme="minorEastAsia"/>
          <w:b/>
          <w:sz w:val="32"/>
          <w:szCs w:val="32"/>
        </w:rPr>
        <w:t xml:space="preserve">——</w:t>
      </w:r>
      <w:r>
        <w:rPr>
          <w:rFonts w:hint="eastAsia" w:cs="楷体_GB2312" w:asciiTheme="minorEastAsia" w:hAnsiTheme="minorEastAsia" w:eastAsiaTheme="minorEastAsia"/>
          <w:b/>
          <w:sz w:val="32"/>
          <w:szCs w:val="32"/>
        </w:rPr>
        <w:t xml:space="preserve">行政机构</w:t>
      </w:r>
      <w:r>
        <w:rPr>
          <w:rFonts w:cs="楷体_GB2312" w:asciiTheme="minorEastAsia" w:hAnsiTheme="minorEastAsia" w:eastAsiaTheme="minorEastAsia"/>
          <w:b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1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 xml:space="preserve">、党政综合办公室：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机构规格股级，设主任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名。负责综合协调、信息反馈、档案管理和机关事务工作；负责基层党组织建设、党员电化教育管理、机构编制、人事劳资、老干部、干部考核、人大、宣传、统战、纪检、工会、共青团、妇联、武装等工作；负责研究、拟订社会治安综合治理工作计划、阶段性工作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方案和措施并组织实施；分析辖区社会治安形势，有针对性地加强社会治安综合治理工作，组织、协调有关部门开展“严打整治”专项斗争，排查整治治安混乱地区和突出治安问题；加强对公安派出所、人民法庭、司法所等基层政法单位以及村委会、治保会、调委会等基层组织建设的指导，定期组织教育培训，提高基层综治人员的整体素质；负责信访和群众工作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2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 xml:space="preserve">、经济发展办公室：机构规格股级，设主任</w:t>
      </w: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1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 xml:space="preserve">名。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根据本乡经济发展战略，会同有关部门拟定本乡经济发展规划并制定具体政策和措施；负责企业管理、安全生产、工业、农业、水利、畜牧、林业、第三产业发展规划、招商引资、内外贸易、个体私营经济、国有资产管理等工作；负责协调商品市场流通等与经济发展相关的其他工作；负责综合统计和各类经济指标分析工作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3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 xml:space="preserve">、社会事务办公室：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机构规格股级，设主任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名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。负责做好上级各项方针政策、法律法规的贯彻落实；负责低保、优抚、救灾救济等民族工作；负责教育、卫生、文化、旅游等工作；负责贯彻执行人口和计划生育方针政策和法律法规，制定计划生育管理办法和实施细则并组织实施；负责人口（包括流动人口）和计划生育工作，制定人口发展中长期规划和年度计划并组织实施；负责指导、监督各村委会和基层计划生育组织的计划生育工作；负责生育指标管理和发放工作；负责违反计划生育案件的查处和政策咨询；依据《中华人民共和国城乡规划法》规定的权限，负责编制本乡的总体规划、村庄规划；负责本乡建设项目规划管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理与施工管理，配合市相关行政主管部门做好城建规划建设项目工作；负责本乡村容村貌、环境卫生、园林绿化以及市政建设等基础设施的管理；负责村民住宅建设的管理与服务；负责建设统计、建设台账以及建设档案管理等工作；负责协调与社会事务相关的其他工作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楷体_GB2312" w:asciiTheme="minorEastAsia" w:hAnsiTheme="minorEastAsia" w:eastAsiaTheme="minorEastAsia"/>
          <w:b/>
          <w:sz w:val="32"/>
          <w:szCs w:val="32"/>
        </w:rPr>
      </w:pPr>
      <w:r>
        <w:rPr>
          <w:rFonts w:cs="楷体_GB2312" w:asciiTheme="minorEastAsia" w:hAnsiTheme="minorEastAsia" w:eastAsiaTheme="minorEastAsia"/>
          <w:b/>
          <w:sz w:val="32"/>
          <w:szCs w:val="32"/>
        </w:rPr>
        <w:t xml:space="preserve">——</w:t>
      </w:r>
      <w:r>
        <w:rPr>
          <w:rFonts w:cs="楷体_GB2312" w:asciiTheme="minorEastAsia" w:hAnsiTheme="minorEastAsia" w:eastAsiaTheme="minorEastAsia"/>
          <w:b/>
          <w:sz w:val="32"/>
          <w:szCs w:val="32"/>
        </w:rPr>
        <w:t xml:space="preserve">——</w:t>
      </w:r>
      <w:r>
        <w:rPr>
          <w:rFonts w:hint="eastAsia" w:cs="楷体_GB2312" w:asciiTheme="minorEastAsia" w:hAnsiTheme="minorEastAsia" w:eastAsiaTheme="minorEastAsia"/>
          <w:b/>
          <w:sz w:val="32"/>
          <w:szCs w:val="32"/>
        </w:rPr>
        <w:t xml:space="preserve">事业单位</w:t>
      </w:r>
      <w:r>
        <w:rPr>
          <w:rFonts w:cs="楷体_GB2312" w:asciiTheme="minorEastAsia" w:hAnsiTheme="minorEastAsia" w:eastAsiaTheme="minorEastAsia"/>
          <w:b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1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 xml:space="preserve">、财政所：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机构规格股级，全额事业编制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7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名，设所长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名。负责财税征管入库、编制执行财政收支预决算、管理本级政府经费收支等工作；负责农村合作经济经营管理工作，管理农业承包合同、农村合作经济组织财务会计工作，落实“双代管”制度，管好账目、代管村集体资金；承担农村合作经济组织的内部审计工作；负责农村土地经营权流转管理服务工作；负责农民负担调查等工作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2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 xml:space="preserve">、文化综合服务中心：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机构规格股级，全额事业编制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2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名，设主任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名。负责对广大群众进行时政宣传和政策法制教育；组织群众开展丰富多彩的文体娱乐活动、报刊阅读和科普教育活动；搜集、整理民间文化艺术遗产，促进乡村特色文化发展；做好文物的宣传保护工作；受上级文化部门委托协助管理当地文化市场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3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 xml:space="preserve">、人口和计划生育服务中心：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机构规格股级，全额事业编制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6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名，设主任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名。负责宣传人口和计划生育的方针政策、法律法规和优生优育、避孕节育等科学知识；承担育龄夫妇避孕、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节育、保健和优生技术服务；做好育龄妇女的妇科病普查普治、四项手术随访、艾滋病防治、避孕药具发放等工作；负责计划生育统计工作。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39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b/>
          <w:sz w:val="32"/>
          <w:szCs w:val="32"/>
        </w:rPr>
        <w:t xml:space="preserve">4</w:t>
      </w:r>
      <w:r>
        <w:rPr>
          <w:rFonts w:hint="eastAsia" w:cs="仿宋_GB2312" w:asciiTheme="minorEastAsia" w:hAnsiTheme="minorEastAsia" w:eastAsiaTheme="minorEastAsia"/>
          <w:b/>
          <w:sz w:val="32"/>
          <w:szCs w:val="32"/>
        </w:rPr>
        <w:t xml:space="preserve">、劳动保障事务站：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机构规格股级，全额事业编制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6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名，设站长</w:t>
      </w:r>
      <w:r>
        <w:rPr>
          <w:rFonts w:cs="仿宋_GB2312" w:asciiTheme="minorEastAsia" w:hAnsiTheme="minorEastAsia" w:eastAsiaTheme="minorEastAsia"/>
          <w:sz w:val="32"/>
          <w:szCs w:val="32"/>
        </w:rPr>
        <w:t xml:space="preserve">1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名。依据国家劳动和社会保障各项政策法规，开展就业培训，搞好劳务输出，引领农村富余劳动力转移；负责下岗失业人员再就业指导和劳动用工管理工作；负责养老保险、失业保险、医疗保险、工伤保险、女职工生育保险等社会保障工作；负责企业离退休人员的社会化管理工作。</w:t>
      </w:r>
      <w:r>
        <w:rPr>
          <w:rFonts w:cs="仿宋_GB2312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第二部分</w:t>
      </w:r>
      <w:r>
        <w:rPr>
          <w:rFonts w:asciiTheme="minorEastAsia" w:hAnsiTheme="minorEastAsia" w:eastAsiaTheme="minorEastAsia"/>
          <w:sz w:val="32"/>
          <w:szCs w:val="32"/>
        </w:rPr>
        <w:t xml:space="preserve">2016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年度部门决算报表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见附表。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>
        <w:rPr>
          <w:rFonts w:asciiTheme="minorEastAsia" w:hAnsiTheme="minorEastAsia" w:eastAsiaTheme="minorEastAsia"/>
          <w:sz w:val="32"/>
          <w:szCs w:val="32"/>
        </w:rPr>
        <w:t xml:space="preserve">01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－</w:t>
      </w:r>
      <w:r>
        <w:rPr>
          <w:rFonts w:asciiTheme="minorEastAsia" w:hAnsiTheme="minorEastAsia" w:eastAsiaTheme="minorEastAsia"/>
          <w:sz w:val="32"/>
          <w:szCs w:val="32"/>
        </w:rPr>
        <w:t xml:space="preserve">10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表）。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第三部分</w:t>
      </w:r>
      <w:r>
        <w:rPr>
          <w:rFonts w:asciiTheme="minorEastAsia" w:hAnsiTheme="minorEastAsia" w:eastAsiaTheme="minorEastAsia"/>
          <w:sz w:val="32"/>
          <w:szCs w:val="32"/>
        </w:rPr>
        <w:t xml:space="preserve">2016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年部门决算情况说明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一、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收入决算情况说明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2016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年收入合计</w:t>
      </w:r>
      <w:r>
        <w:rPr>
          <w:rFonts w:asciiTheme="minorEastAsia" w:hAnsiTheme="minorEastAsia" w:eastAsiaTheme="minorEastAsia"/>
          <w:sz w:val="32"/>
          <w:szCs w:val="32"/>
        </w:rPr>
        <w:t xml:space="preserve">649.89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万元，为财政拨款收入，其中：工资福利收入</w:t>
      </w:r>
      <w:r>
        <w:rPr>
          <w:rFonts w:asciiTheme="minorEastAsia" w:hAnsiTheme="minorEastAsia" w:eastAsiaTheme="minorEastAsia"/>
          <w:sz w:val="32"/>
          <w:szCs w:val="32"/>
        </w:rPr>
        <w:t xml:space="preserve">484.92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万元，办公及商品服务</w:t>
      </w:r>
      <w:r>
        <w:rPr>
          <w:rFonts w:asciiTheme="minorEastAsia" w:hAnsiTheme="minorEastAsia" w:eastAsiaTheme="minorEastAsia"/>
          <w:sz w:val="32"/>
          <w:szCs w:val="32"/>
        </w:rPr>
        <w:t xml:space="preserve">124.28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万元，住房公积金</w:t>
      </w:r>
      <w:r>
        <w:rPr>
          <w:rFonts w:asciiTheme="minorEastAsia" w:hAnsiTheme="minorEastAsia" w:eastAsiaTheme="minorEastAsia"/>
          <w:sz w:val="32"/>
          <w:szCs w:val="32"/>
        </w:rPr>
        <w:t xml:space="preserve">31.54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万元，农林水项目支出</w:t>
      </w:r>
      <w:r>
        <w:rPr>
          <w:rFonts w:asciiTheme="minorEastAsia" w:hAnsiTheme="minorEastAsia" w:eastAsiaTheme="minorEastAsia"/>
          <w:sz w:val="32"/>
          <w:szCs w:val="32"/>
        </w:rPr>
        <w:t xml:space="preserve">9.15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万元。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二、支出决算情况说明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4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2016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年共支出</w:t>
      </w:r>
      <w:r>
        <w:rPr>
          <w:rFonts w:asciiTheme="minorEastAsia" w:hAnsiTheme="minorEastAsia" w:eastAsiaTheme="minorEastAsia"/>
          <w:sz w:val="32"/>
          <w:szCs w:val="32"/>
        </w:rPr>
        <w:t xml:space="preserve">649.89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万元，其中：人员经费支出516.46万元，公用经费支出124.28，项目支出</w:t>
      </w:r>
      <w:r>
        <w:rPr>
          <w:rFonts w:asciiTheme="minorEastAsia" w:hAnsiTheme="minorEastAsia" w:eastAsiaTheme="minorEastAsia"/>
          <w:sz w:val="32"/>
          <w:szCs w:val="32"/>
        </w:rPr>
        <w:t xml:space="preserve">9.15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万元。</w:t>
      </w:r>
      <w:r>
        <w:rPr>
          <w:rFonts w:hint="eastAsia"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4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三、比上年增减情况</w:t>
      </w:r>
      <w:r>
        <w:rPr>
          <w:rFonts w:hint="eastAsia" w:asciiTheme="minorEastAsia" w:hAnsiTheme="minorEastAsia" w:eastAsiaTheme="minorEastAsia"/>
          <w:sz w:val="32"/>
          <w:szCs w:val="32"/>
        </w:rPr>
      </w:r>
    </w:p>
    <w:p>
      <w:pPr>
        <w:widowControl w:val="true"/>
        <w:pBdr/>
        <w:tabs>
          <w:tab w:val="left" w:leader="none" w:pos="5552"/>
          <w:tab w:val="left" w:leader="none" w:pos="7323"/>
          <w:tab w:val="left" w:leader="none" w:pos="12218"/>
          <w:tab w:val="left" w:leader="none" w:pos="14365"/>
          <w:tab w:val="left" w:leader="none" w:pos="17759"/>
          <w:tab w:val="left" w:leader="none" w:pos="19300"/>
          <w:tab w:val="left" w:leader="none" w:pos="20220"/>
        </w:tabs>
        <w:spacing/>
        <w:ind w:firstLine="320" w:left="92"/>
        <w:jc w:val="left"/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经过对比测算，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2016年财政拨款收入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比2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015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年增加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194.38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万元，主要是人员经费增加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216.16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万元（人员经费增长的主要原因为正常的晋职增资）、日常公用经费增加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13.77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万元（增加原因主要是人员增加办公经费增加等）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、项目经费减少35.55万元（减少原因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缩减项目及支出等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  <w:t xml:space="preserve">）</w:t>
      </w:r>
      <w:r>
        <w:rPr>
          <w:rFonts w:hint="eastAsia" w:cs="Arial" w:asciiTheme="minorEastAsia" w:hAnsiTheme="minorEastAsia" w:eastAsiaTheme="minorEastAsia"/>
          <w:color w:val="000000"/>
          <w:sz w:val="32"/>
          <w:szCs w:val="32"/>
        </w:rPr>
      </w:r>
    </w:p>
    <w:p>
      <w:pPr>
        <w:pBdr/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四、财政拨款收入支出决算总体情况说明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　　</w:t>
      </w:r>
      <w:r>
        <w:rPr>
          <w:rFonts w:asciiTheme="minorEastAsia" w:hAnsiTheme="minorEastAsia" w:eastAsiaTheme="minorEastAsia"/>
          <w:sz w:val="32"/>
          <w:szCs w:val="32"/>
        </w:rPr>
        <w:t xml:space="preserve">2016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年收入合计</w:t>
      </w:r>
      <w:r>
        <w:rPr>
          <w:rFonts w:asciiTheme="minorEastAsia" w:hAnsiTheme="minorEastAsia" w:eastAsiaTheme="minorEastAsia"/>
          <w:sz w:val="32"/>
          <w:szCs w:val="32"/>
        </w:rPr>
        <w:t xml:space="preserve">649.89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万元，其中一般公共预算财政拨款</w:t>
      </w:r>
      <w:r>
        <w:rPr>
          <w:rFonts w:asciiTheme="minorEastAsia" w:hAnsiTheme="minorEastAsia" w:eastAsiaTheme="minorEastAsia"/>
          <w:sz w:val="32"/>
          <w:szCs w:val="32"/>
        </w:rPr>
        <w:t xml:space="preserve">649.89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万元，政府性基金预算财政拨款</w:t>
      </w:r>
      <w:r>
        <w:rPr>
          <w:rFonts w:asciiTheme="minorEastAsia" w:hAnsiTheme="minorEastAsia" w:eastAsiaTheme="minorEastAsia"/>
          <w:sz w:val="32"/>
          <w:szCs w:val="32"/>
        </w:rPr>
        <w:t xml:space="preserve">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万元；</w:t>
      </w:r>
      <w:r>
        <w:rPr>
          <w:rFonts w:asciiTheme="minorEastAsia" w:hAnsiTheme="minorEastAsia" w:eastAsiaTheme="minorEastAsia"/>
          <w:sz w:val="32"/>
          <w:szCs w:val="32"/>
        </w:rPr>
        <w:t xml:space="preserve">2016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年支出合计</w:t>
      </w:r>
      <w:r>
        <w:rPr>
          <w:rFonts w:asciiTheme="minorEastAsia" w:hAnsiTheme="minorEastAsia" w:eastAsiaTheme="minorEastAsia"/>
          <w:sz w:val="32"/>
          <w:szCs w:val="32"/>
        </w:rPr>
        <w:t xml:space="preserve">649.89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万元，其中一般公共预算财政拨款支出</w:t>
      </w:r>
      <w:r>
        <w:rPr>
          <w:rFonts w:asciiTheme="minorEastAsia" w:hAnsiTheme="minorEastAsia" w:eastAsiaTheme="minorEastAsia"/>
          <w:sz w:val="32"/>
          <w:szCs w:val="32"/>
        </w:rPr>
        <w:t xml:space="preserve">649.89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万元，政府性基金预算财政拨款支出</w:t>
      </w:r>
      <w:r>
        <w:rPr>
          <w:rFonts w:asciiTheme="minorEastAsia" w:hAnsiTheme="minorEastAsia" w:eastAsiaTheme="minorEastAsia"/>
          <w:sz w:val="32"/>
          <w:szCs w:val="32"/>
        </w:rPr>
        <w:t xml:space="preserve">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万元。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五、“三公”经费及相关信息情况说明</w:t>
      </w:r>
      <w:r>
        <w:rPr>
          <w:rFonts w:asciiTheme="minorEastAsia" w:hAnsiTheme="minorEastAsia" w:eastAsiaTheme="minorEastAsia"/>
          <w:sz w:val="32"/>
          <w:szCs w:val="32"/>
          <w:u w:val="single"/>
        </w:rPr>
      </w:r>
    </w:p>
    <w:p>
      <w:pPr>
        <w:pBdr/>
        <w:spacing w:line="560" w:lineRule="exact"/>
        <w:ind w:firstLine="64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（一）</w:t>
      </w:r>
      <w:r>
        <w:rPr>
          <w:rFonts w:asciiTheme="minorEastAsia" w:hAnsiTheme="minorEastAsia" w:eastAsiaTheme="minorEastAsia"/>
          <w:sz w:val="32"/>
          <w:szCs w:val="32"/>
        </w:rPr>
        <w:t xml:space="preserve">2016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年“三公”经费支出合计</w:t>
      </w:r>
      <w:r>
        <w:rPr>
          <w:rFonts w:asciiTheme="minorEastAsia" w:hAnsiTheme="minorEastAsia" w:eastAsiaTheme="minorEastAsia"/>
          <w:sz w:val="32"/>
          <w:szCs w:val="32"/>
        </w:rPr>
        <w:t xml:space="preserve">6.9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万元，其中</w:t>
      </w:r>
      <w:r>
        <w:rPr>
          <w:rFonts w:asciiTheme="minorEastAsia" w:hAnsiTheme="minorEastAsia" w:eastAsiaTheme="minorEastAsia"/>
          <w:sz w:val="32"/>
          <w:szCs w:val="32"/>
        </w:rPr>
        <w:t xml:space="preserve">: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公务用车运行维护费</w:t>
      </w:r>
      <w:r>
        <w:rPr>
          <w:rFonts w:asciiTheme="minorEastAsia" w:hAnsiTheme="minorEastAsia" w:eastAsiaTheme="minorEastAsia"/>
          <w:sz w:val="32"/>
          <w:szCs w:val="32"/>
        </w:rPr>
        <w:t xml:space="preserve">4.1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万元，公车购置费</w:t>
      </w:r>
      <w:r>
        <w:rPr>
          <w:rFonts w:asciiTheme="minorEastAsia" w:hAnsiTheme="minorEastAsia" w:eastAsiaTheme="minorEastAsia"/>
          <w:sz w:val="32"/>
          <w:szCs w:val="32"/>
        </w:rPr>
        <w:t xml:space="preserve">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万元，公务接待费</w:t>
      </w:r>
      <w:r>
        <w:rPr>
          <w:rFonts w:asciiTheme="minorEastAsia" w:hAnsiTheme="minorEastAsia" w:eastAsiaTheme="minorEastAsia"/>
          <w:sz w:val="32"/>
          <w:szCs w:val="32"/>
        </w:rPr>
        <w:t xml:space="preserve">2.8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</w:t>
      </w:r>
      <w:r>
        <w:rPr>
          <w:rFonts w:asciiTheme="minorEastAsia" w:hAnsiTheme="minorEastAsia" w:eastAsiaTheme="minorEastAsia"/>
          <w:sz w:val="32"/>
          <w:szCs w:val="32"/>
        </w:rPr>
        <w:t xml:space="preserve">,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比</w:t>
      </w:r>
      <w:r>
        <w:rPr>
          <w:rFonts w:asciiTheme="minorEastAsia" w:hAnsiTheme="minorEastAsia" w:eastAsiaTheme="minorEastAsia"/>
          <w:sz w:val="32"/>
          <w:szCs w:val="32"/>
        </w:rPr>
        <w:t xml:space="preserve">2015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年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减少7.08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万元。</w:t>
      </w:r>
      <w:r>
        <w:rPr>
          <w:rFonts w:hint="eastAsia" w:asciiTheme="minorEastAsia" w:hAnsiTheme="minorEastAsia" w:eastAsiaTheme="minorEastAsia"/>
          <w:sz w:val="32"/>
          <w:szCs w:val="32"/>
        </w:rPr>
      </w:r>
    </w:p>
    <w:p>
      <w:pPr>
        <w:widowControl w:val="true"/>
        <w:pBdr/>
        <w:tabs>
          <w:tab w:val="left" w:leader="none" w:pos="5552"/>
          <w:tab w:val="left" w:leader="none" w:pos="7323"/>
          <w:tab w:val="left" w:leader="none" w:pos="12218"/>
          <w:tab w:val="left" w:leader="none" w:pos="14365"/>
          <w:tab w:val="left" w:leader="none" w:pos="17759"/>
          <w:tab w:val="left" w:leader="none" w:pos="19300"/>
          <w:tab w:val="left" w:leader="none" w:pos="20220"/>
        </w:tabs>
        <w:spacing/>
        <w:ind w:firstLine="640" w:left="92"/>
        <w:jc w:val="left"/>
        <w:rPr>
          <w:rFonts w:hint="eastAsia" w:ascii="宋体" w:hAnsi="宋体" w:cs="Arial"/>
          <w:color w:val="000000"/>
          <w:sz w:val="32"/>
          <w:szCs w:val="32"/>
        </w:rPr>
      </w:pPr>
      <w:r>
        <w:rPr>
          <w:rFonts w:hint="eastAsia" w:ascii="宋体" w:hAnsi="宋体" w:cs="Arial"/>
          <w:color w:val="000000"/>
          <w:sz w:val="32"/>
          <w:szCs w:val="32"/>
        </w:rPr>
        <w:t xml:space="preserve">①公务用车购置安排0万元。</w:t>
      </w:r>
      <w:r>
        <w:rPr>
          <w:rFonts w:hint="eastAsia" w:ascii="宋体" w:hAnsi="宋体" w:cs="Arial"/>
          <w:color w:val="000000"/>
          <w:sz w:val="32"/>
          <w:szCs w:val="32"/>
        </w:rPr>
      </w:r>
    </w:p>
    <w:p>
      <w:pPr>
        <w:widowControl w:val="true"/>
        <w:pBdr/>
        <w:tabs>
          <w:tab w:val="left" w:leader="none" w:pos="5552"/>
          <w:tab w:val="left" w:leader="none" w:pos="7323"/>
          <w:tab w:val="left" w:leader="none" w:pos="12218"/>
          <w:tab w:val="left" w:leader="none" w:pos="14365"/>
          <w:tab w:val="left" w:leader="none" w:pos="17759"/>
          <w:tab w:val="left" w:leader="none" w:pos="19300"/>
          <w:tab w:val="left" w:leader="none" w:pos="20220"/>
        </w:tabs>
        <w:spacing/>
        <w:ind w:firstLine="640" w:left="92"/>
        <w:jc w:val="left"/>
        <w:rPr>
          <w:rFonts w:hint="eastAsia" w:ascii="宋体" w:hAnsi="宋体" w:cs="Arial"/>
          <w:color w:val="000000"/>
          <w:sz w:val="32"/>
          <w:szCs w:val="32"/>
        </w:rPr>
      </w:pPr>
      <w:r>
        <w:rPr>
          <w:rFonts w:hint="eastAsia" w:ascii="宋体" w:hAnsi="宋体" w:cs="Arial"/>
          <w:color w:val="000000"/>
          <w:sz w:val="32"/>
          <w:szCs w:val="32"/>
        </w:rPr>
        <w:t xml:space="preserve">②公车运行维护经费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4.1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万元，较上年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减少9.88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万元。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减少原因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降低标准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缩减车辆开销。</w:t>
      </w:r>
      <w:r>
        <w:rPr>
          <w:rFonts w:hint="eastAsia" w:ascii="宋体" w:hAnsi="宋体" w:cs="Arial"/>
          <w:color w:val="000000"/>
          <w:sz w:val="32"/>
          <w:szCs w:val="32"/>
        </w:rPr>
      </w:r>
    </w:p>
    <w:p>
      <w:pPr>
        <w:widowControl w:val="true"/>
        <w:pBdr/>
        <w:tabs>
          <w:tab w:val="left" w:leader="none" w:pos="5552"/>
          <w:tab w:val="left" w:leader="none" w:pos="7323"/>
          <w:tab w:val="left" w:leader="none" w:pos="12218"/>
          <w:tab w:val="left" w:leader="none" w:pos="14365"/>
          <w:tab w:val="left" w:leader="none" w:pos="17759"/>
          <w:tab w:val="left" w:leader="none" w:pos="19300"/>
          <w:tab w:val="left" w:leader="none" w:pos="20220"/>
        </w:tabs>
        <w:spacing/>
        <w:ind w:firstLine="640" w:left="92"/>
        <w:jc w:val="left"/>
        <w:rPr>
          <w:rFonts w:hint="eastAsia" w:ascii="宋体" w:hAnsi="宋体" w:cs="Arial"/>
          <w:color w:val="000000"/>
          <w:sz w:val="32"/>
          <w:szCs w:val="32"/>
        </w:rPr>
      </w:pPr>
      <w:r>
        <w:rPr>
          <w:rFonts w:hint="eastAsia" w:ascii="宋体" w:hAnsi="宋体" w:cs="Arial"/>
          <w:color w:val="000000"/>
          <w:sz w:val="32"/>
          <w:szCs w:val="32"/>
        </w:rPr>
        <w:t xml:space="preserve">（二）公务接待费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2.8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万元，较上年预算减少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1.35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万元。减少原因为厉行节约，缩减公务接待开支。</w:t>
      </w:r>
      <w:r>
        <w:rPr>
          <w:rFonts w:hint="eastAsia" w:ascii="宋体" w:hAnsi="宋体" w:cs="Arial"/>
          <w:color w:val="000000"/>
          <w:sz w:val="32"/>
          <w:szCs w:val="32"/>
        </w:rPr>
      </w:r>
    </w:p>
    <w:p>
      <w:pPr>
        <w:widowControl w:val="true"/>
        <w:pBdr/>
        <w:tabs>
          <w:tab w:val="left" w:leader="none" w:pos="5552"/>
          <w:tab w:val="left" w:leader="none" w:pos="7323"/>
          <w:tab w:val="left" w:leader="none" w:pos="12218"/>
          <w:tab w:val="left" w:leader="none" w:pos="14365"/>
          <w:tab w:val="left" w:leader="none" w:pos="17759"/>
          <w:tab w:val="left" w:leader="none" w:pos="19300"/>
          <w:tab w:val="left" w:leader="none" w:pos="20220"/>
        </w:tabs>
        <w:spacing/>
        <w:ind w:firstLine="640" w:left="92"/>
        <w:jc w:val="left"/>
        <w:rPr>
          <w:rFonts w:hint="eastAsia" w:ascii="宋体" w:hAnsi="宋体" w:cs="Arial"/>
          <w:color w:val="000000"/>
          <w:sz w:val="32"/>
          <w:szCs w:val="32"/>
        </w:rPr>
      </w:pPr>
      <w:r>
        <w:rPr>
          <w:rFonts w:hint="eastAsia" w:ascii="宋体" w:hAnsi="宋体" w:cs="Arial"/>
          <w:color w:val="000000"/>
          <w:sz w:val="32"/>
          <w:szCs w:val="32"/>
        </w:rPr>
        <w:t xml:space="preserve">（三）因公出国（境）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费安排</w:t>
      </w:r>
      <w:r>
        <w:rPr>
          <w:rFonts w:hint="eastAsia" w:ascii="宋体" w:hAnsi="宋体" w:cs="Arial"/>
          <w:color w:val="000000"/>
          <w:sz w:val="32"/>
          <w:szCs w:val="32"/>
        </w:rPr>
        <w:t xml:space="preserve">0万元，与上年持平。</w:t>
      </w:r>
      <w:r>
        <w:rPr>
          <w:rFonts w:hint="eastAsia" w:ascii="宋体" w:hAnsi="宋体" w:cs="Arial"/>
          <w:color w:val="000000"/>
          <w:sz w:val="32"/>
          <w:szCs w:val="32"/>
        </w:rPr>
      </w:r>
    </w:p>
    <w:p>
      <w:pPr>
        <w:widowControl w:val="true"/>
        <w:pBdr/>
        <w:tabs>
          <w:tab w:val="left" w:leader="none" w:pos="5552"/>
          <w:tab w:val="left" w:leader="none" w:pos="7323"/>
          <w:tab w:val="left" w:leader="none" w:pos="12218"/>
          <w:tab w:val="left" w:leader="none" w:pos="14365"/>
          <w:tab w:val="left" w:leader="none" w:pos="17759"/>
          <w:tab w:val="left" w:leader="none" w:pos="19300"/>
          <w:tab w:val="left" w:leader="none" w:pos="20220"/>
        </w:tabs>
        <w:spacing/>
        <w:ind w:firstLine="640" w:left="92"/>
        <w:jc w:val="left"/>
        <w:rPr>
          <w:rFonts w:ascii="宋体" w:hAnsi="宋体" w:cs="Arial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公务用车保有量</w:t>
      </w:r>
      <w:r>
        <w:rPr>
          <w:rFonts w:asciiTheme="minorEastAsia" w:hAnsiTheme="minorEastAsia" w:eastAsiaTheme="minorEastAsia"/>
          <w:sz w:val="32"/>
          <w:szCs w:val="32"/>
        </w:rPr>
        <w:t xml:space="preserve">4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辆，为一般公务用车；国内公务接待批次</w:t>
      </w:r>
      <w:r>
        <w:rPr>
          <w:rFonts w:asciiTheme="minorEastAsia" w:hAnsiTheme="minorEastAsia" w:eastAsiaTheme="minorEastAsia"/>
          <w:sz w:val="32"/>
          <w:szCs w:val="32"/>
        </w:rPr>
        <w:t xml:space="preserve">120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个，接待人次</w:t>
      </w:r>
      <w:r>
        <w:rPr>
          <w:rFonts w:asciiTheme="minorEastAsia" w:hAnsiTheme="minorEastAsia" w:eastAsiaTheme="minorEastAsia"/>
          <w:sz w:val="32"/>
          <w:szCs w:val="32"/>
        </w:rPr>
        <w:t xml:space="preserve">233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人；因公出国（境）</w:t>
      </w:r>
      <w:r>
        <w:rPr>
          <w:rFonts w:asciiTheme="minorEastAsia" w:hAnsiTheme="minorEastAsia" w:eastAsiaTheme="minorEastAsia"/>
          <w:sz w:val="32"/>
          <w:szCs w:val="32"/>
        </w:rPr>
        <w:t xml:space="preserve">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人。我单位公务接待严格执行市委、市政府要求，厉行节约、艰苦奋斗</w:t>
      </w:r>
      <w:r>
        <w:rPr>
          <w:rFonts w:asciiTheme="minorEastAsia" w:hAnsiTheme="minorEastAsia" w:eastAsiaTheme="minorEastAsia"/>
          <w:sz w:val="32"/>
          <w:szCs w:val="32"/>
        </w:rPr>
        <w:t xml:space="preserve">,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  <w:r>
        <w:rPr>
          <w:rFonts w:ascii="宋体" w:hAnsi="宋体" w:cs="Arial"/>
          <w:color w:val="000000"/>
          <w:sz w:val="32"/>
          <w:szCs w:val="32"/>
        </w:rPr>
      </w:r>
    </w:p>
    <w:p>
      <w:pPr>
        <w:pBdr/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六、机关运行经费的支出情况的说明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2016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年我单位机关运行经费</w:t>
      </w:r>
      <w:r>
        <w:rPr>
          <w:rFonts w:asciiTheme="minorEastAsia" w:hAnsiTheme="minorEastAsia" w:eastAsiaTheme="minorEastAsia"/>
          <w:sz w:val="32"/>
          <w:szCs w:val="32"/>
        </w:rPr>
        <w:t xml:space="preserve">124.28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万元，其中：办公及印刷费</w:t>
      </w:r>
      <w:r>
        <w:rPr>
          <w:rFonts w:asciiTheme="minorEastAsia" w:hAnsiTheme="minorEastAsia" w:eastAsiaTheme="minorEastAsia"/>
          <w:sz w:val="32"/>
          <w:szCs w:val="32"/>
        </w:rPr>
        <w:t xml:space="preserve">34.1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万元、邮电费</w:t>
      </w:r>
      <w:r>
        <w:rPr>
          <w:rFonts w:asciiTheme="minorEastAsia" w:hAnsiTheme="minorEastAsia" w:eastAsiaTheme="minorEastAsia"/>
          <w:sz w:val="32"/>
          <w:szCs w:val="32"/>
        </w:rPr>
        <w:t xml:space="preserve">2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万元、差旅费</w:t>
      </w:r>
      <w:r>
        <w:rPr>
          <w:rFonts w:asciiTheme="minorEastAsia" w:hAnsiTheme="minorEastAsia" w:eastAsiaTheme="minorEastAsia"/>
          <w:sz w:val="32"/>
          <w:szCs w:val="32"/>
        </w:rPr>
        <w:t xml:space="preserve">3.75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万元、福利费</w:t>
      </w:r>
      <w:r>
        <w:rPr>
          <w:rFonts w:asciiTheme="minorEastAsia" w:hAnsiTheme="minorEastAsia" w:eastAsiaTheme="minorEastAsia"/>
          <w:sz w:val="32"/>
          <w:szCs w:val="32"/>
        </w:rPr>
        <w:t xml:space="preserve">1.04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万元、日常维修费</w:t>
      </w:r>
      <w:r>
        <w:rPr>
          <w:rFonts w:asciiTheme="minorEastAsia" w:hAnsiTheme="minorEastAsia" w:eastAsiaTheme="minorEastAsia"/>
          <w:sz w:val="32"/>
          <w:szCs w:val="32"/>
        </w:rPr>
        <w:t xml:space="preserve">12.01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万元、办公用房水电费</w:t>
      </w:r>
      <w:r>
        <w:rPr>
          <w:rFonts w:asciiTheme="minorEastAsia" w:hAnsiTheme="minorEastAsia" w:eastAsiaTheme="minorEastAsia"/>
          <w:sz w:val="32"/>
          <w:szCs w:val="32"/>
        </w:rPr>
        <w:t xml:space="preserve">7.72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万元、办公用房取暖费</w:t>
      </w:r>
      <w:r>
        <w:rPr>
          <w:rFonts w:asciiTheme="minorEastAsia" w:hAnsiTheme="minorEastAsia" w:eastAsiaTheme="minorEastAsia"/>
          <w:sz w:val="32"/>
          <w:szCs w:val="32"/>
        </w:rPr>
        <w:t xml:space="preserve">20.4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万元、公务车运行维护费</w:t>
      </w:r>
      <w:r>
        <w:rPr>
          <w:rFonts w:asciiTheme="minorEastAsia" w:hAnsiTheme="minorEastAsia" w:eastAsiaTheme="minorEastAsia"/>
          <w:sz w:val="32"/>
          <w:szCs w:val="32"/>
        </w:rPr>
        <w:t xml:space="preserve">4.1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万元、公务接待</w:t>
      </w:r>
      <w:r>
        <w:rPr>
          <w:rFonts w:asciiTheme="minorEastAsia" w:hAnsiTheme="minorEastAsia" w:eastAsiaTheme="minorEastAsia"/>
          <w:sz w:val="32"/>
          <w:szCs w:val="32"/>
        </w:rPr>
        <w:t xml:space="preserve">2.8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万元，劳务费</w:t>
      </w:r>
      <w:r>
        <w:rPr>
          <w:rFonts w:asciiTheme="minorEastAsia" w:hAnsiTheme="minorEastAsia" w:eastAsiaTheme="minorEastAsia"/>
          <w:sz w:val="32"/>
          <w:szCs w:val="32"/>
        </w:rPr>
        <w:t xml:space="preserve">20.28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、其他费用</w:t>
      </w:r>
      <w:r>
        <w:rPr>
          <w:rFonts w:asciiTheme="minorEastAsia" w:hAnsiTheme="minorEastAsia" w:eastAsiaTheme="minorEastAsia"/>
          <w:sz w:val="32"/>
          <w:szCs w:val="32"/>
        </w:rPr>
        <w:t xml:space="preserve">16.08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万元。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七、政府采购情况的说明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无政府采购事项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29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八、国有资产信息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 w:firstLine="62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固定资产总额为</w:t>
      </w:r>
      <w:r>
        <w:rPr>
          <w:rFonts w:asciiTheme="minorEastAsia" w:hAnsiTheme="minorEastAsia" w:eastAsiaTheme="minorEastAsia"/>
          <w:sz w:val="32"/>
          <w:szCs w:val="32"/>
        </w:rPr>
        <w:t xml:space="preserve">665.49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万元，其中：房屋</w:t>
      </w:r>
      <w:r>
        <w:rPr>
          <w:rFonts w:asciiTheme="minorEastAsia" w:hAnsiTheme="minorEastAsia" w:eastAsiaTheme="minorEastAsia"/>
          <w:sz w:val="32"/>
          <w:szCs w:val="32"/>
        </w:rPr>
        <w:t xml:space="preserve">9050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平方米</w:t>
      </w:r>
      <w:r>
        <w:rPr>
          <w:rFonts w:asciiTheme="minorEastAsia" w:hAnsiTheme="minorEastAsia" w:eastAsiaTheme="minorEastAsia"/>
          <w:sz w:val="32"/>
          <w:szCs w:val="32"/>
        </w:rPr>
        <w:t xml:space="preserve">447.48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万元，汽车</w:t>
      </w:r>
      <w:r>
        <w:rPr>
          <w:rFonts w:asciiTheme="minorEastAsia" w:hAnsiTheme="minorEastAsia" w:eastAsiaTheme="minorEastAsia"/>
          <w:sz w:val="32"/>
          <w:szCs w:val="32"/>
        </w:rPr>
        <w:t xml:space="preserve">6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辆</w:t>
      </w:r>
      <w:r>
        <w:rPr>
          <w:rFonts w:asciiTheme="minorEastAsia" w:hAnsiTheme="minorEastAsia" w:eastAsiaTheme="minorEastAsia"/>
          <w:sz w:val="32"/>
          <w:szCs w:val="32"/>
        </w:rPr>
        <w:t xml:space="preserve">87.61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</w:t>
      </w:r>
      <w:r>
        <w:rPr>
          <w:rFonts w:hint="eastAsia" w:cs="宋体" w:asciiTheme="minorEastAsia" w:hAnsiTheme="minorEastAsia" w:eastAsiaTheme="minorEastAsia"/>
          <w:color w:val="000000"/>
          <w:sz w:val="32"/>
          <w:szCs w:val="32"/>
        </w:rPr>
        <w:t xml:space="preserve">其他固定资产</w:t>
      </w:r>
      <w:r>
        <w:rPr>
          <w:rFonts w:cs="宋体" w:asciiTheme="minorEastAsia" w:hAnsiTheme="minorEastAsia" w:eastAsiaTheme="minorEastAsia"/>
          <w:color w:val="000000"/>
          <w:sz w:val="32"/>
          <w:szCs w:val="32"/>
        </w:rPr>
        <w:t xml:space="preserve">130.4</w:t>
      </w:r>
      <w:r>
        <w:rPr>
          <w:rFonts w:hint="eastAsia" w:cs="宋体" w:asciiTheme="minorEastAsia" w:hAnsiTheme="minorEastAsia" w:eastAsiaTheme="minorEastAsia"/>
          <w:color w:val="000000"/>
          <w:sz w:val="32"/>
          <w:szCs w:val="32"/>
        </w:rPr>
        <w:t xml:space="preserve">万元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。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第四部分</w:t>
      </w:r>
      <w:bookmarkStart w:id="0" w:name="_GoBack"/>
      <w:r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 xml:space="preserve">名词解释</w:t>
      </w:r>
      <w:r>
        <w:rPr>
          <w:rFonts w:asciiTheme="minorEastAsia" w:hAnsiTheme="minorEastAsia" w:eastAsiaTheme="minorEastAsia"/>
          <w:sz w:val="32"/>
          <w:szCs w:val="32"/>
        </w:rPr>
      </w:r>
    </w:p>
    <w:p>
      <w:pPr>
        <w:pBdr/>
        <w:spacing w:line="560" w:lineRule="exact"/>
        <w:ind/>
        <w:rPr>
          <w:rFonts w:cs="仿宋"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pPr>
      <w:r>
        <w:rPr>
          <w:rFonts w:cs="黑体" w:asciiTheme="minorEastAsia" w:hAnsiTheme="minorEastAsia" w:eastAsiaTheme="minorEastAsia"/>
          <w:sz w:val="32"/>
          <w:szCs w:val="32"/>
        </w:rPr>
        <w:t xml:space="preserve">    </w:t>
      </w:r>
      <w:r>
        <w:rPr>
          <w:rFonts w:hint="eastAsia" w:cs="黑体" w:asciiTheme="minorEastAsia" w:hAnsiTheme="minorEastAsia" w:eastAsiaTheme="minorEastAsia"/>
          <w:sz w:val="32"/>
          <w:szCs w:val="32"/>
        </w:rPr>
        <w:t xml:space="preserve">“三公”经费支出：</w:t>
      </w:r>
      <w:bookmarkStart w:id="1" w:name="第七部分部门决算分析报告撰写提纲"/>
      <w:r>
        <w:rPr>
          <w:rFonts w:cs="仿宋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cs="仿宋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 xml:space="preserve">年部门决算情况说明</w:t>
      </w:r>
      <w:bookmarkEnd w:id="1"/>
      <w:r>
        <w:rPr>
          <w:rFonts w:hint="eastAsia" w:cs="仿宋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 xml:space="preserve">中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 xml:space="preserve">“三公”经费支出，</w:t>
      </w:r>
      <w:r>
        <w:rPr>
          <w:rFonts w:hint="eastAsia" w:cs="仿宋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 xml:space="preserve">指因公出国（境）费、公务用车购置及运行费、公务接待费三项经费支出。</w:t>
      </w:r>
      <w:r>
        <w:rPr>
          <w:rFonts w:cs="仿宋" w:asciiTheme="minorEastAsia" w:hAnsiTheme="minorEastAsia" w:eastAsiaTheme="minorEastAsia"/>
          <w:color w:val="333333"/>
          <w:sz w:val="32"/>
          <w:szCs w:val="32"/>
          <w:shd w:val="clear" w:color="auto" w:fill="ffffff"/>
        </w:rPr>
      </w:r>
    </w:p>
    <w:p>
      <w:pPr>
        <w:pBdr/>
        <w:spacing w:line="56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 xml:space="preserve">机关运行经费支出：</w:t>
      </w:r>
      <w:r>
        <w:rPr>
          <w:rFonts w:cs="仿宋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 xml:space="preserve"> 2016</w:t>
      </w:r>
      <w:r>
        <w:rPr>
          <w:rFonts w:hint="eastAsia" w:cs="仿宋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 xml:space="preserve">年部门决算情况说明</w:t>
      </w:r>
      <w:r>
        <w:rPr>
          <w:rFonts w:hint="eastAsia" w:cs="仿宋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 xml:space="preserve">中机关</w:t>
      </w:r>
      <w:r>
        <w:rPr>
          <w:rFonts w:hint="eastAsia" w:cs="仿宋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 xml:space="preserve">运行经费支出，指一般公共预算财政拨款安排的基本支出中的日常公用经费支出。</w:t>
      </w:r>
      <w:r>
        <w:rPr>
          <w:rFonts w:asciiTheme="minorEastAsia" w:hAnsiTheme="minorEastAsia" w:eastAsiaTheme="minorEastAsia"/>
          <w:sz w:val="32"/>
          <w:szCs w:val="32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h="16838" w:orient="landscape" w:w="11906"/>
      <w:pgMar w:top="2098" w:right="1418" w:bottom="1985" w:left="1588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楷体_GB2312">
    <w:panose1 w:val="02010609060101010101"/>
  </w:font>
  <w:font w:name="黑体">
    <w:panose1 w:val="02010609060101010101"/>
  </w:font>
  <w:font w:name="仿宋_GB2312">
    <w:panose1 w:val="02010609060101010101"/>
  </w:font>
  <w:font w:name="Arial">
    <w:panose1 w:val="020B0604020202020204"/>
  </w:font>
  <w:font w:name="Calibri">
    <w:panose1 w:val="020F050202020403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framePr w:hAnchor="margin" w:vAnchor="text" w:wrap="around" w:xAlign="center" w:y="1"/>
      <w:pBdr/>
      <w:spacing/>
      <w:ind/>
      <w:rPr>
        <w:rStyle w:val="709"/>
      </w:rPr>
    </w:pPr>
    <w:r>
      <w:rPr>
        <w:rStyle w:val="709"/>
      </w:rPr>
      <w:fldChar w:fldCharType="begin"/>
    </w:r>
    <w:r>
      <w:rPr>
        <w:rStyle w:val="709"/>
      </w:rPr>
      <w:instrText xml:space="preserve">PAGE  </w:instrText>
    </w:r>
    <w:r>
      <w:rPr>
        <w:rStyle w:val="709"/>
      </w:rPr>
      <w:fldChar w:fldCharType="separate"/>
    </w:r>
    <w:r>
      <w:rPr>
        <w:rStyle w:val="709"/>
      </w:rPr>
      <w:t xml:space="preserve">- 7 -</w:t>
    </w:r>
    <w:r>
      <w:rPr>
        <w:rStyle w:val="709"/>
      </w:rPr>
      <w:fldChar w:fldCharType="end"/>
    </w:r>
    <w:r>
      <w:rPr>
        <w:rStyle w:val="709"/>
      </w:rPr>
    </w:r>
  </w:p>
  <w:p>
    <w:pPr>
      <w:pStyle w:val="705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framePr w:hAnchor="margin" w:vAnchor="text" w:wrap="around" w:xAlign="center" w:y="1"/>
      <w:pBdr/>
      <w:spacing/>
      <w:ind/>
      <w:rPr>
        <w:rStyle w:val="709"/>
      </w:rPr>
    </w:pPr>
    <w:r>
      <w:rPr>
        <w:rStyle w:val="709"/>
      </w:rPr>
      <w:fldChar w:fldCharType="begin"/>
    </w:r>
    <w:r>
      <w:rPr>
        <w:rStyle w:val="709"/>
      </w:rPr>
      <w:instrText xml:space="preserve">PAGE  </w:instrText>
    </w:r>
    <w:r>
      <w:rPr>
        <w:rStyle w:val="709"/>
      </w:rPr>
      <w:fldChar w:fldCharType="end"/>
    </w:r>
    <w:r>
      <w:rPr>
        <w:rStyle w:val="709"/>
      </w:rPr>
    </w:r>
  </w:p>
  <w:p>
    <w:pPr>
      <w:pStyle w:val="70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pBdr>
        <w:bottom w:val="none" w:color="000000" w:sz="0" w:space="0"/>
      </w:pBdr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、"/>
      <w:numFmt w:val="japaneseCounting"/>
      <w:pPr>
        <w:pBdr/>
        <w:tabs>
          <w:tab w:val="num" w:leader="none" w:pos="720"/>
        </w:tabs>
        <w:spacing/>
        <w:ind w:hanging="720" w:left="720"/>
      </w:pPr>
      <w:rPr>
        <w:rFonts w:hint="default" w:cs="Times New Roman"/>
      </w:rPr>
      <w:start w:val="1"/>
      <w:suff w:val="space"/>
    </w:lvl>
    <w:lvl w:ilvl="1">
      <w:isLgl w:val="false"/>
      <w:lvlJc w:val="left"/>
      <w:lvlText w:val="%2)"/>
      <w:numFmt w:val="lowerLetter"/>
      <w:pPr>
        <w:pBdr/>
        <w:tabs>
          <w:tab w:val="num" w:leader="none" w:pos="840"/>
        </w:tabs>
        <w:spacing/>
        <w:ind w:hanging="420" w:left="840"/>
      </w:pPr>
      <w:rPr>
        <w:rFonts w:cs="Times New Roman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1260"/>
        </w:tabs>
        <w:spacing/>
        <w:ind w:hanging="420" w:left="1260"/>
      </w:pPr>
      <w:rPr>
        <w:rFonts w:cs="Times New Roman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1680"/>
        </w:tabs>
        <w:spacing/>
        <w:ind w:hanging="420" w:left="1680"/>
      </w:pPr>
      <w:rPr>
        <w:rFonts w:cs="Times New Roman"/>
      </w:rPr>
      <w:start w:val="1"/>
      <w:suff w:val="space"/>
    </w:lvl>
    <w:lvl w:ilvl="4">
      <w:isLgl w:val="false"/>
      <w:lvlJc w:val="left"/>
      <w:lvlText w:val="%5)"/>
      <w:numFmt w:val="lowerLetter"/>
      <w:pPr>
        <w:pBdr/>
        <w:tabs>
          <w:tab w:val="num" w:leader="none" w:pos="2100"/>
        </w:tabs>
        <w:spacing/>
        <w:ind w:hanging="420" w:left="2100"/>
      </w:pPr>
      <w:rPr>
        <w:rFonts w:cs="Times New Roman"/>
      </w:rPr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2520"/>
        </w:tabs>
        <w:spacing/>
        <w:ind w:hanging="420" w:left="2520"/>
      </w:pPr>
      <w:rPr>
        <w:rFonts w:cs="Times New Roman"/>
      </w:rPr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2940"/>
        </w:tabs>
        <w:spacing/>
        <w:ind w:hanging="420" w:left="2940"/>
      </w:pPr>
      <w:rPr>
        <w:rFonts w:cs="Times New Roman"/>
      </w:rPr>
      <w:start w:val="1"/>
      <w:suff w:val="space"/>
    </w:lvl>
    <w:lvl w:ilvl="7">
      <w:isLgl w:val="false"/>
      <w:lvlJc w:val="left"/>
      <w:lvlText w:val="%8)"/>
      <w:numFmt w:val="lowerLetter"/>
      <w:pPr>
        <w:pBdr/>
        <w:tabs>
          <w:tab w:val="num" w:leader="none" w:pos="3360"/>
        </w:tabs>
        <w:spacing/>
        <w:ind w:hanging="420" w:left="3360"/>
      </w:pPr>
      <w:rPr>
        <w:rFonts w:cs="Times New Roman"/>
      </w:rPr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3780"/>
        </w:tabs>
        <w:spacing/>
        <w:ind w:hanging="420" w:left="3780"/>
      </w:pPr>
      <w:rPr>
        <w:rFonts w:cs="Times New Roman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doNotExpandShiftReturn w:val="true"/>
    <w:useFELayout w:val="true"/>
    <w:splitPgBreakAndParaMark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9"/>
    <w:next w:val="699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700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700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700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99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99"/>
    <w:next w:val="69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0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00"/>
    <w:link w:val="703"/>
    <w:uiPriority w:val="99"/>
    <w:pPr>
      <w:pBdr/>
      <w:spacing/>
      <w:ind/>
    </w:pPr>
  </w:style>
  <w:style w:type="character" w:styleId="45">
    <w:name w:val="Footer Char"/>
    <w:basedOn w:val="700"/>
    <w:link w:val="705"/>
    <w:uiPriority w:val="99"/>
    <w:pPr>
      <w:pBdr/>
      <w:spacing/>
      <w:ind/>
    </w:pPr>
  </w:style>
  <w:style w:type="paragraph" w:styleId="46">
    <w:name w:val="Caption"/>
    <w:basedOn w:val="699"/>
    <w:next w:val="69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5"/>
    <w:uiPriority w:val="99"/>
    <w:pPr>
      <w:pBdr/>
      <w:spacing/>
      <w:ind/>
    </w:pPr>
  </w:style>
  <w:style w:type="table" w:styleId="48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0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0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99"/>
    <w:next w:val="69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99"/>
    <w:next w:val="69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99"/>
    <w:next w:val="69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99"/>
    <w:next w:val="69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99"/>
    <w:next w:val="69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99"/>
    <w:next w:val="69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99"/>
    <w:next w:val="69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99"/>
    <w:next w:val="69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99"/>
    <w:next w:val="699"/>
    <w:uiPriority w:val="99"/>
    <w:unhideWhenUsed/>
    <w:pPr>
      <w:pBdr/>
      <w:spacing w:after="0" w:afterAutospacing="0"/>
      <w:ind/>
    </w:pPr>
  </w:style>
  <w:style w:type="paragraph" w:styleId="699" w:default="1">
    <w:name w:val="Normal"/>
    <w:qFormat/>
    <w:pPr>
      <w:widowControl w:val="false"/>
      <w:pBdr/>
      <w:spacing/>
      <w:ind/>
      <w:jc w:val="both"/>
    </w:pPr>
    <w:rPr>
      <w:rFonts w:ascii="Calibri" w:hAnsi="Calibri"/>
      <w:sz w:val="21"/>
      <w:szCs w:val="24"/>
    </w:rPr>
  </w:style>
  <w:style w:type="character" w:styleId="700" w:default="1">
    <w:name w:val="Default Paragraph Font"/>
    <w:uiPriority w:val="1"/>
    <w:semiHidden/>
    <w:unhideWhenUsed/>
    <w:pPr>
      <w:pBdr/>
      <w:spacing/>
      <w:ind/>
    </w:pPr>
  </w:style>
  <w:style w:type="table" w:styleId="70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2" w:default="1">
    <w:name w:val="No List"/>
    <w:uiPriority w:val="99"/>
    <w:semiHidden/>
    <w:unhideWhenUsed/>
    <w:pPr>
      <w:pBdr/>
      <w:spacing/>
      <w:ind/>
    </w:pPr>
  </w:style>
  <w:style w:type="paragraph" w:styleId="703">
    <w:name w:val="Header"/>
    <w:basedOn w:val="699"/>
    <w:link w:val="704"/>
    <w:uiPriority w:val="99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704" w:customStyle="1">
    <w:name w:val="页眉 Char"/>
    <w:basedOn w:val="700"/>
    <w:link w:val="703"/>
    <w:uiPriority w:val="99"/>
    <w:semiHidden/>
    <w:pPr>
      <w:pBdr/>
      <w:spacing/>
      <w:ind/>
    </w:pPr>
    <w:rPr>
      <w:rFonts w:ascii="Calibri" w:hAnsi="Calibri" w:cs="Times New Roman"/>
      <w:sz w:val="18"/>
      <w:szCs w:val="18"/>
    </w:rPr>
  </w:style>
  <w:style w:type="paragraph" w:styleId="705">
    <w:name w:val="Footer"/>
    <w:basedOn w:val="699"/>
    <w:link w:val="706"/>
    <w:uiPriority w:val="99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706" w:customStyle="1">
    <w:name w:val="页脚 Char"/>
    <w:basedOn w:val="700"/>
    <w:link w:val="705"/>
    <w:uiPriority w:val="99"/>
    <w:semiHidden/>
    <w:pPr>
      <w:pBdr/>
      <w:spacing/>
      <w:ind/>
    </w:pPr>
    <w:rPr>
      <w:rFonts w:ascii="Calibri" w:hAnsi="Calibri" w:cs="Times New Roman"/>
      <w:sz w:val="18"/>
      <w:szCs w:val="18"/>
    </w:rPr>
  </w:style>
  <w:style w:type="paragraph" w:styleId="707">
    <w:name w:val="Balloon Text"/>
    <w:basedOn w:val="699"/>
    <w:link w:val="708"/>
    <w:uiPriority w:val="99"/>
    <w:semiHidden/>
    <w:pPr>
      <w:pBdr/>
      <w:spacing/>
      <w:ind/>
    </w:pPr>
    <w:rPr>
      <w:sz w:val="18"/>
      <w:szCs w:val="18"/>
    </w:rPr>
  </w:style>
  <w:style w:type="character" w:styleId="708" w:customStyle="1">
    <w:name w:val="批注框文本 Char"/>
    <w:basedOn w:val="700"/>
    <w:link w:val="707"/>
    <w:uiPriority w:val="99"/>
    <w:semiHidden/>
    <w:pPr>
      <w:pBdr/>
      <w:spacing/>
      <w:ind/>
    </w:pPr>
    <w:rPr>
      <w:rFonts w:ascii="Calibri" w:hAnsi="Calibri" w:cs="Times New Roman"/>
      <w:sz w:val="2"/>
    </w:rPr>
  </w:style>
  <w:style w:type="character" w:styleId="709">
    <w:name w:val="page number"/>
    <w:basedOn w:val="700"/>
    <w:uiPriority w:val="99"/>
    <w:pPr>
      <w:pBdr/>
      <w:spacing/>
      <w:ind/>
    </w:pPr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匿名</cp:lastModifiedBy>
  <cp:revision>49</cp:revision>
  <dcterms:created xsi:type="dcterms:W3CDTF">2016-11-27T06:55:00Z</dcterms:created>
  <dcterms:modified xsi:type="dcterms:W3CDTF">2025-05-15T01:30:57Z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