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9A730">
      <w:pPr>
        <w:spacing w:line="570" w:lineRule="exact"/>
        <w:ind w:firstLine="420" w:firstLineChars="200"/>
      </w:pPr>
      <w:bookmarkStart w:id="0" w:name="_GoBack"/>
      <w:bookmarkEnd w:id="0"/>
    </w:p>
    <w:p w14:paraId="4DDA88C6">
      <w:pPr>
        <w:adjustRightInd w:val="0"/>
        <w:snapToGrid w:val="0"/>
        <w:spacing w:line="570" w:lineRule="exact"/>
        <w:jc w:val="left"/>
        <w:rPr>
          <w:rFonts w:ascii="宋体" w:hAnsi="宋体" w:eastAsia="方正小标宋简体"/>
          <w:kern w:val="0"/>
          <w:sz w:val="30"/>
          <w:szCs w:val="30"/>
        </w:rPr>
      </w:pPr>
      <w:r>
        <w:rPr>
          <w:rFonts w:hint="eastAsia" w:ascii="宋体" w:hAnsi="宋体" w:eastAsia="方正小标宋简体"/>
          <w:kern w:val="0"/>
          <w:sz w:val="30"/>
          <w:szCs w:val="30"/>
        </w:rPr>
        <w:t xml:space="preserve">附件1 </w:t>
      </w:r>
    </w:p>
    <w:p w14:paraId="6788B6D6">
      <w:pPr>
        <w:adjustRightInd w:val="0"/>
        <w:snapToGrid w:val="0"/>
        <w:spacing w:line="570" w:lineRule="exact"/>
        <w:jc w:val="center"/>
        <w:rPr>
          <w:rFonts w:ascii="宋体" w:hAnsi="宋体" w:eastAsia="方正小标宋简体"/>
          <w:kern w:val="0"/>
          <w:sz w:val="40"/>
          <w:szCs w:val="40"/>
        </w:rPr>
      </w:pPr>
      <w:r>
        <w:rPr>
          <w:rFonts w:hint="eastAsia" w:ascii="宋体" w:hAnsi="宋体" w:eastAsia="方正小标宋简体"/>
          <w:kern w:val="0"/>
          <w:sz w:val="40"/>
          <w:szCs w:val="40"/>
        </w:rPr>
        <w:t>遵化市卫生健康局下放行政处罚事项清单</w:t>
      </w:r>
    </w:p>
    <w:tbl>
      <w:tblPr>
        <w:tblStyle w:val="5"/>
        <w:tblpPr w:leftFromText="180" w:rightFromText="180" w:vertAnchor="text" w:horzAnchor="page" w:tblpX="1559" w:tblpY="257"/>
        <w:tblOverlap w:val="never"/>
        <w:tblW w:w="9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0"/>
        <w:gridCol w:w="3650"/>
        <w:gridCol w:w="3525"/>
        <w:gridCol w:w="1722"/>
      </w:tblGrid>
      <w:tr w14:paraId="30462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10" w:type="dxa"/>
            <w:tcMar>
              <w:top w:w="10" w:type="dxa"/>
              <w:left w:w="10" w:type="dxa"/>
              <w:right w:w="10" w:type="dxa"/>
            </w:tcMar>
            <w:vAlign w:val="center"/>
          </w:tcPr>
          <w:p w14:paraId="42DDA6D4">
            <w:pPr>
              <w:widowControl/>
              <w:spacing w:line="570" w:lineRule="exact"/>
              <w:jc w:val="center"/>
              <w:textAlignment w:val="center"/>
              <w:rPr>
                <w:rFonts w:ascii="宋体" w:hAnsi="宋体" w:eastAsia="方正黑体简体" w:cs="方正黑体简体"/>
                <w:bCs/>
                <w:color w:val="000000"/>
                <w:sz w:val="24"/>
                <w:szCs w:val="24"/>
              </w:rPr>
            </w:pPr>
            <w:r>
              <w:rPr>
                <w:rStyle w:val="9"/>
                <w:rFonts w:hint="default" w:ascii="宋体" w:hAnsi="宋体" w:eastAsia="方正黑体简体" w:cs="方正黑体简体"/>
                <w:b w:val="0"/>
                <w:bCs/>
                <w:sz w:val="24"/>
                <w:szCs w:val="24"/>
              </w:rPr>
              <w:t>序号</w:t>
            </w:r>
          </w:p>
        </w:tc>
        <w:tc>
          <w:tcPr>
            <w:tcW w:w="3650" w:type="dxa"/>
            <w:tcMar>
              <w:top w:w="10" w:type="dxa"/>
              <w:left w:w="10" w:type="dxa"/>
              <w:right w:w="10" w:type="dxa"/>
            </w:tcMar>
            <w:vAlign w:val="center"/>
          </w:tcPr>
          <w:p w14:paraId="11754562">
            <w:pPr>
              <w:widowControl/>
              <w:spacing w:line="570" w:lineRule="exact"/>
              <w:jc w:val="center"/>
              <w:textAlignment w:val="center"/>
              <w:rPr>
                <w:rFonts w:ascii="宋体" w:hAnsi="宋体" w:eastAsia="方正黑体简体" w:cs="方正黑体简体"/>
                <w:bCs/>
                <w:color w:val="000000"/>
                <w:sz w:val="24"/>
                <w:szCs w:val="24"/>
              </w:rPr>
            </w:pPr>
            <w:r>
              <w:rPr>
                <w:rStyle w:val="9"/>
                <w:rFonts w:hint="default" w:ascii="宋体" w:hAnsi="宋体" w:eastAsia="方正黑体简体" w:cs="方正黑体简体"/>
                <w:b w:val="0"/>
                <w:bCs/>
                <w:sz w:val="24"/>
                <w:szCs w:val="24"/>
              </w:rPr>
              <w:t>事   项   名   称</w:t>
            </w:r>
          </w:p>
        </w:tc>
        <w:tc>
          <w:tcPr>
            <w:tcW w:w="3525" w:type="dxa"/>
            <w:tcMar>
              <w:top w:w="10" w:type="dxa"/>
              <w:left w:w="10" w:type="dxa"/>
              <w:right w:w="10" w:type="dxa"/>
            </w:tcMar>
            <w:vAlign w:val="center"/>
          </w:tcPr>
          <w:p w14:paraId="5115B90B">
            <w:pPr>
              <w:widowControl/>
              <w:spacing w:line="570" w:lineRule="exact"/>
              <w:jc w:val="center"/>
              <w:textAlignment w:val="center"/>
              <w:rPr>
                <w:rFonts w:ascii="宋体" w:hAnsi="宋体" w:eastAsia="方正黑体简体" w:cs="方正黑体简体"/>
                <w:bCs/>
                <w:color w:val="000000"/>
                <w:sz w:val="24"/>
                <w:szCs w:val="24"/>
              </w:rPr>
            </w:pPr>
            <w:r>
              <w:rPr>
                <w:rStyle w:val="9"/>
                <w:rFonts w:hint="default" w:ascii="宋体" w:hAnsi="宋体" w:eastAsia="方正黑体简体" w:cs="方正黑体简体"/>
                <w:b w:val="0"/>
                <w:bCs/>
                <w:sz w:val="24"/>
                <w:szCs w:val="24"/>
              </w:rPr>
              <w:t>设  定  依  据</w:t>
            </w:r>
          </w:p>
        </w:tc>
        <w:tc>
          <w:tcPr>
            <w:tcW w:w="1722" w:type="dxa"/>
            <w:tcMar>
              <w:top w:w="10" w:type="dxa"/>
              <w:left w:w="10" w:type="dxa"/>
              <w:right w:w="10" w:type="dxa"/>
            </w:tcMar>
            <w:vAlign w:val="center"/>
          </w:tcPr>
          <w:p w14:paraId="3E8DC6D5">
            <w:pPr>
              <w:widowControl/>
              <w:spacing w:line="570" w:lineRule="exact"/>
              <w:jc w:val="center"/>
              <w:textAlignment w:val="center"/>
              <w:rPr>
                <w:rFonts w:ascii="宋体" w:hAnsi="宋体" w:eastAsia="方正黑体简体" w:cs="方正黑体简体"/>
                <w:bCs/>
                <w:color w:val="000000"/>
                <w:sz w:val="24"/>
                <w:szCs w:val="24"/>
              </w:rPr>
            </w:pPr>
            <w:r>
              <w:rPr>
                <w:rStyle w:val="9"/>
                <w:rFonts w:hint="default" w:ascii="宋体" w:hAnsi="宋体" w:eastAsia="方正黑体简体" w:cs="方正黑体简体"/>
                <w:b w:val="0"/>
                <w:bCs/>
                <w:sz w:val="24"/>
                <w:szCs w:val="24"/>
              </w:rPr>
              <w:t>备注</w:t>
            </w:r>
          </w:p>
        </w:tc>
      </w:tr>
      <w:tr w14:paraId="16E01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10" w:type="dxa"/>
            <w:noWrap/>
            <w:tcMar>
              <w:top w:w="10" w:type="dxa"/>
              <w:left w:w="10" w:type="dxa"/>
              <w:right w:w="10" w:type="dxa"/>
            </w:tcMar>
            <w:vAlign w:val="center"/>
          </w:tcPr>
          <w:p w14:paraId="129D5827">
            <w:pPr>
              <w:widowControl/>
              <w:spacing w:line="570" w:lineRule="exact"/>
              <w:jc w:val="center"/>
              <w:textAlignment w:val="center"/>
              <w:rPr>
                <w:rFonts w:ascii="宋体" w:hAnsi="宋体" w:eastAsia="方正仿宋简体" w:cs="方正仿宋简体"/>
                <w:bCs/>
                <w:color w:val="000000"/>
                <w:sz w:val="24"/>
                <w:szCs w:val="24"/>
              </w:rPr>
            </w:pPr>
            <w:r>
              <w:rPr>
                <w:rFonts w:hint="eastAsia" w:ascii="宋体" w:hAnsi="宋体" w:eastAsia="方正仿宋简体" w:cs="方正仿宋简体"/>
                <w:bCs/>
                <w:color w:val="000000"/>
                <w:sz w:val="24"/>
                <w:szCs w:val="24"/>
              </w:rPr>
              <w:t>1</w:t>
            </w:r>
          </w:p>
        </w:tc>
        <w:tc>
          <w:tcPr>
            <w:tcW w:w="3650" w:type="dxa"/>
            <w:tcMar>
              <w:top w:w="10" w:type="dxa"/>
              <w:left w:w="10" w:type="dxa"/>
              <w:right w:w="10" w:type="dxa"/>
            </w:tcMar>
            <w:vAlign w:val="center"/>
          </w:tcPr>
          <w:p w14:paraId="5D77DB33">
            <w:pPr>
              <w:widowControl/>
              <w:spacing w:line="570" w:lineRule="exact"/>
              <w:jc w:val="left"/>
              <w:textAlignment w:val="center"/>
              <w:rPr>
                <w:rFonts w:ascii="宋体" w:hAnsi="宋体" w:eastAsia="方正仿宋简体" w:cs="方正仿宋简体"/>
                <w:bCs/>
                <w:color w:val="000000"/>
                <w:sz w:val="24"/>
                <w:szCs w:val="24"/>
              </w:rPr>
            </w:pPr>
            <w:r>
              <w:rPr>
                <w:rFonts w:hint="eastAsia" w:ascii="宋体" w:hAnsi="宋体" w:eastAsia="方正仿宋简体" w:cs="方正仿宋简体"/>
                <w:bCs/>
                <w:color w:val="000000"/>
                <w:sz w:val="24"/>
                <w:szCs w:val="24"/>
              </w:rPr>
              <w:t>对擅自开办医疗机构行医或者非医师行医的处罚</w:t>
            </w:r>
          </w:p>
        </w:tc>
        <w:tc>
          <w:tcPr>
            <w:tcW w:w="3525" w:type="dxa"/>
            <w:tcMar>
              <w:top w:w="10" w:type="dxa"/>
              <w:left w:w="10" w:type="dxa"/>
              <w:right w:w="10" w:type="dxa"/>
            </w:tcMar>
            <w:vAlign w:val="center"/>
          </w:tcPr>
          <w:p w14:paraId="506DE873">
            <w:pPr>
              <w:widowControl/>
              <w:spacing w:line="570" w:lineRule="exact"/>
              <w:jc w:val="left"/>
              <w:textAlignment w:val="center"/>
              <w:rPr>
                <w:rFonts w:ascii="宋体" w:hAnsi="宋体" w:eastAsia="方正仿宋简体" w:cs="方正仿宋简体"/>
                <w:bCs/>
                <w:color w:val="000000"/>
                <w:sz w:val="24"/>
                <w:szCs w:val="24"/>
              </w:rPr>
            </w:pPr>
            <w:r>
              <w:rPr>
                <w:rFonts w:hint="eastAsia" w:ascii="宋体" w:hAnsi="宋体" w:eastAsia="方正仿宋简体" w:cs="方正仿宋简体"/>
                <w:bCs/>
                <w:color w:val="000000"/>
                <w:sz w:val="24"/>
                <w:szCs w:val="24"/>
              </w:rPr>
              <w:t>《中华人民共和国执业医师法》（2009年修正）第三十九条</w:t>
            </w:r>
          </w:p>
        </w:tc>
        <w:tc>
          <w:tcPr>
            <w:tcW w:w="1722" w:type="dxa"/>
            <w:tcMar>
              <w:top w:w="10" w:type="dxa"/>
              <w:left w:w="10" w:type="dxa"/>
              <w:right w:w="10" w:type="dxa"/>
            </w:tcMar>
            <w:vAlign w:val="center"/>
          </w:tcPr>
          <w:p w14:paraId="005350F3">
            <w:pPr>
              <w:spacing w:line="570" w:lineRule="exact"/>
              <w:jc w:val="center"/>
              <w:rPr>
                <w:rFonts w:ascii="宋体" w:hAnsi="宋体" w:eastAsia="方正仿宋简体" w:cs="方正仿宋简体"/>
                <w:bCs/>
                <w:color w:val="000000"/>
                <w:sz w:val="24"/>
                <w:szCs w:val="24"/>
              </w:rPr>
            </w:pPr>
          </w:p>
        </w:tc>
      </w:tr>
      <w:tr w14:paraId="0427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10" w:type="dxa"/>
            <w:noWrap/>
            <w:tcMar>
              <w:top w:w="10" w:type="dxa"/>
              <w:left w:w="10" w:type="dxa"/>
              <w:right w:w="10" w:type="dxa"/>
            </w:tcMar>
            <w:vAlign w:val="center"/>
          </w:tcPr>
          <w:p w14:paraId="4992FE9A">
            <w:pPr>
              <w:widowControl/>
              <w:spacing w:line="570" w:lineRule="exact"/>
              <w:jc w:val="center"/>
              <w:textAlignment w:val="center"/>
              <w:rPr>
                <w:rFonts w:ascii="宋体" w:hAnsi="宋体" w:eastAsia="方正仿宋简体" w:cs="方正仿宋简体"/>
                <w:bCs/>
                <w:color w:val="000000"/>
                <w:sz w:val="24"/>
                <w:szCs w:val="24"/>
              </w:rPr>
            </w:pPr>
            <w:r>
              <w:rPr>
                <w:rFonts w:hint="eastAsia" w:ascii="宋体" w:hAnsi="宋体" w:eastAsia="方正仿宋简体" w:cs="方正仿宋简体"/>
                <w:bCs/>
                <w:color w:val="000000"/>
                <w:sz w:val="24"/>
                <w:szCs w:val="24"/>
              </w:rPr>
              <w:t>2</w:t>
            </w:r>
          </w:p>
        </w:tc>
        <w:tc>
          <w:tcPr>
            <w:tcW w:w="3650" w:type="dxa"/>
            <w:tcMar>
              <w:top w:w="10" w:type="dxa"/>
              <w:left w:w="10" w:type="dxa"/>
              <w:right w:w="10" w:type="dxa"/>
            </w:tcMar>
            <w:vAlign w:val="center"/>
          </w:tcPr>
          <w:p w14:paraId="574A15A3">
            <w:pPr>
              <w:widowControl/>
              <w:spacing w:line="570" w:lineRule="exact"/>
              <w:jc w:val="left"/>
              <w:textAlignment w:val="center"/>
              <w:rPr>
                <w:rFonts w:ascii="宋体" w:hAnsi="宋体" w:eastAsia="方正仿宋简体" w:cs="方正仿宋简体"/>
                <w:bCs/>
                <w:color w:val="000000"/>
                <w:sz w:val="24"/>
                <w:szCs w:val="24"/>
              </w:rPr>
            </w:pPr>
            <w:r>
              <w:rPr>
                <w:rFonts w:hint="eastAsia" w:ascii="宋体" w:hAnsi="宋体" w:eastAsia="方正仿宋简体" w:cs="方正仿宋简体"/>
                <w:bCs/>
                <w:color w:val="000000"/>
                <w:sz w:val="24"/>
                <w:szCs w:val="24"/>
              </w:rPr>
              <w:t>对违反公共场所卫生要求的处罚</w:t>
            </w:r>
          </w:p>
        </w:tc>
        <w:tc>
          <w:tcPr>
            <w:tcW w:w="3525" w:type="dxa"/>
            <w:tcMar>
              <w:top w:w="10" w:type="dxa"/>
              <w:left w:w="10" w:type="dxa"/>
              <w:right w:w="10" w:type="dxa"/>
            </w:tcMar>
            <w:vAlign w:val="center"/>
          </w:tcPr>
          <w:p w14:paraId="36647976">
            <w:pPr>
              <w:widowControl/>
              <w:spacing w:line="570" w:lineRule="exact"/>
              <w:jc w:val="left"/>
              <w:textAlignment w:val="center"/>
              <w:rPr>
                <w:rFonts w:ascii="宋体" w:hAnsi="宋体" w:eastAsia="方正仿宋简体" w:cs="方正仿宋简体"/>
                <w:bCs/>
                <w:color w:val="000000"/>
                <w:sz w:val="24"/>
                <w:szCs w:val="24"/>
              </w:rPr>
            </w:pPr>
            <w:r>
              <w:rPr>
                <w:rFonts w:hint="eastAsia" w:ascii="宋体" w:hAnsi="宋体" w:eastAsia="方正仿宋简体" w:cs="方正仿宋简体"/>
                <w:bCs/>
                <w:color w:val="000000"/>
                <w:sz w:val="24"/>
                <w:szCs w:val="24"/>
              </w:rPr>
              <w:t>《公共场所卫生管理条例》（</w:t>
            </w:r>
            <w:r>
              <w:rPr>
                <w:rFonts w:hint="eastAsia" w:ascii="宋体" w:hAnsi="宋体" w:eastAsia="方正仿宋简体" w:cs="方正仿宋简体"/>
                <w:bCs/>
                <w:color w:val="000000"/>
                <w:sz w:val="24"/>
                <w:szCs w:val="24"/>
                <w:lang w:eastAsia="zh-CN"/>
              </w:rPr>
              <w:t>2019年国务院令第714号）第十四</w:t>
            </w:r>
            <w:r>
              <w:rPr>
                <w:rFonts w:hint="eastAsia" w:ascii="宋体" w:hAnsi="宋体" w:eastAsia="方正仿宋简体" w:cs="方正仿宋简体"/>
                <w:bCs/>
                <w:color w:val="000000"/>
                <w:sz w:val="24"/>
                <w:szCs w:val="24"/>
              </w:rPr>
              <w:t>条，《公共场所卫生管理条例实施细则》（2017年修正）第三十五条、第三十六条、第三十七条、第三十八条、第三十九条</w:t>
            </w:r>
          </w:p>
        </w:tc>
        <w:tc>
          <w:tcPr>
            <w:tcW w:w="1722" w:type="dxa"/>
            <w:tcMar>
              <w:top w:w="10" w:type="dxa"/>
              <w:left w:w="10" w:type="dxa"/>
              <w:right w:w="10" w:type="dxa"/>
            </w:tcMar>
            <w:vAlign w:val="center"/>
          </w:tcPr>
          <w:p w14:paraId="4BFE348D">
            <w:pPr>
              <w:spacing w:line="570" w:lineRule="exact"/>
              <w:jc w:val="center"/>
              <w:rPr>
                <w:rFonts w:ascii="宋体" w:hAnsi="宋体" w:eastAsia="方正仿宋简体" w:cs="方正仿宋简体"/>
                <w:bCs/>
                <w:color w:val="000000"/>
                <w:sz w:val="24"/>
                <w:szCs w:val="24"/>
              </w:rPr>
            </w:pPr>
          </w:p>
        </w:tc>
      </w:tr>
      <w:tr w14:paraId="0840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10" w:type="dxa"/>
            <w:noWrap/>
            <w:tcMar>
              <w:top w:w="10" w:type="dxa"/>
              <w:left w:w="10" w:type="dxa"/>
              <w:right w:w="10" w:type="dxa"/>
            </w:tcMar>
            <w:vAlign w:val="center"/>
          </w:tcPr>
          <w:p w14:paraId="56940641">
            <w:pPr>
              <w:widowControl/>
              <w:spacing w:line="570" w:lineRule="exact"/>
              <w:jc w:val="center"/>
              <w:textAlignment w:val="center"/>
              <w:rPr>
                <w:rFonts w:ascii="宋体" w:hAnsi="宋体" w:eastAsia="方正仿宋简体" w:cs="方正仿宋简体"/>
                <w:bCs/>
                <w:color w:val="000000"/>
                <w:sz w:val="24"/>
                <w:szCs w:val="24"/>
              </w:rPr>
            </w:pPr>
            <w:r>
              <w:rPr>
                <w:rFonts w:hint="eastAsia" w:ascii="宋体" w:hAnsi="宋体" w:eastAsia="方正仿宋简体" w:cs="方正仿宋简体"/>
                <w:bCs/>
                <w:color w:val="000000"/>
                <w:sz w:val="24"/>
                <w:szCs w:val="24"/>
              </w:rPr>
              <w:t>3</w:t>
            </w:r>
          </w:p>
        </w:tc>
        <w:tc>
          <w:tcPr>
            <w:tcW w:w="3650" w:type="dxa"/>
            <w:tcMar>
              <w:top w:w="10" w:type="dxa"/>
              <w:left w:w="10" w:type="dxa"/>
              <w:right w:w="10" w:type="dxa"/>
            </w:tcMar>
            <w:vAlign w:val="center"/>
          </w:tcPr>
          <w:p w14:paraId="73810CE5">
            <w:pPr>
              <w:widowControl/>
              <w:spacing w:line="570" w:lineRule="exact"/>
              <w:jc w:val="left"/>
              <w:textAlignment w:val="center"/>
              <w:rPr>
                <w:rFonts w:ascii="宋体" w:hAnsi="宋体" w:eastAsia="方正仿宋简体" w:cs="方正仿宋简体"/>
                <w:bCs/>
                <w:color w:val="000000"/>
                <w:sz w:val="24"/>
                <w:szCs w:val="24"/>
              </w:rPr>
            </w:pPr>
            <w:r>
              <w:rPr>
                <w:rFonts w:hint="eastAsia" w:ascii="宋体" w:hAnsi="宋体" w:eastAsia="方正仿宋简体" w:cs="方正仿宋简体"/>
                <w:bCs/>
                <w:color w:val="000000"/>
                <w:sz w:val="24"/>
                <w:szCs w:val="24"/>
              </w:rPr>
              <w:t>对餐具、饮具集中消毒服务单位违反集中消毒规定的处罚</w:t>
            </w:r>
          </w:p>
        </w:tc>
        <w:tc>
          <w:tcPr>
            <w:tcW w:w="3525" w:type="dxa"/>
            <w:tcMar>
              <w:top w:w="10" w:type="dxa"/>
              <w:left w:w="10" w:type="dxa"/>
              <w:right w:w="10" w:type="dxa"/>
            </w:tcMar>
            <w:vAlign w:val="center"/>
          </w:tcPr>
          <w:p w14:paraId="580B71E5">
            <w:pPr>
              <w:widowControl/>
              <w:spacing w:line="570" w:lineRule="exact"/>
              <w:jc w:val="left"/>
              <w:textAlignment w:val="center"/>
              <w:rPr>
                <w:rFonts w:ascii="宋体" w:hAnsi="宋体" w:eastAsia="方正仿宋简体" w:cs="方正仿宋简体"/>
                <w:bCs/>
                <w:color w:val="000000"/>
                <w:sz w:val="24"/>
                <w:szCs w:val="24"/>
              </w:rPr>
            </w:pPr>
            <w:r>
              <w:rPr>
                <w:rFonts w:hint="eastAsia" w:ascii="宋体" w:hAnsi="宋体" w:eastAsia="方正仿宋简体" w:cs="方正仿宋简体"/>
                <w:bCs/>
                <w:color w:val="000000"/>
                <w:sz w:val="24"/>
                <w:szCs w:val="24"/>
              </w:rPr>
              <w:t>《中华人民共和国食品安全法》（2018年修正）第一百二十六条</w:t>
            </w:r>
          </w:p>
        </w:tc>
        <w:tc>
          <w:tcPr>
            <w:tcW w:w="1722" w:type="dxa"/>
            <w:tcMar>
              <w:top w:w="10" w:type="dxa"/>
              <w:left w:w="10" w:type="dxa"/>
              <w:right w:w="10" w:type="dxa"/>
            </w:tcMar>
            <w:vAlign w:val="center"/>
          </w:tcPr>
          <w:p w14:paraId="79135338">
            <w:pPr>
              <w:spacing w:line="570" w:lineRule="exact"/>
              <w:jc w:val="center"/>
              <w:rPr>
                <w:rFonts w:ascii="宋体" w:hAnsi="宋体" w:eastAsia="方正仿宋简体" w:cs="方正仿宋简体"/>
                <w:bCs/>
                <w:color w:val="000000"/>
                <w:sz w:val="24"/>
                <w:szCs w:val="24"/>
              </w:rPr>
            </w:pPr>
          </w:p>
        </w:tc>
      </w:tr>
      <w:tr w14:paraId="63F96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10" w:type="dxa"/>
            <w:noWrap/>
            <w:tcMar>
              <w:top w:w="10" w:type="dxa"/>
              <w:left w:w="10" w:type="dxa"/>
              <w:right w:w="10" w:type="dxa"/>
            </w:tcMar>
            <w:vAlign w:val="center"/>
          </w:tcPr>
          <w:p w14:paraId="18CDA334">
            <w:pPr>
              <w:widowControl/>
              <w:spacing w:line="570" w:lineRule="exact"/>
              <w:jc w:val="center"/>
              <w:textAlignment w:val="center"/>
              <w:rPr>
                <w:rFonts w:ascii="宋体" w:hAnsi="宋体" w:eastAsia="方正仿宋简体" w:cs="方正仿宋简体"/>
                <w:bCs/>
                <w:color w:val="000000"/>
                <w:sz w:val="24"/>
                <w:szCs w:val="24"/>
              </w:rPr>
            </w:pPr>
          </w:p>
        </w:tc>
        <w:tc>
          <w:tcPr>
            <w:tcW w:w="3650" w:type="dxa"/>
            <w:tcMar>
              <w:top w:w="10" w:type="dxa"/>
              <w:left w:w="10" w:type="dxa"/>
              <w:right w:w="10" w:type="dxa"/>
            </w:tcMar>
            <w:vAlign w:val="center"/>
          </w:tcPr>
          <w:p w14:paraId="2D20E3B7">
            <w:pPr>
              <w:widowControl/>
              <w:spacing w:line="570" w:lineRule="exact"/>
              <w:jc w:val="left"/>
              <w:textAlignment w:val="center"/>
              <w:rPr>
                <w:rFonts w:ascii="宋体" w:hAnsi="宋体" w:eastAsia="方正仿宋简体" w:cs="方正仿宋简体"/>
                <w:bCs/>
                <w:color w:val="000000"/>
                <w:sz w:val="24"/>
                <w:szCs w:val="24"/>
              </w:rPr>
            </w:pPr>
          </w:p>
        </w:tc>
        <w:tc>
          <w:tcPr>
            <w:tcW w:w="3525" w:type="dxa"/>
            <w:tcMar>
              <w:top w:w="10" w:type="dxa"/>
              <w:left w:w="10" w:type="dxa"/>
              <w:right w:w="10" w:type="dxa"/>
            </w:tcMar>
            <w:vAlign w:val="center"/>
          </w:tcPr>
          <w:p w14:paraId="3734CEEB">
            <w:pPr>
              <w:widowControl/>
              <w:spacing w:line="570" w:lineRule="exact"/>
              <w:jc w:val="left"/>
              <w:textAlignment w:val="center"/>
              <w:rPr>
                <w:rFonts w:ascii="宋体" w:hAnsi="宋体" w:eastAsia="方正仿宋简体" w:cs="方正仿宋简体"/>
                <w:bCs/>
                <w:color w:val="000000"/>
                <w:sz w:val="24"/>
                <w:szCs w:val="24"/>
              </w:rPr>
            </w:pPr>
          </w:p>
        </w:tc>
        <w:tc>
          <w:tcPr>
            <w:tcW w:w="1722" w:type="dxa"/>
            <w:tcMar>
              <w:top w:w="10" w:type="dxa"/>
              <w:left w:w="10" w:type="dxa"/>
              <w:right w:w="10" w:type="dxa"/>
            </w:tcMar>
            <w:vAlign w:val="center"/>
          </w:tcPr>
          <w:p w14:paraId="01397554">
            <w:pPr>
              <w:spacing w:line="570" w:lineRule="exact"/>
              <w:jc w:val="center"/>
              <w:rPr>
                <w:rFonts w:ascii="宋体" w:hAnsi="宋体" w:eastAsia="方正仿宋简体" w:cs="方正仿宋简体"/>
                <w:bCs/>
                <w:color w:val="000000"/>
                <w:sz w:val="24"/>
                <w:szCs w:val="24"/>
              </w:rPr>
            </w:pPr>
          </w:p>
        </w:tc>
      </w:tr>
      <w:tr w14:paraId="783C0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10" w:type="dxa"/>
            <w:noWrap/>
            <w:tcMar>
              <w:top w:w="10" w:type="dxa"/>
              <w:left w:w="10" w:type="dxa"/>
              <w:right w:w="10" w:type="dxa"/>
            </w:tcMar>
            <w:vAlign w:val="center"/>
          </w:tcPr>
          <w:p w14:paraId="36E9DC3A">
            <w:pPr>
              <w:widowControl/>
              <w:spacing w:line="570" w:lineRule="exact"/>
              <w:jc w:val="center"/>
              <w:textAlignment w:val="center"/>
              <w:rPr>
                <w:rFonts w:ascii="宋体" w:hAnsi="宋体" w:eastAsia="方正仿宋简体" w:cs="方正仿宋简体"/>
                <w:bCs/>
                <w:color w:val="000000"/>
                <w:sz w:val="24"/>
                <w:szCs w:val="24"/>
              </w:rPr>
            </w:pPr>
          </w:p>
        </w:tc>
        <w:tc>
          <w:tcPr>
            <w:tcW w:w="3650" w:type="dxa"/>
            <w:tcMar>
              <w:top w:w="10" w:type="dxa"/>
              <w:left w:w="10" w:type="dxa"/>
              <w:right w:w="10" w:type="dxa"/>
            </w:tcMar>
            <w:vAlign w:val="center"/>
          </w:tcPr>
          <w:p w14:paraId="7FC67679">
            <w:pPr>
              <w:widowControl/>
              <w:spacing w:line="570" w:lineRule="exact"/>
              <w:jc w:val="left"/>
              <w:textAlignment w:val="center"/>
              <w:rPr>
                <w:rFonts w:ascii="宋体" w:hAnsi="宋体" w:eastAsia="方正仿宋简体" w:cs="方正仿宋简体"/>
                <w:bCs/>
                <w:color w:val="000000"/>
                <w:sz w:val="24"/>
                <w:szCs w:val="24"/>
              </w:rPr>
            </w:pPr>
          </w:p>
        </w:tc>
        <w:tc>
          <w:tcPr>
            <w:tcW w:w="3525" w:type="dxa"/>
            <w:tcMar>
              <w:top w:w="10" w:type="dxa"/>
              <w:left w:w="10" w:type="dxa"/>
              <w:right w:w="10" w:type="dxa"/>
            </w:tcMar>
            <w:vAlign w:val="center"/>
          </w:tcPr>
          <w:p w14:paraId="44512218">
            <w:pPr>
              <w:widowControl/>
              <w:spacing w:line="570" w:lineRule="exact"/>
              <w:jc w:val="left"/>
              <w:textAlignment w:val="center"/>
              <w:rPr>
                <w:rFonts w:ascii="宋体" w:hAnsi="宋体" w:eastAsia="方正仿宋简体" w:cs="方正仿宋简体"/>
                <w:bCs/>
                <w:color w:val="000000"/>
                <w:sz w:val="24"/>
                <w:szCs w:val="24"/>
              </w:rPr>
            </w:pPr>
          </w:p>
        </w:tc>
        <w:tc>
          <w:tcPr>
            <w:tcW w:w="1722" w:type="dxa"/>
            <w:tcMar>
              <w:top w:w="10" w:type="dxa"/>
              <w:left w:w="10" w:type="dxa"/>
              <w:right w:w="10" w:type="dxa"/>
            </w:tcMar>
            <w:vAlign w:val="center"/>
          </w:tcPr>
          <w:p w14:paraId="05654425">
            <w:pPr>
              <w:spacing w:line="570" w:lineRule="exact"/>
              <w:jc w:val="center"/>
              <w:rPr>
                <w:rFonts w:ascii="宋体" w:hAnsi="宋体" w:eastAsia="方正仿宋简体" w:cs="方正仿宋简体"/>
                <w:bCs/>
                <w:color w:val="000000"/>
                <w:sz w:val="24"/>
                <w:szCs w:val="24"/>
              </w:rPr>
            </w:pPr>
          </w:p>
        </w:tc>
      </w:tr>
      <w:tr w14:paraId="2BB11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10" w:type="dxa"/>
            <w:noWrap/>
            <w:tcMar>
              <w:top w:w="10" w:type="dxa"/>
              <w:left w:w="10" w:type="dxa"/>
              <w:right w:w="10" w:type="dxa"/>
            </w:tcMar>
            <w:vAlign w:val="center"/>
          </w:tcPr>
          <w:p w14:paraId="40134CB3">
            <w:pPr>
              <w:widowControl/>
              <w:spacing w:line="570" w:lineRule="exact"/>
              <w:jc w:val="center"/>
              <w:textAlignment w:val="center"/>
              <w:rPr>
                <w:rFonts w:ascii="宋体" w:hAnsi="宋体" w:eastAsia="方正仿宋简体" w:cs="方正仿宋简体"/>
                <w:bCs/>
                <w:color w:val="000000"/>
                <w:sz w:val="24"/>
                <w:szCs w:val="24"/>
              </w:rPr>
            </w:pPr>
          </w:p>
        </w:tc>
        <w:tc>
          <w:tcPr>
            <w:tcW w:w="3650" w:type="dxa"/>
            <w:tcMar>
              <w:top w:w="10" w:type="dxa"/>
              <w:left w:w="10" w:type="dxa"/>
              <w:right w:w="10" w:type="dxa"/>
            </w:tcMar>
            <w:vAlign w:val="center"/>
          </w:tcPr>
          <w:p w14:paraId="5A7D42FB">
            <w:pPr>
              <w:widowControl/>
              <w:spacing w:line="570" w:lineRule="exact"/>
              <w:jc w:val="left"/>
              <w:textAlignment w:val="center"/>
              <w:rPr>
                <w:rFonts w:ascii="宋体" w:hAnsi="宋体" w:eastAsia="方正仿宋简体" w:cs="方正仿宋简体"/>
                <w:bCs/>
                <w:color w:val="000000"/>
                <w:sz w:val="24"/>
                <w:szCs w:val="24"/>
              </w:rPr>
            </w:pPr>
          </w:p>
        </w:tc>
        <w:tc>
          <w:tcPr>
            <w:tcW w:w="3525" w:type="dxa"/>
            <w:tcMar>
              <w:top w:w="10" w:type="dxa"/>
              <w:left w:w="10" w:type="dxa"/>
              <w:right w:w="10" w:type="dxa"/>
            </w:tcMar>
            <w:vAlign w:val="center"/>
          </w:tcPr>
          <w:p w14:paraId="1B8FB1DA">
            <w:pPr>
              <w:widowControl/>
              <w:spacing w:line="570" w:lineRule="exact"/>
              <w:jc w:val="left"/>
              <w:textAlignment w:val="center"/>
              <w:rPr>
                <w:rFonts w:ascii="宋体" w:hAnsi="宋体" w:eastAsia="方正仿宋简体" w:cs="方正仿宋简体"/>
                <w:bCs/>
                <w:color w:val="000000"/>
                <w:sz w:val="24"/>
                <w:szCs w:val="24"/>
              </w:rPr>
            </w:pPr>
          </w:p>
        </w:tc>
        <w:tc>
          <w:tcPr>
            <w:tcW w:w="1722" w:type="dxa"/>
            <w:tcMar>
              <w:top w:w="10" w:type="dxa"/>
              <w:left w:w="10" w:type="dxa"/>
              <w:right w:w="10" w:type="dxa"/>
            </w:tcMar>
            <w:vAlign w:val="center"/>
          </w:tcPr>
          <w:p w14:paraId="59252D1B">
            <w:pPr>
              <w:spacing w:line="570" w:lineRule="exact"/>
              <w:jc w:val="center"/>
              <w:rPr>
                <w:rFonts w:ascii="宋体" w:hAnsi="宋体" w:eastAsia="方正仿宋简体" w:cs="方正仿宋简体"/>
                <w:bCs/>
                <w:color w:val="000000"/>
                <w:sz w:val="24"/>
                <w:szCs w:val="24"/>
              </w:rPr>
            </w:pPr>
          </w:p>
        </w:tc>
      </w:tr>
      <w:tr w14:paraId="6925B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10" w:type="dxa"/>
            <w:noWrap/>
            <w:tcMar>
              <w:top w:w="10" w:type="dxa"/>
              <w:left w:w="10" w:type="dxa"/>
              <w:right w:w="10" w:type="dxa"/>
            </w:tcMar>
            <w:vAlign w:val="center"/>
          </w:tcPr>
          <w:p w14:paraId="10A20AA4">
            <w:pPr>
              <w:widowControl/>
              <w:spacing w:line="570" w:lineRule="exact"/>
              <w:jc w:val="center"/>
              <w:textAlignment w:val="center"/>
              <w:rPr>
                <w:rFonts w:ascii="宋体" w:hAnsi="宋体" w:eastAsia="方正仿宋简体" w:cs="方正仿宋简体"/>
                <w:bCs/>
                <w:color w:val="000000"/>
                <w:sz w:val="24"/>
                <w:szCs w:val="24"/>
              </w:rPr>
            </w:pPr>
          </w:p>
        </w:tc>
        <w:tc>
          <w:tcPr>
            <w:tcW w:w="3650" w:type="dxa"/>
            <w:tcMar>
              <w:top w:w="10" w:type="dxa"/>
              <w:left w:w="10" w:type="dxa"/>
              <w:right w:w="10" w:type="dxa"/>
            </w:tcMar>
            <w:vAlign w:val="center"/>
          </w:tcPr>
          <w:p w14:paraId="638E956B">
            <w:pPr>
              <w:widowControl/>
              <w:spacing w:line="570" w:lineRule="exact"/>
              <w:jc w:val="left"/>
              <w:textAlignment w:val="center"/>
              <w:rPr>
                <w:rFonts w:ascii="宋体" w:hAnsi="宋体" w:eastAsia="方正仿宋简体" w:cs="方正仿宋简体"/>
                <w:bCs/>
                <w:color w:val="000000"/>
                <w:sz w:val="24"/>
                <w:szCs w:val="24"/>
              </w:rPr>
            </w:pPr>
          </w:p>
        </w:tc>
        <w:tc>
          <w:tcPr>
            <w:tcW w:w="3525" w:type="dxa"/>
            <w:tcMar>
              <w:top w:w="10" w:type="dxa"/>
              <w:left w:w="10" w:type="dxa"/>
              <w:right w:w="10" w:type="dxa"/>
            </w:tcMar>
            <w:vAlign w:val="center"/>
          </w:tcPr>
          <w:p w14:paraId="668829CA">
            <w:pPr>
              <w:widowControl/>
              <w:spacing w:line="570" w:lineRule="exact"/>
              <w:jc w:val="left"/>
              <w:textAlignment w:val="center"/>
              <w:rPr>
                <w:rFonts w:ascii="宋体" w:hAnsi="宋体" w:eastAsia="方正仿宋简体" w:cs="方正仿宋简体"/>
                <w:bCs/>
                <w:color w:val="000000"/>
                <w:sz w:val="24"/>
                <w:szCs w:val="24"/>
              </w:rPr>
            </w:pPr>
          </w:p>
        </w:tc>
        <w:tc>
          <w:tcPr>
            <w:tcW w:w="1722" w:type="dxa"/>
            <w:tcMar>
              <w:top w:w="10" w:type="dxa"/>
              <w:left w:w="10" w:type="dxa"/>
              <w:right w:w="10" w:type="dxa"/>
            </w:tcMar>
            <w:vAlign w:val="center"/>
          </w:tcPr>
          <w:p w14:paraId="3550516D">
            <w:pPr>
              <w:spacing w:line="570" w:lineRule="exact"/>
              <w:jc w:val="center"/>
              <w:rPr>
                <w:rFonts w:ascii="宋体" w:hAnsi="宋体" w:eastAsia="方正仿宋简体" w:cs="方正仿宋简体"/>
                <w:bCs/>
                <w:color w:val="000000"/>
                <w:sz w:val="24"/>
                <w:szCs w:val="24"/>
              </w:rPr>
            </w:pPr>
          </w:p>
        </w:tc>
      </w:tr>
      <w:tr w14:paraId="302A7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10" w:type="dxa"/>
            <w:noWrap/>
            <w:tcMar>
              <w:top w:w="10" w:type="dxa"/>
              <w:left w:w="10" w:type="dxa"/>
              <w:right w:w="10" w:type="dxa"/>
            </w:tcMar>
            <w:vAlign w:val="center"/>
          </w:tcPr>
          <w:p w14:paraId="0DD3131B">
            <w:pPr>
              <w:widowControl/>
              <w:spacing w:line="570" w:lineRule="exact"/>
              <w:jc w:val="center"/>
              <w:textAlignment w:val="center"/>
              <w:rPr>
                <w:rFonts w:ascii="宋体" w:hAnsi="宋体" w:eastAsia="方正仿宋简体" w:cs="方正仿宋简体"/>
                <w:bCs/>
                <w:color w:val="000000"/>
                <w:sz w:val="24"/>
                <w:szCs w:val="24"/>
              </w:rPr>
            </w:pPr>
          </w:p>
        </w:tc>
        <w:tc>
          <w:tcPr>
            <w:tcW w:w="3650" w:type="dxa"/>
            <w:tcMar>
              <w:top w:w="10" w:type="dxa"/>
              <w:left w:w="10" w:type="dxa"/>
              <w:right w:w="10" w:type="dxa"/>
            </w:tcMar>
            <w:vAlign w:val="center"/>
          </w:tcPr>
          <w:p w14:paraId="1FD9D659">
            <w:pPr>
              <w:widowControl/>
              <w:spacing w:line="570" w:lineRule="exact"/>
              <w:jc w:val="left"/>
              <w:textAlignment w:val="center"/>
              <w:rPr>
                <w:rFonts w:ascii="宋体" w:hAnsi="宋体" w:eastAsia="方正仿宋简体" w:cs="方正仿宋简体"/>
                <w:bCs/>
                <w:color w:val="000000"/>
                <w:sz w:val="24"/>
                <w:szCs w:val="24"/>
              </w:rPr>
            </w:pPr>
          </w:p>
        </w:tc>
        <w:tc>
          <w:tcPr>
            <w:tcW w:w="3525" w:type="dxa"/>
            <w:tcMar>
              <w:top w:w="10" w:type="dxa"/>
              <w:left w:w="10" w:type="dxa"/>
              <w:right w:w="10" w:type="dxa"/>
            </w:tcMar>
            <w:vAlign w:val="center"/>
          </w:tcPr>
          <w:p w14:paraId="0A9DB6B8">
            <w:pPr>
              <w:widowControl/>
              <w:spacing w:line="570" w:lineRule="exact"/>
              <w:jc w:val="left"/>
              <w:textAlignment w:val="center"/>
              <w:rPr>
                <w:rFonts w:ascii="宋体" w:hAnsi="宋体" w:eastAsia="方正仿宋简体" w:cs="方正仿宋简体"/>
                <w:bCs/>
                <w:color w:val="000000"/>
                <w:sz w:val="24"/>
                <w:szCs w:val="24"/>
              </w:rPr>
            </w:pPr>
          </w:p>
        </w:tc>
        <w:tc>
          <w:tcPr>
            <w:tcW w:w="1722" w:type="dxa"/>
            <w:tcMar>
              <w:top w:w="10" w:type="dxa"/>
              <w:left w:w="10" w:type="dxa"/>
              <w:right w:w="10" w:type="dxa"/>
            </w:tcMar>
            <w:vAlign w:val="center"/>
          </w:tcPr>
          <w:p w14:paraId="39D36F1A">
            <w:pPr>
              <w:spacing w:line="570" w:lineRule="exact"/>
              <w:jc w:val="center"/>
              <w:rPr>
                <w:rFonts w:ascii="宋体" w:hAnsi="宋体" w:eastAsia="方正仿宋简体" w:cs="方正仿宋简体"/>
                <w:bCs/>
                <w:color w:val="000000"/>
                <w:sz w:val="24"/>
                <w:szCs w:val="24"/>
              </w:rPr>
            </w:pPr>
          </w:p>
        </w:tc>
      </w:tr>
    </w:tbl>
    <w:p w14:paraId="02041C47">
      <w:pPr>
        <w:spacing w:line="570" w:lineRule="exact"/>
      </w:pPr>
      <w:r>
        <w:rPr>
          <w:rFonts w:hint="eastAsia"/>
        </w:rPr>
        <w:br w:type="page"/>
      </w:r>
    </w:p>
    <w:p w14:paraId="0D832302">
      <w:pPr>
        <w:adjustRightInd w:val="0"/>
        <w:snapToGrid w:val="0"/>
        <w:spacing w:line="520" w:lineRule="exact"/>
        <w:jc w:val="left"/>
        <w:rPr>
          <w:rFonts w:ascii="宋体" w:hAnsi="宋体" w:eastAsia="方正小标宋简体"/>
          <w:kern w:val="0"/>
          <w:sz w:val="30"/>
          <w:szCs w:val="30"/>
        </w:rPr>
      </w:pPr>
      <w:r>
        <w:rPr>
          <w:rFonts w:hint="eastAsia" w:ascii="宋体" w:hAnsi="宋体" w:eastAsia="方正小标宋简体"/>
          <w:kern w:val="0"/>
          <w:sz w:val="30"/>
          <w:szCs w:val="30"/>
        </w:rPr>
        <w:t xml:space="preserve">附件2 </w:t>
      </w:r>
    </w:p>
    <w:p w14:paraId="01C4CF26">
      <w:pPr>
        <w:pStyle w:val="4"/>
        <w:widowControl/>
        <w:spacing w:line="520" w:lineRule="exact"/>
        <w:jc w:val="center"/>
        <w:rPr>
          <w:rStyle w:val="7"/>
          <w:rFonts w:hint="eastAsia" w:ascii="方正小标宋简体" w:hAnsi="&amp;quot" w:eastAsia="方正小标宋简体" w:cs="宋体"/>
          <w:color w:val="333333"/>
          <w:kern w:val="0"/>
          <w:sz w:val="44"/>
          <w:szCs w:val="44"/>
        </w:rPr>
      </w:pPr>
      <w:r>
        <w:rPr>
          <w:rStyle w:val="7"/>
          <w:rFonts w:hint="eastAsia" w:ascii="方正小标宋简体" w:hAnsi="&amp;quot" w:eastAsia="方正小标宋简体" w:cs="宋体"/>
          <w:color w:val="333333"/>
          <w:kern w:val="0"/>
          <w:sz w:val="44"/>
          <w:szCs w:val="44"/>
        </w:rPr>
        <w:t>相关法律法规规定</w:t>
      </w:r>
    </w:p>
    <w:p w14:paraId="0D6C5696">
      <w:pPr>
        <w:pStyle w:val="4"/>
        <w:widowControl/>
        <w:spacing w:line="520" w:lineRule="exact"/>
        <w:jc w:val="center"/>
        <w:rPr>
          <w:rStyle w:val="7"/>
          <w:rFonts w:hint="eastAsia" w:ascii="方正小标宋简体" w:hAnsi="&amp;quot" w:eastAsia="方正小标宋简体" w:cs="宋体"/>
          <w:color w:val="333333"/>
          <w:kern w:val="0"/>
          <w:sz w:val="44"/>
          <w:szCs w:val="44"/>
        </w:rPr>
      </w:pPr>
      <w:r>
        <w:rPr>
          <w:rStyle w:val="7"/>
          <w:rFonts w:hint="eastAsia" w:ascii="方正小标宋简体" w:hAnsi="&amp;quot" w:eastAsia="方正小标宋简体" w:cs="宋体"/>
          <w:color w:val="333333"/>
          <w:kern w:val="0"/>
          <w:sz w:val="44"/>
          <w:szCs w:val="44"/>
        </w:rPr>
        <w:t>………………</w:t>
      </w:r>
    </w:p>
    <w:p w14:paraId="40F501F4">
      <w:pPr>
        <w:pStyle w:val="4"/>
        <w:widowControl/>
        <w:spacing w:line="520" w:lineRule="exact"/>
        <w:jc w:val="center"/>
        <w:rPr>
          <w:rStyle w:val="7"/>
          <w:rFonts w:ascii="方正仿宋简体" w:hAnsi="方正仿宋简体" w:eastAsia="方正仿宋简体" w:cs="方正仿宋简体"/>
          <w:color w:val="333333"/>
          <w:kern w:val="0"/>
          <w:sz w:val="32"/>
          <w:szCs w:val="32"/>
        </w:rPr>
      </w:pPr>
    </w:p>
    <w:p w14:paraId="35A398F8">
      <w:pPr>
        <w:pStyle w:val="4"/>
        <w:widowControl/>
        <w:spacing w:line="520" w:lineRule="exact"/>
        <w:rPr>
          <w:rFonts w:hint="eastAsia" w:ascii="方正黑体简体" w:hAnsi="&amp;quot" w:eastAsia="方正黑体简体" w:cs="宋体"/>
          <w:b/>
          <w:bCs/>
          <w:color w:val="333333"/>
          <w:kern w:val="0"/>
          <w:sz w:val="32"/>
          <w:szCs w:val="32"/>
        </w:rPr>
      </w:pPr>
      <w:r>
        <w:rPr>
          <w:rFonts w:hint="eastAsia" w:ascii="方正黑体简体" w:hAnsi="宋体" w:eastAsia="方正黑体简体" w:cs="方正仿宋简体"/>
          <w:bCs/>
          <w:color w:val="000000"/>
          <w:sz w:val="32"/>
          <w:szCs w:val="32"/>
        </w:rPr>
        <w:t>1、对擅自开办医疗机构行医或者非医师行医的处罚，依据《中华人民共和国执业医师法》（2009年修正）</w:t>
      </w:r>
    </w:p>
    <w:p w14:paraId="731B6861">
      <w:pPr>
        <w:pStyle w:val="4"/>
        <w:widowControl/>
        <w:spacing w:line="520" w:lineRule="exact"/>
        <w:ind w:firstLine="643" w:firstLineChars="200"/>
        <w:rPr>
          <w:rFonts w:ascii="方正仿宋简体" w:eastAsia="方正仿宋简体"/>
          <w:color w:val="333333"/>
          <w:sz w:val="32"/>
          <w:szCs w:val="32"/>
          <w:shd w:val="clear" w:color="auto" w:fill="FFFFFF"/>
        </w:rPr>
      </w:pPr>
      <w:r>
        <w:rPr>
          <w:rFonts w:ascii="方正仿宋简体" w:hAnsi="&amp;quot" w:eastAsia="方正仿宋简体" w:cs="宋体"/>
          <w:b/>
          <w:bCs/>
          <w:color w:val="333333"/>
          <w:kern w:val="0"/>
          <w:sz w:val="32"/>
          <w:szCs w:val="32"/>
        </w:rPr>
        <w:t>第</w:t>
      </w:r>
      <w:r>
        <w:rPr>
          <w:rFonts w:hint="eastAsia" w:ascii="方正仿宋简体" w:hAnsi="&amp;quot" w:eastAsia="方正仿宋简体" w:cs="宋体"/>
          <w:b/>
          <w:bCs/>
          <w:color w:val="333333"/>
          <w:kern w:val="0"/>
          <w:sz w:val="32"/>
          <w:szCs w:val="32"/>
        </w:rPr>
        <w:t>三十九</w:t>
      </w:r>
      <w:r>
        <w:rPr>
          <w:rFonts w:ascii="方正仿宋简体" w:hAnsi="&amp;quot" w:eastAsia="方正仿宋简体" w:cs="宋体"/>
          <w:b/>
          <w:bCs/>
          <w:color w:val="333333"/>
          <w:kern w:val="0"/>
          <w:sz w:val="32"/>
          <w:szCs w:val="32"/>
        </w:rPr>
        <w:t>条</w:t>
      </w:r>
      <w:r>
        <w:rPr>
          <w:rFonts w:hint="eastAsia" w:ascii="方正仿宋简体" w:hAnsi="&amp;quot" w:eastAsia="方正仿宋简体" w:cs="宋体"/>
          <w:b/>
          <w:bCs/>
          <w:color w:val="333333"/>
          <w:kern w:val="0"/>
          <w:sz w:val="32"/>
          <w:szCs w:val="32"/>
        </w:rPr>
        <w:t xml:space="preserve"> </w:t>
      </w:r>
      <w:r>
        <w:rPr>
          <w:rFonts w:hint="eastAsia" w:ascii="方正仿宋简体" w:eastAsia="方正仿宋简体"/>
          <w:color w:val="333333"/>
          <w:sz w:val="32"/>
          <w:szCs w:val="32"/>
          <w:shd w:val="clear" w:color="auto" w:fill="FFFFFF"/>
        </w:rPr>
        <w:t>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w:t>
      </w:r>
    </w:p>
    <w:p w14:paraId="3B093027">
      <w:pPr>
        <w:pStyle w:val="4"/>
        <w:widowControl/>
        <w:spacing w:line="520" w:lineRule="exact"/>
        <w:rPr>
          <w:rFonts w:ascii="方正仿宋简体" w:eastAsia="方正仿宋简体"/>
          <w:color w:val="333333"/>
          <w:sz w:val="32"/>
          <w:szCs w:val="32"/>
          <w:shd w:val="clear" w:color="auto" w:fill="FFFFFF"/>
        </w:rPr>
      </w:pPr>
    </w:p>
    <w:p w14:paraId="6206C535">
      <w:pPr>
        <w:pStyle w:val="4"/>
        <w:widowControl/>
        <w:spacing w:line="520" w:lineRule="exact"/>
        <w:rPr>
          <w:rFonts w:ascii="方正黑体简体" w:eastAsia="方正黑体简体"/>
          <w:color w:val="333333"/>
          <w:sz w:val="32"/>
          <w:szCs w:val="32"/>
          <w:shd w:val="clear" w:color="auto" w:fill="FFFFFF"/>
        </w:rPr>
      </w:pPr>
      <w:r>
        <w:rPr>
          <w:rFonts w:hint="eastAsia" w:ascii="方正黑体简体" w:eastAsia="方正黑体简体"/>
          <w:color w:val="333333"/>
          <w:sz w:val="32"/>
          <w:szCs w:val="32"/>
          <w:shd w:val="clear" w:color="auto" w:fill="FFFFFF"/>
        </w:rPr>
        <w:t>2、对违反公共场所卫生要求的处罚，依据《公共场所卫生管理条例》（2019年国务院令714号）</w:t>
      </w:r>
    </w:p>
    <w:p w14:paraId="48BA44C1">
      <w:pPr>
        <w:pStyle w:val="4"/>
        <w:shd w:val="clear" w:color="auto" w:fill="FFFFFF"/>
        <w:spacing w:line="520" w:lineRule="exact"/>
        <w:rPr>
          <w:rFonts w:ascii="方正仿宋简体" w:hAnsi="Arial" w:eastAsia="方正仿宋简体" w:cs="Arial"/>
          <w:color w:val="191919"/>
          <w:kern w:val="0"/>
          <w:sz w:val="32"/>
          <w:szCs w:val="32"/>
        </w:rPr>
      </w:pPr>
      <w:r>
        <w:rPr>
          <w:rFonts w:hint="eastAsia" w:ascii="方正仿宋简体" w:eastAsia="方正仿宋简体"/>
          <w:color w:val="333333"/>
          <w:sz w:val="32"/>
          <w:szCs w:val="32"/>
          <w:shd w:val="clear" w:color="auto" w:fill="FFFFFF"/>
        </w:rPr>
        <w:t xml:space="preserve">    </w:t>
      </w:r>
      <w:r>
        <w:rPr>
          <w:rFonts w:hint="eastAsia" w:ascii="方正仿宋简体" w:eastAsia="方正仿宋简体"/>
          <w:b/>
          <w:color w:val="333333"/>
          <w:sz w:val="32"/>
          <w:szCs w:val="32"/>
          <w:shd w:val="clear" w:color="auto" w:fill="FFFFFF"/>
        </w:rPr>
        <w:t>第十四条</w:t>
      </w:r>
      <w:r>
        <w:rPr>
          <w:rFonts w:hint="eastAsia" w:ascii="方正仿宋简体" w:eastAsia="方正仿宋简体"/>
          <w:color w:val="333333"/>
          <w:sz w:val="32"/>
          <w:szCs w:val="32"/>
          <w:shd w:val="clear" w:color="auto" w:fill="FFFFFF"/>
        </w:rPr>
        <w:t xml:space="preserve"> </w:t>
      </w:r>
      <w:r>
        <w:rPr>
          <w:rFonts w:hint="eastAsia" w:ascii="方正仿宋简体" w:hAnsi="Arial" w:eastAsia="方正仿宋简体" w:cs="Arial"/>
          <w:color w:val="191919"/>
          <w:kern w:val="0"/>
          <w:sz w:val="32"/>
          <w:szCs w:val="32"/>
        </w:rPr>
        <w:t>凡有下列行为之一的单位或者个人，卫生防疫机构可以根据情节轻重，给予警告、罚款、停业整顿、吊销“卫生许可证”的行政处罚：</w:t>
      </w:r>
    </w:p>
    <w:p w14:paraId="34E1D8E3">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（一）卫生质量不符合国家卫生标准和要求，而继续营业的；</w:t>
      </w:r>
    </w:p>
    <w:p w14:paraId="42E9829D">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（二）未获得“健康合格证”，而从事直接为顾客服务的；</w:t>
      </w:r>
    </w:p>
    <w:p w14:paraId="2427DCA2">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（三）拒绝卫生监督的；</w:t>
      </w:r>
    </w:p>
    <w:p w14:paraId="4146EF37">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（四）未取得“卫生许可证”，擅自营业的。</w:t>
      </w:r>
    </w:p>
    <w:p w14:paraId="4F426E82">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罚款一律上交国库。</w:t>
      </w:r>
    </w:p>
    <w:p w14:paraId="4458205E">
      <w:pPr>
        <w:widowControl/>
        <w:shd w:val="clear" w:color="auto" w:fill="FFFFFF"/>
        <w:spacing w:line="520" w:lineRule="exact"/>
        <w:jc w:val="left"/>
        <w:rPr>
          <w:rFonts w:ascii="方正黑体简体" w:hAnsi="Arial" w:eastAsia="方正黑体简体" w:cs="Arial"/>
          <w:color w:val="191919"/>
          <w:kern w:val="0"/>
          <w:sz w:val="32"/>
          <w:szCs w:val="32"/>
        </w:rPr>
      </w:pPr>
      <w:r>
        <w:rPr>
          <w:rFonts w:hint="eastAsia" w:ascii="方正黑体简体" w:hAnsi="Arial" w:eastAsia="方正黑体简体" w:cs="Arial"/>
          <w:color w:val="191919"/>
          <w:kern w:val="0"/>
          <w:sz w:val="32"/>
          <w:szCs w:val="32"/>
        </w:rPr>
        <w:t>依据《公共场所卫生管理条例实施细则》（2017年修正）</w:t>
      </w:r>
    </w:p>
    <w:p w14:paraId="0F80497E">
      <w:pPr>
        <w:widowControl/>
        <w:shd w:val="clear" w:color="auto" w:fill="FFFFFF"/>
        <w:spacing w:line="520" w:lineRule="exact"/>
        <w:ind w:firstLine="643" w:firstLineChars="200"/>
        <w:rPr>
          <w:rFonts w:ascii="方正仿宋简体" w:hAnsi="Arial" w:eastAsia="方正仿宋简体" w:cs="Arial"/>
          <w:color w:val="191919"/>
          <w:kern w:val="0"/>
          <w:sz w:val="32"/>
          <w:szCs w:val="32"/>
        </w:rPr>
      </w:pPr>
      <w:r>
        <w:rPr>
          <w:rFonts w:hint="eastAsia" w:ascii="方正仿宋简体" w:hAnsi="Arial" w:eastAsia="方正仿宋简体" w:cs="Arial"/>
          <w:b/>
          <w:bCs/>
          <w:color w:val="191919"/>
          <w:kern w:val="0"/>
          <w:sz w:val="32"/>
          <w:szCs w:val="32"/>
        </w:rPr>
        <w:t xml:space="preserve">第三十五条 </w:t>
      </w:r>
      <w:r>
        <w:rPr>
          <w:rFonts w:hint="eastAsia" w:ascii="方正仿宋简体" w:hAnsi="Arial" w:eastAsia="方正仿宋简体" w:cs="Arial"/>
          <w:color w:val="191919"/>
          <w:kern w:val="0"/>
          <w:sz w:val="32"/>
          <w:szCs w:val="32"/>
        </w:rPr>
        <w:t>对未依法取得公共场所卫生许可证擅自营业的，由县级以上地方人民政府卫生计生行政部门责令限期改正，给予警告，并处以五百元以上五千元以下罚款；有下列情形之一的，处以五千元以上三万元以下罚款：</w:t>
      </w:r>
    </w:p>
    <w:p w14:paraId="35AE5FE7">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（一）擅自营业曾受过卫生计生行政部门处罚的；</w:t>
      </w:r>
    </w:p>
    <w:p w14:paraId="6D0B5C71">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（二）擅自营业时间在三个月以上的；</w:t>
      </w:r>
    </w:p>
    <w:p w14:paraId="50EE5724">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（三）以涂改、转让、倒卖、伪造的卫生许可证擅自营业的。</w:t>
      </w:r>
    </w:p>
    <w:p w14:paraId="0E5086C7">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对涂改、转让、倒卖有效卫生许可证的，由原发证的卫生计生行政部门予以注销。</w:t>
      </w:r>
    </w:p>
    <w:p w14:paraId="0979C9F6">
      <w:pPr>
        <w:widowControl/>
        <w:shd w:val="clear" w:color="auto" w:fill="FFFFFF"/>
        <w:spacing w:line="520" w:lineRule="exact"/>
        <w:ind w:firstLine="643" w:firstLineChars="200"/>
        <w:jc w:val="left"/>
        <w:rPr>
          <w:rFonts w:ascii="方正仿宋简体" w:hAnsi="Arial" w:eastAsia="方正仿宋简体" w:cs="Arial"/>
          <w:color w:val="191919"/>
          <w:kern w:val="0"/>
          <w:sz w:val="32"/>
          <w:szCs w:val="32"/>
        </w:rPr>
      </w:pPr>
      <w:r>
        <w:rPr>
          <w:rFonts w:hint="eastAsia" w:ascii="方正仿宋简体" w:hAnsi="Arial" w:eastAsia="方正仿宋简体" w:cs="Arial"/>
          <w:b/>
          <w:bCs/>
          <w:color w:val="191919"/>
          <w:kern w:val="0"/>
          <w:sz w:val="32"/>
          <w:szCs w:val="32"/>
        </w:rPr>
        <w:t xml:space="preserve">第三十六条 </w:t>
      </w:r>
      <w:r>
        <w:rPr>
          <w:rFonts w:hint="eastAsia" w:ascii="方正仿宋简体" w:hAnsi="Arial" w:eastAsia="方正仿宋简体" w:cs="Arial"/>
          <w:color w:val="191919"/>
          <w:kern w:val="0"/>
          <w:sz w:val="32"/>
          <w:szCs w:val="32"/>
        </w:rPr>
        <w:t>公共场所经营者有下列情形之一的，由县级以上地方人民政府卫生计生行政部门责令限期改正，给予警告，并可处以二千元以下罚款；逾期不改正，造成公共场所卫生质量不符合卫生标准和要求的，处以二千元以上二万元以下罚款；情节严重的，可以依法责令停业整顿，直至吊销卫生许可证：</w:t>
      </w:r>
    </w:p>
    <w:p w14:paraId="0A70FDFB">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（一）未按照规定对公共场所的空气、微小气候、水质、采光、照明、噪声、顾客用品用具等进行卫生检测的；</w:t>
      </w:r>
    </w:p>
    <w:p w14:paraId="7A024776">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（二）未按照规定对顾客用品用具进行清洗、消毒、保洁，或者重复使用一次性用品用具的。</w:t>
      </w:r>
    </w:p>
    <w:p w14:paraId="2813FFA8">
      <w:pPr>
        <w:widowControl/>
        <w:shd w:val="clear" w:color="auto" w:fill="FFFFFF"/>
        <w:spacing w:line="520" w:lineRule="exact"/>
        <w:ind w:firstLine="643" w:firstLineChars="200"/>
        <w:jc w:val="left"/>
        <w:rPr>
          <w:rFonts w:ascii="方正仿宋简体" w:hAnsi="Arial" w:eastAsia="方正仿宋简体" w:cs="Arial"/>
          <w:color w:val="191919"/>
          <w:kern w:val="0"/>
          <w:sz w:val="32"/>
          <w:szCs w:val="32"/>
        </w:rPr>
      </w:pPr>
      <w:r>
        <w:rPr>
          <w:rFonts w:hint="eastAsia" w:ascii="方正仿宋简体" w:hAnsi="Arial" w:eastAsia="方正仿宋简体" w:cs="Arial"/>
          <w:b/>
          <w:bCs/>
          <w:color w:val="191919"/>
          <w:kern w:val="0"/>
          <w:sz w:val="32"/>
          <w:szCs w:val="32"/>
        </w:rPr>
        <w:t xml:space="preserve">第三十七条 </w:t>
      </w:r>
      <w:r>
        <w:rPr>
          <w:rFonts w:hint="eastAsia" w:ascii="方正仿宋简体" w:hAnsi="Arial" w:eastAsia="方正仿宋简体" w:cs="Arial"/>
          <w:color w:val="191919"/>
          <w:kern w:val="0"/>
          <w:sz w:val="32"/>
          <w:szCs w:val="32"/>
        </w:rPr>
        <w:t>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w:t>
      </w:r>
    </w:p>
    <w:p w14:paraId="25641256">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（一）未按照规定建立卫生管理制度、设立卫生管理部门或者配备专（兼）职卫生管理人员，或者未建立卫生管理档案的；</w:t>
      </w:r>
    </w:p>
    <w:p w14:paraId="632B4FFD">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（二）未按照规定组织从业人员进行相关卫生法律知识和公共场所卫生知识培训，或者安排未经相关卫生法律知识和公共场所卫生知识培训考核的从业人员上岗的；</w:t>
      </w:r>
    </w:p>
    <w:p w14:paraId="4B48F574">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（三）未按照规定设置与其经营规模、项目相适应的清洗、消毒、保洁、盥洗等设施设备和公共卫生间，或者擅自停止使用、拆除上述设施设备，或者挪作他用的；</w:t>
      </w:r>
    </w:p>
    <w:p w14:paraId="358CB504">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四）未按照规定配备预防控制鼠、蚊、蝇、蟑螂和其他病媒生物的设施设备以及废弃物存放专用设施设备，或者擅自停止使用、拆除预防控制鼠、蚊、蝇、蟑螂和其他病媒生物的设施设备以及废弃物存放专用设施设备的；</w:t>
      </w:r>
    </w:p>
    <w:p w14:paraId="44F92A57">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（五）未按照规定索取公共卫生用品检验合格证明和其他相关资料的；</w:t>
      </w:r>
    </w:p>
    <w:p w14:paraId="04E43D5B">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（六）未按照规定对公共场所新建、改建、扩建项目办理预防性卫生审查手续的；</w:t>
      </w:r>
    </w:p>
    <w:p w14:paraId="777C0B85">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（七）公共场所集中空调通风系统未经卫生检测或者评价不合格而投入使用的；</w:t>
      </w:r>
    </w:p>
    <w:p w14:paraId="734F3189">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（八）未按照规定公示公共场所卫生许可证、卫生检测结果和卫生信誉度等级的。</w:t>
      </w:r>
    </w:p>
    <w:p w14:paraId="4DF57B06">
      <w:pPr>
        <w:widowControl/>
        <w:shd w:val="clear" w:color="auto" w:fill="FFFFFF"/>
        <w:spacing w:line="520" w:lineRule="exact"/>
        <w:ind w:firstLine="643" w:firstLineChars="200"/>
        <w:jc w:val="left"/>
        <w:rPr>
          <w:rFonts w:ascii="方正仿宋简体" w:hAnsi="Arial" w:eastAsia="方正仿宋简体" w:cs="Arial"/>
          <w:color w:val="191919"/>
          <w:kern w:val="0"/>
          <w:sz w:val="32"/>
          <w:szCs w:val="32"/>
        </w:rPr>
      </w:pPr>
      <w:r>
        <w:rPr>
          <w:rFonts w:hint="eastAsia" w:ascii="方正仿宋简体" w:hAnsi="Arial" w:eastAsia="方正仿宋简体" w:cs="Arial"/>
          <w:b/>
          <w:bCs/>
          <w:color w:val="191919"/>
          <w:kern w:val="0"/>
          <w:sz w:val="32"/>
          <w:szCs w:val="32"/>
        </w:rPr>
        <w:t xml:space="preserve">第三十八条 </w:t>
      </w:r>
      <w:r>
        <w:rPr>
          <w:rFonts w:hint="eastAsia" w:ascii="方正仿宋简体" w:hAnsi="Arial" w:eastAsia="方正仿宋简体" w:cs="Arial"/>
          <w:color w:val="191919"/>
          <w:kern w:val="0"/>
          <w:sz w:val="32"/>
          <w:szCs w:val="32"/>
        </w:rPr>
        <w:t>公共场所经营者安排未获得有效健康合格证明的从业人员从事直接为顾客服务工作的，由县级以上地方人民政府卫生计生行政部门责令限期改正，给予警告，并处以五百元以上五千元以下罚款；逾期不改正的，处以五千元以上一万五千元以下罚款。</w:t>
      </w:r>
    </w:p>
    <w:p w14:paraId="55FC1FC1">
      <w:pPr>
        <w:widowControl/>
        <w:shd w:val="clear" w:color="auto" w:fill="FFFFFF"/>
        <w:spacing w:line="520" w:lineRule="exact"/>
        <w:ind w:firstLine="643" w:firstLineChars="200"/>
        <w:jc w:val="left"/>
        <w:rPr>
          <w:rFonts w:ascii="方正仿宋简体" w:hAnsi="Arial" w:eastAsia="方正仿宋简体" w:cs="Arial"/>
          <w:color w:val="191919"/>
          <w:kern w:val="0"/>
          <w:sz w:val="32"/>
          <w:szCs w:val="32"/>
        </w:rPr>
      </w:pPr>
      <w:r>
        <w:rPr>
          <w:rFonts w:hint="eastAsia" w:ascii="方正仿宋简体" w:hAnsi="Arial" w:eastAsia="方正仿宋简体" w:cs="Arial"/>
          <w:b/>
          <w:bCs/>
          <w:color w:val="191919"/>
          <w:kern w:val="0"/>
          <w:sz w:val="32"/>
          <w:szCs w:val="32"/>
        </w:rPr>
        <w:t xml:space="preserve">第三十九条 </w:t>
      </w:r>
      <w:r>
        <w:rPr>
          <w:rFonts w:hint="eastAsia" w:ascii="方正仿宋简体" w:hAnsi="Arial" w:eastAsia="方正仿宋简体" w:cs="Arial"/>
          <w:color w:val="191919"/>
          <w:kern w:val="0"/>
          <w:sz w:val="32"/>
          <w:szCs w:val="32"/>
        </w:rPr>
        <w:t>公共场所经营者对发生的危害健康事故未立即采取处置措施，导致危害扩大，或者隐瞒、缓报、谎报的，由县级以上地方人民政府卫生计生行政部门处以五千元以上三万元以下罚款；情节严重的，可以依法责令停业整顿，直至吊销卫生许可证。构成犯罪的，依法追究刑事责任。</w:t>
      </w:r>
    </w:p>
    <w:p w14:paraId="36949F1B">
      <w:pPr>
        <w:widowControl/>
        <w:shd w:val="clear" w:color="auto" w:fill="FFFFFF"/>
        <w:spacing w:line="520" w:lineRule="exact"/>
        <w:jc w:val="left"/>
        <w:rPr>
          <w:rFonts w:ascii="方正仿宋简体" w:hAnsi="Arial" w:eastAsia="方正仿宋简体" w:cs="Arial"/>
          <w:color w:val="191919"/>
          <w:kern w:val="0"/>
          <w:sz w:val="32"/>
          <w:szCs w:val="32"/>
        </w:rPr>
      </w:pPr>
    </w:p>
    <w:p w14:paraId="2669857C">
      <w:pPr>
        <w:widowControl/>
        <w:shd w:val="clear" w:color="auto" w:fill="FFFFFF"/>
        <w:spacing w:line="520" w:lineRule="exact"/>
        <w:jc w:val="left"/>
        <w:rPr>
          <w:rFonts w:ascii="方正黑体简体" w:hAnsi="Arial" w:eastAsia="方正黑体简体" w:cs="Arial"/>
          <w:color w:val="191919"/>
          <w:kern w:val="0"/>
          <w:sz w:val="32"/>
          <w:szCs w:val="32"/>
        </w:rPr>
      </w:pPr>
      <w:r>
        <w:rPr>
          <w:rFonts w:hint="eastAsia" w:ascii="方正黑体简体" w:hAnsi="Arial" w:eastAsia="方正黑体简体" w:cs="Arial"/>
          <w:color w:val="191919"/>
          <w:kern w:val="0"/>
          <w:sz w:val="32"/>
          <w:szCs w:val="32"/>
        </w:rPr>
        <w:t>3、对餐具、饮具集中消毒服务单位违反集中消毒规定的处罚，依据《中华人民共和国食品安全法》（2018年修正）</w:t>
      </w:r>
    </w:p>
    <w:p w14:paraId="38D97B0F">
      <w:pPr>
        <w:widowControl/>
        <w:shd w:val="clear" w:color="auto" w:fill="FFFFFF"/>
        <w:spacing w:line="520" w:lineRule="exact"/>
        <w:ind w:firstLine="643" w:firstLineChars="200"/>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b/>
          <w:color w:val="333333"/>
          <w:kern w:val="0"/>
          <w:sz w:val="32"/>
          <w:szCs w:val="32"/>
        </w:rPr>
        <w:t>第一百二十六条</w:t>
      </w:r>
      <w:r>
        <w:rPr>
          <w:rFonts w:hint="eastAsia" w:ascii="方正仿宋简体" w:hAnsi="微软雅黑" w:eastAsia="方正仿宋简体" w:cs="宋体"/>
          <w:color w:val="333333"/>
          <w:kern w:val="0"/>
          <w:sz w:val="32"/>
          <w:szCs w:val="32"/>
        </w:rPr>
        <w:t>　违反本法规定，有下列情形之一的，由县级以上人民政府食品安全监督管理部门责令改正，给予警告；拒不改正的，处五千元以上五万元以下罚款；情节严重的，责令停产停业，直至吊销许可证：</w:t>
      </w:r>
    </w:p>
    <w:p w14:paraId="4D339ED1">
      <w:pPr>
        <w:widowControl/>
        <w:shd w:val="clear" w:color="auto" w:fill="FFFFFF"/>
        <w:spacing w:line="520" w:lineRule="exact"/>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（一）食品、食品添加剂生产者未按规定对采购的食品原料和生产的食品、食品添加剂进行检验；</w:t>
      </w:r>
    </w:p>
    <w:p w14:paraId="22E65455">
      <w:pPr>
        <w:widowControl/>
        <w:shd w:val="clear" w:color="auto" w:fill="FFFFFF"/>
        <w:spacing w:line="520" w:lineRule="exact"/>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（二）食品生产经营企业未按规定建立食品安全管理制度，或者未按规定配备或者培训、考核食品安全管理人员；</w:t>
      </w:r>
    </w:p>
    <w:p w14:paraId="4AB2D81A">
      <w:pPr>
        <w:widowControl/>
        <w:shd w:val="clear" w:color="auto" w:fill="FFFFFF"/>
        <w:spacing w:line="520" w:lineRule="exact"/>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（三）食品、食品添加剂生产经营者进货时未查验许可证和相关证明文件，或者未按规定建立并遵守进货查验记录、出厂检验记录和销售记录制度；</w:t>
      </w:r>
    </w:p>
    <w:p w14:paraId="78F4FA2C">
      <w:pPr>
        <w:widowControl/>
        <w:shd w:val="clear" w:color="auto" w:fill="FFFFFF"/>
        <w:spacing w:line="520" w:lineRule="exact"/>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（四）食品生产经营企业未制定食品安全事故处置方案；</w:t>
      </w:r>
    </w:p>
    <w:p w14:paraId="76E93F66">
      <w:pPr>
        <w:widowControl/>
        <w:shd w:val="clear" w:color="auto" w:fill="FFFFFF"/>
        <w:spacing w:line="520" w:lineRule="exact"/>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（五）餐具、饮具和盛放直接入口食品的容器，使用前未经洗净、消毒或者清洗消毒不合格，或者餐饮服务设施、设备未按规定定期维护、清洗、校验；</w:t>
      </w:r>
    </w:p>
    <w:p w14:paraId="0A641511">
      <w:pPr>
        <w:widowControl/>
        <w:shd w:val="clear" w:color="auto" w:fill="FFFFFF"/>
        <w:spacing w:line="520" w:lineRule="exact"/>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（六）食品生产经营者安排未取得健康证明或者患有国务院卫生行政部门规定的有碍食品安全疾病的人员从事接触直接入口食品的工作；</w:t>
      </w:r>
    </w:p>
    <w:p w14:paraId="6A975C4D">
      <w:pPr>
        <w:widowControl/>
        <w:shd w:val="clear" w:color="auto" w:fill="FFFFFF"/>
        <w:spacing w:line="520" w:lineRule="exact"/>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（七）食品经营者未按规定要求销售食品；</w:t>
      </w:r>
    </w:p>
    <w:p w14:paraId="7497E7C8">
      <w:pPr>
        <w:widowControl/>
        <w:shd w:val="clear" w:color="auto" w:fill="FFFFFF"/>
        <w:spacing w:line="520" w:lineRule="exact"/>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（八）保健食品生产企业未按规定向食品安全监督管理部门备案，或者未按备案的产品配方、生产工艺等技术要求组织生产；</w:t>
      </w:r>
    </w:p>
    <w:p w14:paraId="7DEEA12F">
      <w:pPr>
        <w:widowControl/>
        <w:shd w:val="clear" w:color="auto" w:fill="FFFFFF"/>
        <w:spacing w:line="520" w:lineRule="exact"/>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（九）婴幼儿配方食品生产企业未将食品原料、食品添加剂、产品配方、标签等向食品安全监督管理部门备案；</w:t>
      </w:r>
    </w:p>
    <w:p w14:paraId="5299A673">
      <w:pPr>
        <w:widowControl/>
        <w:shd w:val="clear" w:color="auto" w:fill="FFFFFF"/>
        <w:spacing w:line="520" w:lineRule="exact"/>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（十）特殊食品生产企业未按规定建立生产质量管理体系并有效运行，或者未定期提交自查报告；</w:t>
      </w:r>
    </w:p>
    <w:p w14:paraId="7320DB38">
      <w:pPr>
        <w:widowControl/>
        <w:shd w:val="clear" w:color="auto" w:fill="FFFFFF"/>
        <w:spacing w:line="520" w:lineRule="exact"/>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（十一）食品生产经营者未定期对食品安全状况进行检查评价，或者生产经营条件发生变化，未按规定处理；</w:t>
      </w:r>
    </w:p>
    <w:p w14:paraId="6472DFC3">
      <w:pPr>
        <w:widowControl/>
        <w:shd w:val="clear" w:color="auto" w:fill="FFFFFF"/>
        <w:spacing w:line="520" w:lineRule="exact"/>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（十二）学校、托幼机构、养老机构、建筑工地等集中用餐单位未按规定履行食品安全管理责任；</w:t>
      </w:r>
    </w:p>
    <w:p w14:paraId="1ABA750F">
      <w:pPr>
        <w:widowControl/>
        <w:shd w:val="clear" w:color="auto" w:fill="FFFFFF"/>
        <w:spacing w:line="520" w:lineRule="exact"/>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（十三）食品生产企业、餐饮服务提供者未按规定制定、实施生产经营过程控制要求。</w:t>
      </w:r>
    </w:p>
    <w:p w14:paraId="11612CD8">
      <w:pPr>
        <w:widowControl/>
        <w:shd w:val="clear" w:color="auto" w:fill="FFFFFF"/>
        <w:spacing w:line="520" w:lineRule="exact"/>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　　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14:paraId="3E4A9FB8">
      <w:pPr>
        <w:widowControl/>
        <w:shd w:val="clear" w:color="auto" w:fill="FFFFFF"/>
        <w:spacing w:line="520" w:lineRule="exact"/>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　　食品相关产品生产者未按规定对生产的食品相关产品进行检验的，由县级以上人民政府食品安全监督管理部门依照第一款规定给予处罚。</w:t>
      </w:r>
    </w:p>
    <w:p w14:paraId="65836569">
      <w:pPr>
        <w:widowControl/>
        <w:shd w:val="clear" w:color="auto" w:fill="FFFFFF"/>
        <w:spacing w:line="520" w:lineRule="exact"/>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　　食用农产品销售者违反本法第六十五条规定的，由县级以上人民政府食品安全监督管理部门依照第一款规定给予处罚。</w:t>
      </w:r>
    </w:p>
    <w:p w14:paraId="0F95FC9B">
      <w:pPr>
        <w:widowControl/>
        <w:shd w:val="clear" w:color="auto" w:fill="FFFFFF"/>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 xml:space="preserve"> </w:t>
      </w:r>
    </w:p>
    <w:p w14:paraId="266C67BC">
      <w:pPr>
        <w:pStyle w:val="4"/>
        <w:widowControl/>
        <w:spacing w:line="520" w:lineRule="exact"/>
        <w:rPr>
          <w:rFonts w:hint="eastAsia" w:ascii="方正仿宋简体" w:hAnsi="&amp;quot" w:eastAsia="方正仿宋简体" w:cs="宋体"/>
          <w:color w:val="333333"/>
          <w:kern w:val="0"/>
          <w:sz w:val="32"/>
          <w:szCs w:val="32"/>
        </w:rPr>
      </w:pPr>
    </w:p>
    <w:p w14:paraId="0C977168">
      <w:pPr>
        <w:pStyle w:val="4"/>
        <w:widowControl/>
        <w:spacing w:line="520" w:lineRule="exact"/>
        <w:jc w:val="center"/>
        <w:rPr>
          <w:rStyle w:val="7"/>
          <w:rFonts w:hint="eastAsia" w:ascii="方正小标宋简体" w:hAnsi="&amp;quot" w:eastAsia="方正小标宋简体" w:cs="宋体"/>
          <w:color w:val="333333"/>
          <w:kern w:val="0"/>
          <w:sz w:val="44"/>
          <w:szCs w:val="44"/>
        </w:rPr>
      </w:pPr>
    </w:p>
    <w:p w14:paraId="5B6F5D7D">
      <w:pPr>
        <w:adjustRightInd w:val="0"/>
        <w:snapToGrid w:val="0"/>
        <w:spacing w:line="480" w:lineRule="exact"/>
        <w:rPr>
          <w:rStyle w:val="7"/>
          <w:rFonts w:hint="eastAsia" w:ascii="方正小标宋简体" w:hAnsi="&amp;quot" w:eastAsia="方正小标宋简体" w:cs="宋体"/>
          <w:color w:val="333333"/>
          <w:kern w:val="0"/>
          <w:sz w:val="44"/>
          <w:szCs w:val="44"/>
        </w:rPr>
      </w:pPr>
    </w:p>
    <w:p w14:paraId="55A1893B">
      <w:pPr>
        <w:adjustRightInd w:val="0"/>
        <w:snapToGrid w:val="0"/>
        <w:spacing w:line="520" w:lineRule="exact"/>
        <w:jc w:val="left"/>
        <w:rPr>
          <w:rFonts w:hint="eastAsia" w:ascii="方正仿宋简体" w:hAnsi="&amp;quot" w:eastAsia="方正仿宋简体" w:cs="宋体"/>
          <w:color w:val="333333"/>
          <w:kern w:val="0"/>
          <w:sz w:val="32"/>
          <w:szCs w:val="32"/>
        </w:rPr>
      </w:pPr>
    </w:p>
    <w:sectPr>
      <w:footerReference r:id="rId3" w:type="default"/>
      <w:pgSz w:w="11906" w:h="16838"/>
      <w:pgMar w:top="187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amp;quo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D2784">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p w14:paraId="09BA6F7C">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w:t>
                </w:r>
                <w:r>
                  <w:fldChar w:fldCharType="end"/>
                </w:r>
                <w:r>
                  <w:rPr>
                    <w:rFonts w:hint="eastAsia"/>
                  </w:rP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3B14E99"/>
    <w:rsid w:val="000B57FD"/>
    <w:rsid w:val="000C390E"/>
    <w:rsid w:val="001D63BA"/>
    <w:rsid w:val="001D7EB8"/>
    <w:rsid w:val="001F062E"/>
    <w:rsid w:val="002700D3"/>
    <w:rsid w:val="00280F06"/>
    <w:rsid w:val="002E133C"/>
    <w:rsid w:val="00306786"/>
    <w:rsid w:val="003237B5"/>
    <w:rsid w:val="003429A5"/>
    <w:rsid w:val="003534A4"/>
    <w:rsid w:val="00360B80"/>
    <w:rsid w:val="003C134E"/>
    <w:rsid w:val="003C35BA"/>
    <w:rsid w:val="003C6996"/>
    <w:rsid w:val="00423FAC"/>
    <w:rsid w:val="00440620"/>
    <w:rsid w:val="00444B56"/>
    <w:rsid w:val="004C72E3"/>
    <w:rsid w:val="004F02C9"/>
    <w:rsid w:val="005029D8"/>
    <w:rsid w:val="00541B45"/>
    <w:rsid w:val="00563EC2"/>
    <w:rsid w:val="00576764"/>
    <w:rsid w:val="006164EE"/>
    <w:rsid w:val="00644E1F"/>
    <w:rsid w:val="006D7F56"/>
    <w:rsid w:val="00725B94"/>
    <w:rsid w:val="00794200"/>
    <w:rsid w:val="007A5FBD"/>
    <w:rsid w:val="007E158F"/>
    <w:rsid w:val="007E2EDF"/>
    <w:rsid w:val="008D35EC"/>
    <w:rsid w:val="008F0C9C"/>
    <w:rsid w:val="00900705"/>
    <w:rsid w:val="009028C4"/>
    <w:rsid w:val="00945161"/>
    <w:rsid w:val="00950727"/>
    <w:rsid w:val="009D4B82"/>
    <w:rsid w:val="00A21616"/>
    <w:rsid w:val="00A93F49"/>
    <w:rsid w:val="00A9695D"/>
    <w:rsid w:val="00AC414E"/>
    <w:rsid w:val="00AF5F18"/>
    <w:rsid w:val="00B376C0"/>
    <w:rsid w:val="00B55979"/>
    <w:rsid w:val="00BA544F"/>
    <w:rsid w:val="00C51C11"/>
    <w:rsid w:val="00CD18ED"/>
    <w:rsid w:val="00CD309B"/>
    <w:rsid w:val="00D10AEC"/>
    <w:rsid w:val="00D21953"/>
    <w:rsid w:val="00D4656D"/>
    <w:rsid w:val="00D81A94"/>
    <w:rsid w:val="00DA48B3"/>
    <w:rsid w:val="00E030F9"/>
    <w:rsid w:val="00F01FEF"/>
    <w:rsid w:val="00F23884"/>
    <w:rsid w:val="08A11799"/>
    <w:rsid w:val="0FEA182B"/>
    <w:rsid w:val="10172AB2"/>
    <w:rsid w:val="19F82FCD"/>
    <w:rsid w:val="1D45351D"/>
    <w:rsid w:val="20A17907"/>
    <w:rsid w:val="2BAF2BE8"/>
    <w:rsid w:val="2E0A061B"/>
    <w:rsid w:val="30E133FB"/>
    <w:rsid w:val="3FC60035"/>
    <w:rsid w:val="426C2D59"/>
    <w:rsid w:val="42766BF0"/>
    <w:rsid w:val="44C11CDF"/>
    <w:rsid w:val="46725BC6"/>
    <w:rsid w:val="49552D5F"/>
    <w:rsid w:val="4BE30C2A"/>
    <w:rsid w:val="4E5F3193"/>
    <w:rsid w:val="53B14E99"/>
    <w:rsid w:val="5584281B"/>
    <w:rsid w:val="55C71255"/>
    <w:rsid w:val="59026A2F"/>
    <w:rsid w:val="61200A8B"/>
    <w:rsid w:val="63FB6822"/>
    <w:rsid w:val="64344ACF"/>
    <w:rsid w:val="64665C5E"/>
    <w:rsid w:val="652D0C2D"/>
    <w:rsid w:val="67E4573F"/>
    <w:rsid w:val="6ECA0EDD"/>
    <w:rsid w:val="71306A31"/>
    <w:rsid w:val="79FE624E"/>
    <w:rsid w:val="7BB15F97"/>
    <w:rsid w:val="7C70720F"/>
    <w:rsid w:val="7F267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rPr>
      <w:sz w:val="24"/>
    </w:rPr>
  </w:style>
  <w:style w:type="character" w:styleId="7">
    <w:name w:val="Strong"/>
    <w:basedOn w:val="6"/>
    <w:qFormat/>
    <w:uiPriority w:val="22"/>
    <w:rPr>
      <w:b/>
      <w:bCs/>
    </w:rPr>
  </w:style>
  <w:style w:type="character" w:styleId="8">
    <w:name w:val="Hyperlink"/>
    <w:basedOn w:val="6"/>
    <w:uiPriority w:val="0"/>
    <w:rPr>
      <w:color w:val="0563C1" w:themeColor="hyperlink"/>
      <w:u w:val="single"/>
    </w:rPr>
  </w:style>
  <w:style w:type="character" w:customStyle="1" w:styleId="9">
    <w:name w:val="font51"/>
    <w:basedOn w:val="6"/>
    <w:qFormat/>
    <w:uiPriority w:val="0"/>
    <w:rPr>
      <w:rFonts w:hint="eastAsia" w:ascii="新宋体" w:hAnsi="新宋体" w:eastAsia="新宋体" w:cs="新宋体"/>
      <w:b/>
      <w:color w:val="000000"/>
      <w:sz w:val="21"/>
      <w:szCs w:val="21"/>
      <w:u w:val="none"/>
    </w:rPr>
  </w:style>
  <w:style w:type="character" w:customStyle="1" w:styleId="10">
    <w:name w:val="font41"/>
    <w:basedOn w:val="6"/>
    <w:qFormat/>
    <w:uiPriority w:val="0"/>
    <w:rPr>
      <w:rFonts w:hint="eastAsia" w:ascii="新宋体" w:hAnsi="新宋体" w:eastAsia="新宋体" w:cs="新宋体"/>
      <w:color w:val="000000"/>
      <w:sz w:val="21"/>
      <w:szCs w:val="21"/>
      <w:u w:val="none"/>
    </w:rPr>
  </w:style>
  <w:style w:type="character" w:customStyle="1" w:styleId="11">
    <w:name w:val="页眉 Char"/>
    <w:basedOn w:val="6"/>
    <w:link w:val="3"/>
    <w:qFormat/>
    <w:uiPriority w:val="0"/>
    <w:rPr>
      <w:rFonts w:ascii="Calibri" w:hAnsi="Calibri"/>
      <w:kern w:val="2"/>
      <w:sz w:val="18"/>
      <w:szCs w:val="18"/>
    </w:rPr>
  </w:style>
  <w:style w:type="character" w:customStyle="1" w:styleId="12">
    <w:name w:val="页脚 Char"/>
    <w:basedOn w:val="6"/>
    <w:link w:val="2"/>
    <w:qFormat/>
    <w:uiPriority w:val="0"/>
    <w:rPr>
      <w:rFonts w:ascii="Calibri" w:hAnsi="Calibri"/>
      <w:kern w:val="2"/>
      <w:sz w:val="18"/>
      <w:szCs w:val="18"/>
    </w:rPr>
  </w:style>
  <w:style w:type="paragraph" w:styleId="13">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2815</Words>
  <Characters>2843</Characters>
  <Lines>21</Lines>
  <Paragraphs>5</Paragraphs>
  <TotalTime>290</TotalTime>
  <ScaleCrop>false</ScaleCrop>
  <LinksUpToDate>false</LinksUpToDate>
  <CharactersWithSpaces>2879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2020-06-16T09:06:00Z</dcterms:created>
  <dc:creator>sunshine</dc:creator>
  <cp:lastModifiedBy>Administrator</cp:lastModifiedBy>
  <cp:lastPrinted>2020-08-21T06:26:00Z</cp:lastPrinted>
  <dcterms:modified xsi:type="dcterms:W3CDTF">2025-05-20T01:34:06Z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eyJoZGlkIjoiZGVlZTEwNDEzYTE4MjhjMTc3MTBmZjI4MTJjYWFkYTQifQ==</vt:lpwstr>
  </property>
  <property fmtid="{D5CDD505-2E9C-101B-9397-08002B2CF9AE}" pid="4" name="ICV">
    <vt:lpwstr>D4DC8AD705C2412FB0509A4ABB4A7985_12</vt:lpwstr>
  </property>
</Properties>
</file>