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38E86">
      <w:pPr>
        <w:snapToGrid w:val="0"/>
        <w:spacing w:line="1100" w:lineRule="exact"/>
        <w:ind w:right="24"/>
        <w:rPr>
          <w:rFonts w:hint="eastAsia" w:ascii="宋体" w:hAnsi="宋体" w:eastAsia="宋体"/>
          <w:b/>
          <w:color w:val="FF0000"/>
          <w:spacing w:val="120"/>
          <w:sz w:val="92"/>
          <w:szCs w:val="92"/>
          <w:lang w:val="en-US" w:eastAsia="zh-CN"/>
        </w:rPr>
      </w:pPr>
      <w:r>
        <w:rPr>
          <w:rFonts w:hint="eastAsia" w:ascii="宋体" w:hAnsi="宋体" w:eastAsia="宋体"/>
          <w:b/>
          <w:color w:val="FF0000"/>
          <w:spacing w:val="-40"/>
          <w:sz w:val="92"/>
          <w:szCs w:val="92"/>
        </w:rPr>
        <w:t>遵化市农业农村局</w:t>
      </w:r>
      <w:r>
        <w:rPr>
          <w:rFonts w:hint="eastAsia" w:ascii="宋体" w:hAnsi="宋体" w:eastAsia="宋体"/>
          <w:b/>
          <w:color w:val="FF0000"/>
          <w:spacing w:val="-40"/>
          <w:sz w:val="92"/>
          <w:szCs w:val="92"/>
          <w:lang w:eastAsia="zh-CN"/>
        </w:rPr>
        <w:t>（</w:t>
      </w:r>
      <w:r>
        <w:rPr>
          <w:rFonts w:hint="eastAsia" w:ascii="方正仿宋简体" w:hAnsi="方正仿宋简体" w:eastAsia="方正仿宋简体" w:cs="方正仿宋简体"/>
          <w:b/>
          <w:color w:val="auto"/>
          <w:spacing w:val="-40"/>
          <w:sz w:val="32"/>
          <w:szCs w:val="32"/>
          <w:lang w:val="en-US" w:eastAsia="zh-CN"/>
        </w:rPr>
        <w:t>通知</w:t>
      </w:r>
      <w:r>
        <w:rPr>
          <w:rFonts w:hint="eastAsia" w:ascii="宋体" w:hAnsi="宋体" w:eastAsia="宋体"/>
          <w:b/>
          <w:color w:val="FF0000"/>
          <w:spacing w:val="-40"/>
          <w:sz w:val="92"/>
          <w:szCs w:val="92"/>
          <w:lang w:eastAsia="zh-CN"/>
        </w:rPr>
        <w:t>）</w:t>
      </w:r>
    </w:p>
    <w:p w14:paraId="2D58CCBE">
      <w:pPr>
        <w:keepNext w:val="0"/>
        <w:keepLines w:val="0"/>
        <w:pageBreakBefore w:val="0"/>
        <w:widowControl w:val="0"/>
        <w:tabs>
          <w:tab w:val="left" w:pos="2883"/>
        </w:tabs>
        <w:kinsoku/>
        <w:wordWrap/>
        <w:overflowPunct/>
        <w:topLinePunct w:val="0"/>
        <w:autoSpaceDE/>
        <w:autoSpaceDN/>
        <w:bidi w:val="0"/>
        <w:adjustRightInd/>
        <w:snapToGrid w:val="0"/>
        <w:spacing w:line="400" w:lineRule="exact"/>
        <w:ind w:right="-153"/>
        <w:jc w:val="both"/>
        <w:textAlignment w:val="auto"/>
        <w:rPr>
          <w:rFonts w:hint="eastAsia" w:ascii="宋体" w:hAnsi="宋体" w:eastAsia="方正仿宋简体" w:cs="方正仿宋简体"/>
          <w:sz w:val="32"/>
          <w:szCs w:val="32"/>
        </w:rPr>
      </w:pPr>
    </w:p>
    <w:p w14:paraId="2E838CE9">
      <w:pPr>
        <w:keepNext w:val="0"/>
        <w:keepLines w:val="0"/>
        <w:pageBreakBefore w:val="0"/>
        <w:widowControl w:val="0"/>
        <w:tabs>
          <w:tab w:val="left" w:pos="2883"/>
        </w:tabs>
        <w:kinsoku/>
        <w:wordWrap/>
        <w:overflowPunct/>
        <w:topLinePunct w:val="0"/>
        <w:autoSpaceDE/>
        <w:autoSpaceDN/>
        <w:bidi w:val="0"/>
        <w:adjustRightInd/>
        <w:snapToGrid w:val="0"/>
        <w:spacing w:line="400" w:lineRule="exact"/>
        <w:ind w:right="-153" w:firstLine="2880" w:firstLineChars="900"/>
        <w:jc w:val="both"/>
        <w:textAlignment w:val="auto"/>
        <w:rPr>
          <w:rFonts w:hint="default" w:ascii="宋体" w:hAnsi="宋体" w:eastAsia="方正仿宋简体" w:cs="方正仿宋简体"/>
          <w:sz w:val="32"/>
          <w:szCs w:val="32"/>
          <w:lang w:val="en-US" w:eastAsia="zh-CN"/>
        </w:rPr>
      </w:pPr>
      <w:r>
        <w:rPr>
          <w:rFonts w:hint="eastAsia" w:ascii="宋体" w:hAnsi="宋体" w:eastAsia="方正仿宋简体" w:cs="方正仿宋简体"/>
          <w:sz w:val="32"/>
          <w:szCs w:val="32"/>
        </w:rPr>
        <mc:AlternateContent>
          <mc:Choice Requires="wps">
            <w:drawing>
              <wp:anchor distT="0" distB="0" distL="114300" distR="114300" simplePos="0" relativeHeight="251660288" behindDoc="1" locked="0" layoutInCell="0" allowOverlap="1">
                <wp:simplePos x="0" y="0"/>
                <wp:positionH relativeFrom="column">
                  <wp:posOffset>-46990</wp:posOffset>
                </wp:positionH>
                <wp:positionV relativeFrom="paragraph">
                  <wp:posOffset>446405</wp:posOffset>
                </wp:positionV>
                <wp:extent cx="55778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0" y="0"/>
                          <a:ext cx="5577840" cy="0"/>
                        </a:xfrm>
                        <a:prstGeom prst="line">
                          <a:avLst/>
                        </a:prstGeom>
                        <a:ln w="21717" cap="flat" cmpd="sng">
                          <a:solidFill>
                            <a:srgbClr val="FC0011"/>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pt;margin-top:35.15pt;height:0pt;width:439.2pt;z-index:-251656192;mso-width-relative:page;mso-height-relative:page;" filled="f" stroked="t" coordsize="21600,21600" o:allowincell="f" o:gfxdata="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cOkv7ZAAAACAEAAA8AAAAAAAAAAQAgAAAAIgAAAGRycy9kb3ducmV2Lnht&#10;bFBLAQIUABQAAAAIAIdO4kBIfb5Y+AEAAOUDAAAOAAAAAAAAAAEAIAAAACgBAABkcnMvZTJvRG9j&#10;LnhtbFBLBQYAAAAABgAGAFkBAACSBQAAAAA=&#10;">
                <v:fill on="f" focussize="0,0"/>
                <v:stroke weight="1.71pt" color="#FC0011" joinstyle="round"/>
                <v:imagedata o:title=""/>
                <o:lock v:ext="edit" aspectratio="f"/>
              </v:line>
            </w:pict>
          </mc:Fallback>
        </mc:AlternateContent>
      </w:r>
      <w:r>
        <w:rPr>
          <w:rFonts w:hint="eastAsia" w:ascii="宋体" w:hAnsi="宋体" w:eastAsia="方正仿宋简体" w:cs="方正仿宋简体"/>
          <w:sz w:val="32"/>
          <w:szCs w:val="32"/>
        </w:rPr>
        <w:t>遵</w:t>
      </w:r>
      <w:r>
        <w:rPr>
          <w:rFonts w:hint="eastAsia" w:ascii="宋体" w:hAnsi="宋体" w:eastAsia="方正仿宋简体" w:cs="方正仿宋简体"/>
          <w:sz w:val="32"/>
          <w:szCs w:val="32"/>
          <w:lang w:val="en-US" w:eastAsia="zh-CN"/>
        </w:rPr>
        <w:t>农字【2025】35号</w:t>
      </w:r>
    </w:p>
    <w:p w14:paraId="18043F29">
      <w:pPr>
        <w:adjustRightInd/>
        <w:spacing w:line="570" w:lineRule="exact"/>
        <w:jc w:val="center"/>
        <w:rPr>
          <w:rFonts w:hint="eastAsia" w:ascii="方正小标宋简体" w:hAnsi="方正小标宋简体" w:eastAsia="方正小标宋简体" w:cs="方正小标宋简体"/>
          <w:sz w:val="40"/>
          <w:szCs w:val="40"/>
        </w:rPr>
      </w:pPr>
    </w:p>
    <w:p w14:paraId="22E682AC">
      <w:pPr>
        <w:keepNext w:val="0"/>
        <w:keepLines w:val="0"/>
        <w:pageBreakBefore w:val="0"/>
        <w:widowControl w:val="0"/>
        <w:kinsoku/>
        <w:wordWrap/>
        <w:overflowPunct/>
        <w:topLinePunct w:val="0"/>
        <w:autoSpaceDE/>
        <w:autoSpaceDN/>
        <w:bidi w:val="0"/>
        <w:adjustRightInd w:val="0"/>
        <w:snapToGrid/>
        <w:spacing w:line="570" w:lineRule="exact"/>
        <w:ind w:left="0" w:right="0" w:firstLine="0"/>
        <w:jc w:val="center"/>
        <w:textAlignment w:val="auto"/>
        <w:rPr>
          <w:rFonts w:hint="eastAsia" w:ascii="方正小标宋简体" w:hAnsi="方正小标宋简体" w:eastAsia="方正小标宋简体" w:cs="方正小标宋简体"/>
          <w:b w:val="0"/>
          <w:bCs w:val="0"/>
          <w:spacing w:val="-3"/>
          <w:sz w:val="40"/>
          <w:lang w:val="en-US" w:eastAsia="zh-CN"/>
        </w:rPr>
      </w:pPr>
      <w:r>
        <w:rPr>
          <w:rFonts w:hint="eastAsia" w:ascii="方正小标宋简体" w:hAnsi="方正小标宋简体" w:eastAsia="方正小标宋简体" w:cs="方正小标宋简体"/>
          <w:b w:val="0"/>
          <w:bCs w:val="0"/>
          <w:spacing w:val="-3"/>
          <w:sz w:val="40"/>
          <w:lang w:eastAsia="zh-CN"/>
        </w:rPr>
        <w:t>遵化市</w:t>
      </w:r>
      <w:r>
        <w:rPr>
          <w:rFonts w:hint="eastAsia" w:ascii="方正小标宋简体" w:hAnsi="方正小标宋简体" w:eastAsia="方正小标宋简体" w:cs="方正小标宋简体"/>
          <w:b w:val="0"/>
          <w:bCs w:val="0"/>
          <w:spacing w:val="-3"/>
          <w:sz w:val="40"/>
        </w:rPr>
        <w:t>农业农村局</w:t>
      </w:r>
      <w:r>
        <w:rPr>
          <w:rFonts w:hint="eastAsia" w:ascii="方正小标宋简体" w:hAnsi="方正小标宋简体" w:eastAsia="方正小标宋简体" w:cs="方正小标宋简体"/>
          <w:b w:val="0"/>
          <w:bCs w:val="0"/>
          <w:spacing w:val="-3"/>
          <w:sz w:val="40"/>
          <w:lang w:val="en-US" w:eastAsia="zh-CN"/>
        </w:rPr>
        <w:t xml:space="preserve">  </w:t>
      </w:r>
    </w:p>
    <w:p w14:paraId="71C35D25">
      <w:pPr>
        <w:keepNext w:val="0"/>
        <w:keepLines w:val="0"/>
        <w:pageBreakBefore w:val="0"/>
        <w:widowControl w:val="0"/>
        <w:kinsoku/>
        <w:wordWrap/>
        <w:overflowPunct/>
        <w:topLinePunct w:val="0"/>
        <w:autoSpaceDE/>
        <w:autoSpaceDN/>
        <w:bidi w:val="0"/>
        <w:adjustRightInd w:val="0"/>
        <w:snapToGrid/>
        <w:spacing w:line="570" w:lineRule="exact"/>
        <w:ind w:left="0" w:right="0" w:firstLine="0"/>
        <w:jc w:val="center"/>
        <w:textAlignment w:val="auto"/>
        <w:rPr>
          <w:rFonts w:hint="eastAsia" w:ascii="方正小标宋简体" w:hAnsi="方正小标宋简体" w:eastAsia="方正小标宋简体" w:cs="方正小标宋简体"/>
          <w:b w:val="0"/>
          <w:bCs w:val="0"/>
          <w:spacing w:val="-3"/>
          <w:sz w:val="40"/>
          <w:lang w:val="en-US" w:eastAsia="zh-CN"/>
        </w:rPr>
      </w:pPr>
      <w:r>
        <w:rPr>
          <w:rFonts w:hint="eastAsia" w:ascii="方正小标宋简体" w:hAnsi="方正小标宋简体" w:eastAsia="方正小标宋简体" w:cs="方正小标宋简体"/>
          <w:b w:val="0"/>
          <w:bCs w:val="0"/>
          <w:spacing w:val="-3"/>
          <w:sz w:val="40"/>
        </w:rPr>
        <w:t>关于</w:t>
      </w:r>
      <w:r>
        <w:rPr>
          <w:rFonts w:hint="eastAsia" w:ascii="方正小标宋简体" w:hAnsi="方正小标宋简体" w:eastAsia="方正小标宋简体" w:cs="方正小标宋简体"/>
          <w:b w:val="0"/>
          <w:bCs w:val="0"/>
          <w:spacing w:val="-3"/>
          <w:sz w:val="40"/>
          <w:lang w:val="en-US" w:eastAsia="zh-CN"/>
        </w:rPr>
        <w:t>印发《2025年遵化市粮改饲项目实施方案》的通知</w:t>
      </w:r>
    </w:p>
    <w:p w14:paraId="4AA5D44B">
      <w:pPr>
        <w:keepNext w:val="0"/>
        <w:keepLines w:val="0"/>
        <w:pageBreakBefore w:val="0"/>
        <w:widowControl w:val="0"/>
        <w:kinsoku/>
        <w:wordWrap/>
        <w:overflowPunct/>
        <w:topLinePunct w:val="0"/>
        <w:autoSpaceDE/>
        <w:autoSpaceDN/>
        <w:bidi w:val="0"/>
        <w:adjustRightInd w:val="0"/>
        <w:snapToGrid/>
        <w:spacing w:line="570" w:lineRule="exact"/>
        <w:ind w:left="0" w:right="0" w:firstLine="0"/>
        <w:jc w:val="both"/>
        <w:textAlignment w:val="auto"/>
        <w:rPr>
          <w:rFonts w:hint="eastAsia" w:ascii="方正仿宋简体" w:hAnsi="方正仿宋简体" w:eastAsia="方正仿宋简体" w:cs="方正仿宋简体"/>
          <w:b w:val="0"/>
          <w:bCs w:val="0"/>
          <w:spacing w:val="-3"/>
          <w:sz w:val="32"/>
          <w:szCs w:val="32"/>
          <w:lang w:val="en-US" w:eastAsia="zh-CN"/>
        </w:rPr>
      </w:pPr>
    </w:p>
    <w:p w14:paraId="6A45050D">
      <w:pPr>
        <w:keepNext w:val="0"/>
        <w:keepLines w:val="0"/>
        <w:pageBreakBefore w:val="0"/>
        <w:widowControl w:val="0"/>
        <w:kinsoku/>
        <w:wordWrap/>
        <w:overflowPunct/>
        <w:topLinePunct w:val="0"/>
        <w:autoSpaceDE/>
        <w:autoSpaceDN/>
        <w:bidi w:val="0"/>
        <w:adjustRightInd w:val="0"/>
        <w:snapToGrid/>
        <w:spacing w:line="570" w:lineRule="exact"/>
        <w:ind w:left="0" w:right="0" w:firstLine="0"/>
        <w:jc w:val="both"/>
        <w:textAlignment w:val="auto"/>
        <w:rPr>
          <w:rFonts w:hint="eastAsia" w:ascii="方正仿宋简体" w:hAnsi="方正仿宋简体" w:eastAsia="方正仿宋简体" w:cs="方正仿宋简体"/>
          <w:b w:val="0"/>
          <w:bCs w:val="0"/>
          <w:spacing w:val="-3"/>
          <w:sz w:val="32"/>
          <w:szCs w:val="32"/>
          <w:lang w:val="en-US" w:eastAsia="zh-CN"/>
        </w:rPr>
      </w:pPr>
      <w:r>
        <w:rPr>
          <w:rFonts w:hint="eastAsia" w:ascii="方正仿宋简体" w:hAnsi="方正仿宋简体" w:eastAsia="方正仿宋简体" w:cs="方正仿宋简体"/>
          <w:b w:val="0"/>
          <w:bCs w:val="0"/>
          <w:spacing w:val="-3"/>
          <w:sz w:val="32"/>
          <w:szCs w:val="32"/>
          <w:lang w:val="en-US" w:eastAsia="zh-CN"/>
        </w:rPr>
        <w:t xml:space="preserve">局各有关科室、基层畜牧兽医站: </w:t>
      </w:r>
    </w:p>
    <w:p w14:paraId="4FD8DC77">
      <w:pPr>
        <w:spacing w:before="107" w:line="221" w:lineRule="auto"/>
        <w:ind w:firstLine="628" w:firstLineChars="200"/>
        <w:rPr>
          <w:rFonts w:hint="eastAsia" w:ascii="方正仿宋简体" w:hAnsi="方正仿宋简体" w:eastAsia="方正仿宋简体" w:cs="方正仿宋简体"/>
          <w:b w:val="0"/>
          <w:bCs w:val="0"/>
          <w:spacing w:val="-3"/>
          <w:sz w:val="32"/>
          <w:szCs w:val="32"/>
          <w:lang w:val="en-US" w:eastAsia="zh-CN"/>
        </w:rPr>
      </w:pPr>
      <w:r>
        <w:rPr>
          <w:rFonts w:hint="eastAsia" w:ascii="方正仿宋简体" w:hAnsi="方正仿宋简体" w:eastAsia="方正仿宋简体" w:cs="方正仿宋简体"/>
          <w:b w:val="0"/>
          <w:bCs w:val="0"/>
          <w:spacing w:val="-3"/>
          <w:sz w:val="32"/>
          <w:szCs w:val="32"/>
          <w:lang w:val="en-US" w:eastAsia="zh-CN"/>
        </w:rPr>
        <w:t>根据《2025年唐山市第二批粮改饲项目实施方案》唐农字[2025]7号文件要求，为组织实施好我市粮改饲项目工作，制定了《2025年遵化市粮改饲项目实施方案》，现印发给你们。请及时向当地乡镇人民政府进行汇报，并做好宣传发动工作，结合本地实际抓好贯彻落实，确保今年粮改饲项目顺利完成。</w:t>
      </w:r>
    </w:p>
    <w:p w14:paraId="1BF8D12F">
      <w:pPr>
        <w:spacing w:before="107" w:line="221" w:lineRule="auto"/>
        <w:rPr>
          <w:rFonts w:hint="eastAsia" w:ascii="方正仿宋简体" w:hAnsi="方正仿宋简体" w:eastAsia="方正仿宋简体" w:cs="方正仿宋简体"/>
          <w:b w:val="0"/>
          <w:bCs w:val="0"/>
          <w:spacing w:val="-3"/>
          <w:sz w:val="32"/>
          <w:szCs w:val="32"/>
          <w:lang w:val="en-US" w:eastAsia="zh-CN"/>
        </w:rPr>
      </w:pPr>
      <w:r>
        <w:rPr>
          <w:rFonts w:hint="eastAsia" w:ascii="方正仿宋简体" w:hAnsi="方正仿宋简体" w:eastAsia="方正仿宋简体" w:cs="方正仿宋简体"/>
          <w:b w:val="0"/>
          <w:bCs w:val="0"/>
          <w:spacing w:val="-3"/>
          <w:sz w:val="32"/>
          <w:szCs w:val="32"/>
          <w:lang w:val="en-US" w:eastAsia="zh-CN"/>
        </w:rPr>
        <w:t>附件: 《2025年遵化市粮改饲项目实施方案》</w:t>
      </w:r>
    </w:p>
    <w:p w14:paraId="1229415D">
      <w:pPr>
        <w:keepNext w:val="0"/>
        <w:keepLines w:val="0"/>
        <w:pageBreakBefore w:val="0"/>
        <w:widowControl w:val="0"/>
        <w:kinsoku/>
        <w:wordWrap/>
        <w:overflowPunct/>
        <w:topLinePunct w:val="0"/>
        <w:autoSpaceDE/>
        <w:autoSpaceDN/>
        <w:bidi w:val="0"/>
        <w:adjustRightInd w:val="0"/>
        <w:snapToGrid/>
        <w:spacing w:line="570" w:lineRule="exact"/>
        <w:ind w:left="0" w:right="0" w:firstLine="2198" w:firstLineChars="700"/>
        <w:jc w:val="both"/>
        <w:textAlignment w:val="auto"/>
        <w:rPr>
          <w:rFonts w:hint="eastAsia" w:ascii="方正仿宋简体" w:hAnsi="方正仿宋简体" w:eastAsia="方正仿宋简体" w:cs="方正仿宋简体"/>
          <w:b w:val="0"/>
          <w:bCs w:val="0"/>
          <w:spacing w:val="-3"/>
          <w:sz w:val="32"/>
          <w:szCs w:val="32"/>
          <w:lang w:val="en-US" w:eastAsia="zh-CN"/>
        </w:rPr>
      </w:pPr>
    </w:p>
    <w:p w14:paraId="37665AA4">
      <w:pPr>
        <w:keepNext w:val="0"/>
        <w:keepLines w:val="0"/>
        <w:pageBreakBefore w:val="0"/>
        <w:widowControl w:val="0"/>
        <w:kinsoku/>
        <w:wordWrap/>
        <w:overflowPunct/>
        <w:topLinePunct w:val="0"/>
        <w:autoSpaceDE/>
        <w:autoSpaceDN/>
        <w:bidi w:val="0"/>
        <w:adjustRightInd w:val="0"/>
        <w:snapToGrid/>
        <w:spacing w:line="570" w:lineRule="exact"/>
        <w:ind w:left="0" w:right="0" w:firstLine="2198" w:firstLineChars="700"/>
        <w:jc w:val="both"/>
        <w:textAlignment w:val="auto"/>
        <w:rPr>
          <w:rFonts w:hint="eastAsia" w:ascii="方正仿宋简体" w:hAnsi="方正仿宋简体" w:eastAsia="方正仿宋简体" w:cs="方正仿宋简体"/>
          <w:b w:val="0"/>
          <w:bCs w:val="0"/>
          <w:spacing w:val="-3"/>
          <w:sz w:val="32"/>
          <w:szCs w:val="32"/>
          <w:lang w:val="en-US" w:eastAsia="zh-CN"/>
        </w:rPr>
      </w:pPr>
    </w:p>
    <w:p w14:paraId="29FFF52A">
      <w:pPr>
        <w:keepNext w:val="0"/>
        <w:keepLines w:val="0"/>
        <w:pageBreakBefore w:val="0"/>
        <w:widowControl w:val="0"/>
        <w:kinsoku/>
        <w:wordWrap/>
        <w:overflowPunct/>
        <w:topLinePunct w:val="0"/>
        <w:autoSpaceDE/>
        <w:autoSpaceDN/>
        <w:bidi w:val="0"/>
        <w:adjustRightInd w:val="0"/>
        <w:snapToGrid/>
        <w:spacing w:line="570" w:lineRule="exact"/>
        <w:ind w:right="0" w:firstLine="4710" w:firstLineChars="1500"/>
        <w:jc w:val="both"/>
        <w:textAlignment w:val="auto"/>
        <w:rPr>
          <w:rFonts w:hint="eastAsia" w:ascii="方正仿宋简体" w:hAnsi="方正仿宋简体" w:eastAsia="方正仿宋简体" w:cs="方正仿宋简体"/>
          <w:b w:val="0"/>
          <w:bCs w:val="0"/>
          <w:spacing w:val="-3"/>
          <w:sz w:val="32"/>
          <w:szCs w:val="32"/>
          <w:lang w:val="en-US" w:eastAsia="zh-CN"/>
        </w:rPr>
      </w:pPr>
      <w:r>
        <w:rPr>
          <w:rFonts w:hint="eastAsia" w:ascii="方正仿宋简体" w:hAnsi="方正仿宋简体" w:eastAsia="方正仿宋简体" w:cs="方正仿宋简体"/>
          <w:b w:val="0"/>
          <w:bCs w:val="0"/>
          <w:spacing w:val="-3"/>
          <w:sz w:val="32"/>
          <w:szCs w:val="32"/>
          <w:lang w:val="en-US" w:eastAsia="zh-CN"/>
        </w:rPr>
        <w:t>遵化市农业农村局</w:t>
      </w:r>
    </w:p>
    <w:p w14:paraId="68C9EECB">
      <w:pPr>
        <w:autoSpaceDE w:val="0"/>
        <w:autoSpaceDN w:val="0"/>
        <w:adjustRightInd w:val="0"/>
        <w:spacing w:line="570" w:lineRule="exact"/>
        <w:ind w:firstLine="320" w:firstLineChars="100"/>
        <w:jc w:val="center"/>
        <w:rPr>
          <w:rFonts w:hint="default" w:ascii="方正仿宋简体" w:hAnsi="方正仿宋简体" w:eastAsia="方正仿宋简体" w:cs="方正仿宋简体"/>
          <w:bCs/>
          <w:color w:val="000000"/>
          <w:kern w:val="0"/>
          <w:sz w:val="32"/>
          <w:szCs w:val="32"/>
          <w:lang w:val="en-US" w:eastAsia="zh-CN"/>
        </w:rPr>
      </w:pPr>
      <w:r>
        <w:rPr>
          <w:rFonts w:hint="eastAsia" w:ascii="方正仿宋简体" w:hAnsi="方正仿宋简体" w:eastAsia="方正仿宋简体" w:cs="方正仿宋简体"/>
          <w:bCs/>
          <w:color w:val="000000"/>
          <w:kern w:val="0"/>
          <w:sz w:val="32"/>
          <w:szCs w:val="32"/>
          <w:lang w:val="en-US" w:eastAsia="zh-CN"/>
        </w:rPr>
        <w:t xml:space="preserve">                    2025年7月22日</w:t>
      </w:r>
    </w:p>
    <w:p w14:paraId="28B332CF">
      <w:pPr>
        <w:spacing w:before="270" w:line="219" w:lineRule="auto"/>
        <w:jc w:val="both"/>
        <w:outlineLvl w:val="0"/>
        <w:rPr>
          <w:rFonts w:hint="eastAsia" w:ascii="方正仿宋简体" w:hAnsi="方正仿宋简体" w:eastAsia="方正仿宋简体" w:cs="方正仿宋简体"/>
          <w:bCs/>
          <w:color w:val="000000"/>
          <w:kern w:val="0"/>
          <w:sz w:val="32"/>
          <w:szCs w:val="32"/>
          <w:u w:val="single"/>
          <w:lang w:val="en-US" w:eastAsia="zh-CN"/>
        </w:rPr>
      </w:pPr>
    </w:p>
    <w:p w14:paraId="30EF6BA3">
      <w:pPr>
        <w:spacing w:before="270" w:line="219" w:lineRule="auto"/>
        <w:jc w:val="both"/>
        <w:outlineLvl w:val="0"/>
        <w:rPr>
          <w:rFonts w:hint="eastAsia" w:ascii="方正仿宋简体" w:hAnsi="方正仿宋简体" w:eastAsia="方正仿宋简体" w:cs="方正仿宋简体"/>
          <w:bCs/>
          <w:color w:val="000000"/>
          <w:kern w:val="0"/>
          <w:sz w:val="32"/>
          <w:szCs w:val="32"/>
          <w:u w:val="single"/>
          <w:lang w:val="en-US" w:eastAsia="zh-CN"/>
        </w:rPr>
      </w:pPr>
    </w:p>
    <w:p w14:paraId="2B595772">
      <w:pPr>
        <w:spacing w:before="270" w:line="219" w:lineRule="auto"/>
        <w:jc w:val="both"/>
        <w:outlineLvl w:val="0"/>
        <w:rPr>
          <w:rFonts w:ascii="宋体" w:hAnsi="宋体" w:eastAsia="宋体" w:cs="宋体"/>
          <w:b/>
          <w:bCs/>
          <w:sz w:val="44"/>
          <w:szCs w:val="44"/>
        </w:rPr>
      </w:pPr>
      <w:r>
        <w:rPr>
          <w:rFonts w:hint="eastAsia" w:ascii="方正仿宋简体" w:hAnsi="方正仿宋简体" w:eastAsia="方正仿宋简体" w:cs="方正仿宋简体"/>
          <w:bCs/>
          <w:color w:val="000000"/>
          <w:kern w:val="0"/>
          <w:sz w:val="32"/>
          <w:szCs w:val="32"/>
          <w:u w:val="single"/>
          <w:lang w:val="en-US" w:eastAsia="zh-CN"/>
        </w:rPr>
        <w:t xml:space="preserve">抄送：遵化市财政局                                 </w:t>
      </w:r>
    </w:p>
    <w:p w14:paraId="6B4BD2A7">
      <w:pPr>
        <w:spacing w:before="270" w:line="219" w:lineRule="auto"/>
        <w:ind w:left="626"/>
        <w:jc w:val="center"/>
        <w:outlineLvl w:val="0"/>
        <w:rPr>
          <w:rFonts w:ascii="宋体" w:hAnsi="宋体" w:eastAsia="宋体" w:cs="宋体"/>
          <w:b/>
          <w:bCs/>
          <w:sz w:val="44"/>
          <w:szCs w:val="44"/>
        </w:rPr>
      </w:pPr>
    </w:p>
    <w:p w14:paraId="3CB30C7B">
      <w:pPr>
        <w:spacing w:before="270" w:line="219" w:lineRule="auto"/>
        <w:jc w:val="center"/>
        <w:outlineLvl w:val="0"/>
        <w:rPr>
          <w:rFonts w:ascii="宋体" w:hAnsi="宋体" w:eastAsia="宋体" w:cs="宋体"/>
          <w:b/>
          <w:bCs/>
          <w:sz w:val="44"/>
          <w:szCs w:val="44"/>
        </w:rPr>
      </w:pPr>
      <w:r>
        <w:rPr>
          <w:rFonts w:ascii="宋体" w:hAnsi="宋体" w:eastAsia="宋体" w:cs="宋体"/>
          <w:b/>
          <w:bCs/>
          <w:sz w:val="44"/>
          <w:szCs w:val="44"/>
        </w:rPr>
        <w:t>2025年</w:t>
      </w:r>
      <w:r>
        <w:rPr>
          <w:rFonts w:hint="eastAsia" w:ascii="宋体" w:hAnsi="宋体" w:eastAsia="宋体" w:cs="宋体"/>
          <w:b/>
          <w:bCs/>
          <w:sz w:val="44"/>
          <w:szCs w:val="44"/>
          <w:lang w:val="en-US" w:eastAsia="zh-CN"/>
        </w:rPr>
        <w:t>遵化市</w:t>
      </w:r>
    </w:p>
    <w:p w14:paraId="222B63EC">
      <w:pPr>
        <w:spacing w:before="270" w:line="219" w:lineRule="auto"/>
        <w:ind w:left="626"/>
        <w:jc w:val="center"/>
        <w:outlineLvl w:val="0"/>
        <w:rPr>
          <w:rFonts w:ascii="宋体" w:hAnsi="宋体" w:eastAsia="宋体" w:cs="宋体"/>
          <w:sz w:val="44"/>
          <w:szCs w:val="44"/>
        </w:rPr>
      </w:pPr>
      <w:r>
        <w:rPr>
          <w:rFonts w:ascii="宋体" w:hAnsi="宋体" w:eastAsia="宋体" w:cs="宋体"/>
          <w:b/>
          <w:bCs/>
          <w:sz w:val="44"/>
          <w:szCs w:val="44"/>
        </w:rPr>
        <w:t>粮改饲项目实施方案</w:t>
      </w:r>
    </w:p>
    <w:p w14:paraId="66EB1E7E">
      <w:pPr>
        <w:spacing w:line="363" w:lineRule="auto"/>
        <w:rPr>
          <w:rFonts w:ascii="Arial"/>
          <w:sz w:val="21"/>
        </w:rPr>
      </w:pPr>
    </w:p>
    <w:p w14:paraId="2502DEC4">
      <w:pPr>
        <w:pStyle w:val="2"/>
        <w:spacing w:before="101" w:line="344" w:lineRule="auto"/>
        <w:ind w:right="99" w:firstLine="619"/>
        <w:jc w:val="both"/>
        <w:rPr>
          <w:color w:val="000000" w:themeColor="text1"/>
          <w14:textFill>
            <w14:solidFill>
              <w14:schemeClr w14:val="tx1"/>
            </w14:solidFill>
          </w14:textFill>
        </w:rPr>
      </w:pPr>
      <w:r>
        <w:rPr>
          <w:rFonts w:hint="eastAsia" w:ascii="仿宋" w:hAnsi="仿宋" w:eastAsia="仿宋" w:cs="仿宋"/>
          <w:color w:val="3C3C3C"/>
          <w:spacing w:val="-9"/>
          <w:sz w:val="32"/>
          <w:szCs w:val="32"/>
          <w:lang w:eastAsia="zh-CN"/>
        </w:rPr>
        <w:t>为了组织</w:t>
      </w:r>
      <w:r>
        <w:rPr>
          <w:rFonts w:hint="eastAsia" w:cs="仿宋"/>
          <w:color w:val="3C3C3C"/>
          <w:spacing w:val="-9"/>
          <w:sz w:val="32"/>
          <w:szCs w:val="32"/>
          <w:lang w:val="en-US" w:eastAsia="zh-CN"/>
        </w:rPr>
        <w:t>实施</w:t>
      </w:r>
      <w:r>
        <w:rPr>
          <w:rFonts w:hint="eastAsia" w:ascii="仿宋" w:hAnsi="仿宋" w:eastAsia="仿宋" w:cs="仿宋"/>
          <w:color w:val="3C3C3C"/>
          <w:spacing w:val="-9"/>
          <w:sz w:val="32"/>
          <w:szCs w:val="32"/>
          <w:lang w:eastAsia="zh-CN"/>
        </w:rPr>
        <w:t>好</w:t>
      </w:r>
      <w:r>
        <w:rPr>
          <w:rFonts w:hint="eastAsia" w:cs="仿宋"/>
          <w:color w:val="3C3C3C"/>
          <w:spacing w:val="-9"/>
          <w:sz w:val="32"/>
          <w:szCs w:val="32"/>
          <w:lang w:val="en-US" w:eastAsia="zh-CN"/>
        </w:rPr>
        <w:t>2025年</w:t>
      </w:r>
      <w:r>
        <w:rPr>
          <w:rFonts w:hint="eastAsia" w:ascii="仿宋" w:hAnsi="仿宋" w:eastAsia="仿宋" w:cs="仿宋"/>
          <w:color w:val="3D3D3D"/>
          <w:sz w:val="32"/>
          <w:szCs w:val="32"/>
          <w:shd w:val="clear" w:color="auto" w:fill="FFFFFF"/>
        </w:rPr>
        <w:t>粮改饲项目工作</w:t>
      </w:r>
      <w:r>
        <w:rPr>
          <w:rFonts w:hint="eastAsia" w:ascii="仿宋" w:hAnsi="仿宋" w:eastAsia="仿宋" w:cs="仿宋"/>
          <w:color w:val="3D3D3D"/>
          <w:sz w:val="32"/>
          <w:szCs w:val="32"/>
          <w:shd w:val="clear" w:color="auto" w:fill="FFFFFF"/>
          <w:lang w:eastAsia="zh-CN"/>
        </w:rPr>
        <w:t>，根据</w:t>
      </w:r>
      <w:r>
        <w:rPr>
          <w:rFonts w:hint="eastAsia" w:ascii="仿宋" w:hAnsi="仿宋" w:eastAsia="仿宋" w:cs="仿宋"/>
          <w:color w:val="000000" w:themeColor="text1"/>
          <w:sz w:val="32"/>
          <w:szCs w:val="32"/>
          <w:highlight w:val="none"/>
          <w:shd w:val="clear" w:color="auto" w:fill="FFFFFF"/>
          <w:lang w:eastAsia="zh-CN"/>
          <w14:textFill>
            <w14:solidFill>
              <w14:schemeClr w14:val="tx1"/>
            </w14:solidFill>
          </w14:textFill>
        </w:rPr>
        <w:t>唐山市农业农村局关于《</w:t>
      </w:r>
      <w:r>
        <w:rPr>
          <w:rFonts w:hint="eastAsia" w:ascii="仿宋" w:hAnsi="仿宋" w:eastAsia="仿宋" w:cs="仿宋"/>
          <w:color w:val="000000" w:themeColor="text1"/>
          <w:sz w:val="32"/>
          <w:szCs w:val="32"/>
          <w:highlight w:val="none"/>
          <w:shd w:val="clear" w:color="auto" w:fill="FFFFFF"/>
          <w:lang w:val="en-US" w:eastAsia="zh-CN"/>
          <w14:textFill>
            <w14:solidFill>
              <w14:schemeClr w14:val="tx1"/>
            </w14:solidFill>
          </w14:textFill>
        </w:rPr>
        <w:t>202</w:t>
      </w:r>
      <w:r>
        <w:rPr>
          <w:rFonts w:hint="eastAsia" w:cs="仿宋"/>
          <w:color w:val="000000" w:themeColor="text1"/>
          <w:sz w:val="32"/>
          <w:szCs w:val="32"/>
          <w:highlight w:val="none"/>
          <w:shd w:val="clear" w:color="auto" w:fill="FFFFFF"/>
          <w:lang w:val="en-US" w:eastAsia="zh-CN"/>
          <w14:textFill>
            <w14:solidFill>
              <w14:schemeClr w14:val="tx1"/>
            </w14:solidFill>
          </w14:textFill>
        </w:rPr>
        <w:t>5</w:t>
      </w:r>
      <w:r>
        <w:rPr>
          <w:rFonts w:hint="eastAsia" w:ascii="仿宋" w:hAnsi="仿宋" w:eastAsia="仿宋" w:cs="仿宋"/>
          <w:color w:val="000000" w:themeColor="text1"/>
          <w:sz w:val="32"/>
          <w:szCs w:val="32"/>
          <w:highlight w:val="none"/>
          <w:shd w:val="clear" w:color="auto" w:fill="FFFFFF"/>
          <w:lang w:val="en-US" w:eastAsia="zh-CN"/>
          <w14:textFill>
            <w14:solidFill>
              <w14:schemeClr w14:val="tx1"/>
            </w14:solidFill>
          </w14:textFill>
        </w:rPr>
        <w:t>年唐山市</w:t>
      </w:r>
      <w:r>
        <w:rPr>
          <w:rFonts w:hint="eastAsia" w:cs="仿宋"/>
          <w:color w:val="000000" w:themeColor="text1"/>
          <w:sz w:val="32"/>
          <w:szCs w:val="32"/>
          <w:highlight w:val="none"/>
          <w:shd w:val="clear" w:color="auto" w:fill="FFFFFF"/>
          <w:lang w:val="en-US" w:eastAsia="zh-CN"/>
          <w14:textFill>
            <w14:solidFill>
              <w14:schemeClr w14:val="tx1"/>
            </w14:solidFill>
          </w14:textFill>
        </w:rPr>
        <w:t>第二批</w:t>
      </w:r>
      <w:r>
        <w:rPr>
          <w:rFonts w:hint="eastAsia" w:ascii="仿宋" w:hAnsi="仿宋" w:eastAsia="仿宋" w:cs="仿宋"/>
          <w:color w:val="000000" w:themeColor="text1"/>
          <w:sz w:val="32"/>
          <w:szCs w:val="32"/>
          <w:highlight w:val="none"/>
          <w:shd w:val="clear" w:color="auto" w:fill="FFFFFF"/>
          <w:lang w:val="en-US" w:eastAsia="zh-CN"/>
          <w14:textFill>
            <w14:solidFill>
              <w14:schemeClr w14:val="tx1"/>
            </w14:solidFill>
          </w14:textFill>
        </w:rPr>
        <w:t>粮改饲项目实施方案</w:t>
      </w:r>
      <w:r>
        <w:rPr>
          <w:rFonts w:hint="eastAsia" w:ascii="仿宋" w:hAnsi="仿宋" w:eastAsia="仿宋" w:cs="仿宋"/>
          <w:color w:val="000000" w:themeColor="text1"/>
          <w:sz w:val="32"/>
          <w:szCs w:val="32"/>
          <w:highlight w:val="none"/>
          <w:shd w:val="clear" w:color="auto" w:fill="FFFFFF"/>
          <w:lang w:eastAsia="zh-CN"/>
          <w14:textFill>
            <w14:solidFill>
              <w14:schemeClr w14:val="tx1"/>
            </w14:solidFill>
          </w14:textFill>
        </w:rPr>
        <w:t>》唐农字【</w:t>
      </w:r>
      <w:r>
        <w:rPr>
          <w:rFonts w:hint="eastAsia" w:ascii="仿宋" w:hAnsi="仿宋" w:eastAsia="仿宋" w:cs="仿宋"/>
          <w:color w:val="000000" w:themeColor="text1"/>
          <w:sz w:val="32"/>
          <w:szCs w:val="32"/>
          <w:highlight w:val="none"/>
          <w:shd w:val="clear" w:color="auto" w:fill="FFFFFF"/>
          <w:lang w:val="en-US" w:eastAsia="zh-CN"/>
          <w14:textFill>
            <w14:solidFill>
              <w14:schemeClr w14:val="tx1"/>
            </w14:solidFill>
          </w14:textFill>
        </w:rPr>
        <w:t>202</w:t>
      </w:r>
      <w:r>
        <w:rPr>
          <w:rFonts w:hint="eastAsia" w:cs="仿宋"/>
          <w:color w:val="000000" w:themeColor="text1"/>
          <w:sz w:val="32"/>
          <w:szCs w:val="32"/>
          <w:highlight w:val="none"/>
          <w:shd w:val="clear" w:color="auto" w:fill="FFFFFF"/>
          <w:lang w:val="en-US" w:eastAsia="zh-CN"/>
          <w14:textFill>
            <w14:solidFill>
              <w14:schemeClr w14:val="tx1"/>
            </w14:solidFill>
          </w14:textFill>
        </w:rPr>
        <w:t>5</w:t>
      </w:r>
      <w:r>
        <w:rPr>
          <w:rFonts w:hint="eastAsia" w:ascii="仿宋" w:hAnsi="仿宋" w:eastAsia="仿宋" w:cs="仿宋"/>
          <w:color w:val="000000" w:themeColor="text1"/>
          <w:sz w:val="32"/>
          <w:szCs w:val="32"/>
          <w:highlight w:val="none"/>
          <w:shd w:val="clear" w:color="auto" w:fill="FFFFFF"/>
          <w:lang w:eastAsia="zh-CN"/>
          <w14:textFill>
            <w14:solidFill>
              <w14:schemeClr w14:val="tx1"/>
            </w14:solidFill>
          </w14:textFill>
        </w:rPr>
        <w:t>】</w:t>
      </w:r>
      <w:r>
        <w:rPr>
          <w:rFonts w:hint="eastAsia" w:cs="仿宋"/>
          <w:color w:val="000000" w:themeColor="text1"/>
          <w:sz w:val="32"/>
          <w:szCs w:val="32"/>
          <w:highlight w:val="none"/>
          <w:shd w:val="clear" w:color="auto" w:fill="FFFFFF"/>
          <w:lang w:val="en-US" w:eastAsia="zh-CN"/>
          <w14:textFill>
            <w14:solidFill>
              <w14:schemeClr w14:val="tx1"/>
            </w14:solidFill>
          </w14:textFill>
        </w:rPr>
        <w:t>7</w:t>
      </w:r>
      <w:r>
        <w:rPr>
          <w:rFonts w:hint="eastAsia" w:ascii="仿宋" w:hAnsi="仿宋" w:eastAsia="仿宋" w:cs="仿宋"/>
          <w:color w:val="000000" w:themeColor="text1"/>
          <w:sz w:val="32"/>
          <w:szCs w:val="32"/>
          <w:highlight w:val="none"/>
          <w:shd w:val="clear" w:color="auto" w:fill="FFFFFF"/>
          <w:lang w:val="en-US" w:eastAsia="zh-CN"/>
          <w14:textFill>
            <w14:solidFill>
              <w14:schemeClr w14:val="tx1"/>
            </w14:solidFill>
          </w14:textFill>
        </w:rPr>
        <w:t>号</w:t>
      </w:r>
      <w:r>
        <w:rPr>
          <w:color w:val="000000" w:themeColor="text1"/>
          <w:spacing w:val="13"/>
          <w14:textFill>
            <w14:solidFill>
              <w14:schemeClr w14:val="tx1"/>
            </w14:solidFill>
          </w14:textFill>
        </w:rPr>
        <w:t>精神，结合我</w:t>
      </w:r>
      <w:r>
        <w:rPr>
          <w:rFonts w:hint="eastAsia"/>
          <w:color w:val="000000" w:themeColor="text1"/>
          <w:spacing w:val="13"/>
          <w:lang w:val="en-US" w:eastAsia="zh-CN"/>
          <w14:textFill>
            <w14:solidFill>
              <w14:schemeClr w14:val="tx1"/>
            </w14:solidFill>
          </w14:textFill>
        </w:rPr>
        <w:t>市</w:t>
      </w:r>
      <w:r>
        <w:rPr>
          <w:color w:val="000000" w:themeColor="text1"/>
          <w:spacing w:val="13"/>
          <w14:textFill>
            <w14:solidFill>
              <w14:schemeClr w14:val="tx1"/>
            </w14:solidFill>
          </w14:textFill>
        </w:rPr>
        <w:t>实际，制定本方案。</w:t>
      </w:r>
    </w:p>
    <w:p w14:paraId="0BE44FC2">
      <w:pPr>
        <w:spacing w:before="1" w:line="220" w:lineRule="auto"/>
        <w:ind w:left="624"/>
        <w:rPr>
          <w:rFonts w:ascii="黑体" w:hAnsi="黑体" w:eastAsia="黑体" w:cs="黑体"/>
          <w:sz w:val="31"/>
          <w:szCs w:val="31"/>
        </w:rPr>
      </w:pPr>
      <w:r>
        <w:rPr>
          <w:rFonts w:ascii="黑体" w:hAnsi="黑体" w:eastAsia="黑体" w:cs="黑体"/>
          <w:b/>
          <w:bCs/>
          <w:spacing w:val="3"/>
          <w:sz w:val="31"/>
          <w:szCs w:val="31"/>
        </w:rPr>
        <w:t>一、项目概况</w:t>
      </w:r>
    </w:p>
    <w:p w14:paraId="4EB77DA9">
      <w:pPr>
        <w:keepNext w:val="0"/>
        <w:keepLines w:val="0"/>
        <w:pageBreakBefore w:val="0"/>
        <w:widowControl w:val="0"/>
        <w:kinsoku/>
        <w:wordWrap/>
        <w:overflowPunct/>
        <w:topLinePunct w:val="0"/>
        <w:autoSpaceDE/>
        <w:autoSpaceDN/>
        <w:bidi w:val="0"/>
        <w:adjustRightInd w:val="0"/>
        <w:snapToGrid/>
        <w:spacing w:line="570" w:lineRule="exact"/>
        <w:ind w:firstLine="640" w:firstLineChars="200"/>
        <w:textAlignment w:val="auto"/>
        <w:outlineLvl w:val="9"/>
        <w:rPr>
          <w:rFonts w:hint="eastAsia" w:ascii="仿宋" w:hAnsi="仿宋" w:eastAsia="仿宋" w:cs="仿宋"/>
          <w:snapToGrid w:val="0"/>
          <w:color w:val="000000" w:themeColor="text1"/>
          <w:kern w:val="0"/>
          <w:sz w:val="32"/>
          <w:szCs w:val="32"/>
          <w:highlight w:val="none"/>
          <w:shd w:val="clear" w:color="auto" w:fill="FFFFFF"/>
          <w:lang w:val="en-US" w:eastAsia="zh-CN" w:bidi="ar-SA"/>
          <w14:textFill>
            <w14:solidFill>
              <w14:schemeClr w14:val="tx1"/>
            </w14:solidFill>
          </w14:textFill>
        </w:rPr>
      </w:pPr>
      <w:r>
        <w:rPr>
          <w:rFonts w:hint="eastAsia" w:ascii="仿宋" w:hAnsi="仿宋" w:eastAsia="仿宋" w:cs="仿宋"/>
          <w:snapToGrid w:val="0"/>
          <w:color w:val="000000" w:themeColor="text1"/>
          <w:kern w:val="0"/>
          <w:sz w:val="32"/>
          <w:szCs w:val="32"/>
          <w:highlight w:val="none"/>
          <w:shd w:val="clear" w:color="auto" w:fill="FFFFFF"/>
          <w:lang w:val="en-US" w:eastAsia="zh-CN" w:bidi="ar-SA"/>
          <w14:textFill>
            <w14:solidFill>
              <w14:schemeClr w14:val="tx1"/>
            </w14:solidFill>
          </w14:textFill>
        </w:rPr>
        <w:t>为落实乡村振兴战略，推进农业供给侧结构性改革，促进我市种植结构调整和奶业振兴，建设优质饲草料基地，利用省厅</w:t>
      </w:r>
      <w:r>
        <w:rPr>
          <w:rFonts w:hint="eastAsia" w:ascii="仿宋" w:hAnsi="仿宋" w:eastAsia="仿宋" w:cs="仿宋"/>
          <w:snapToGrid w:val="0"/>
          <w:color w:val="000000" w:themeColor="text1"/>
          <w:kern w:val="0"/>
          <w:sz w:val="32"/>
          <w:szCs w:val="32"/>
          <w:highlight w:val="none"/>
          <w:shd w:val="clear" w:color="auto" w:fill="FFFFFF"/>
          <w:lang w:val="en-US" w:eastAsia="en-US" w:bidi="ar-SA"/>
          <w14:textFill>
            <w14:solidFill>
              <w14:schemeClr w14:val="tx1"/>
            </w14:solidFill>
          </w14:textFill>
        </w:rPr>
        <w:t>下达</w:t>
      </w:r>
      <w:r>
        <w:rPr>
          <w:rFonts w:hint="eastAsia" w:ascii="仿宋" w:hAnsi="仿宋" w:eastAsia="仿宋" w:cs="仿宋"/>
          <w:snapToGrid w:val="0"/>
          <w:color w:val="000000" w:themeColor="text1"/>
          <w:kern w:val="0"/>
          <w:sz w:val="32"/>
          <w:szCs w:val="32"/>
          <w:highlight w:val="none"/>
          <w:shd w:val="clear" w:color="auto" w:fill="FFFFFF"/>
          <w:lang w:val="en-US" w:eastAsia="zh-CN" w:bidi="ar-SA"/>
          <w14:textFill>
            <w14:solidFill>
              <w14:schemeClr w14:val="tx1"/>
            </w14:solidFill>
          </w14:textFill>
        </w:rPr>
        <w:t>到</w:t>
      </w:r>
      <w:r>
        <w:rPr>
          <w:rFonts w:hint="eastAsia" w:ascii="仿宋" w:hAnsi="仿宋" w:eastAsia="仿宋" w:cs="仿宋"/>
          <w:snapToGrid w:val="0"/>
          <w:color w:val="000000" w:themeColor="text1"/>
          <w:kern w:val="0"/>
          <w:sz w:val="32"/>
          <w:szCs w:val="32"/>
          <w:highlight w:val="none"/>
          <w:shd w:val="clear" w:color="auto" w:fill="FFFFFF"/>
          <w:lang w:val="en-US" w:eastAsia="en-US" w:bidi="ar-SA"/>
          <w14:textFill>
            <w14:solidFill>
              <w14:schemeClr w14:val="tx1"/>
            </w14:solidFill>
          </w14:textFill>
        </w:rPr>
        <w:t>我</w:t>
      </w:r>
      <w:r>
        <w:rPr>
          <w:rFonts w:hint="eastAsia" w:ascii="仿宋" w:hAnsi="仿宋" w:eastAsia="仿宋" w:cs="仿宋"/>
          <w:snapToGrid w:val="0"/>
          <w:color w:val="000000" w:themeColor="text1"/>
          <w:kern w:val="0"/>
          <w:sz w:val="32"/>
          <w:szCs w:val="32"/>
          <w:highlight w:val="none"/>
          <w:shd w:val="clear" w:color="auto" w:fill="FFFFFF"/>
          <w:lang w:val="en-US" w:eastAsia="zh-CN" w:bidi="ar-SA"/>
          <w14:textFill>
            <w14:solidFill>
              <w14:schemeClr w14:val="tx1"/>
            </w14:solidFill>
          </w14:textFill>
        </w:rPr>
        <w:t>市2025年第二批</w:t>
      </w:r>
      <w:r>
        <w:rPr>
          <w:rFonts w:hint="eastAsia" w:ascii="仿宋" w:hAnsi="仿宋" w:eastAsia="仿宋" w:cs="仿宋"/>
          <w:snapToGrid w:val="0"/>
          <w:color w:val="000000" w:themeColor="text1"/>
          <w:kern w:val="0"/>
          <w:sz w:val="32"/>
          <w:szCs w:val="32"/>
          <w:highlight w:val="none"/>
          <w:shd w:val="clear" w:color="auto" w:fill="FFFFFF"/>
          <w:lang w:val="en-US" w:eastAsia="en-US" w:bidi="ar-SA"/>
          <w14:textFill>
            <w14:solidFill>
              <w14:schemeClr w14:val="tx1"/>
            </w14:solidFill>
          </w14:textFill>
        </w:rPr>
        <w:t>粮改饲项目</w:t>
      </w:r>
      <w:r>
        <w:rPr>
          <w:rFonts w:hint="eastAsia" w:ascii="仿宋" w:hAnsi="仿宋" w:eastAsia="仿宋" w:cs="仿宋"/>
          <w:snapToGrid w:val="0"/>
          <w:color w:val="000000" w:themeColor="text1"/>
          <w:kern w:val="0"/>
          <w:sz w:val="32"/>
          <w:szCs w:val="32"/>
          <w:highlight w:val="none"/>
          <w:shd w:val="clear" w:color="auto" w:fill="FFFFFF"/>
          <w:lang w:val="en-US" w:eastAsia="zh-CN" w:bidi="ar-SA"/>
          <w14:textFill>
            <w14:solidFill>
              <w14:schemeClr w14:val="tx1"/>
            </w14:solidFill>
          </w14:textFill>
        </w:rPr>
        <w:t>中央</w:t>
      </w:r>
      <w:r>
        <w:rPr>
          <w:rFonts w:hint="eastAsia" w:ascii="仿宋" w:hAnsi="仿宋" w:eastAsia="仿宋" w:cs="仿宋"/>
          <w:snapToGrid w:val="0"/>
          <w:color w:val="000000" w:themeColor="text1"/>
          <w:kern w:val="0"/>
          <w:sz w:val="32"/>
          <w:szCs w:val="32"/>
          <w:highlight w:val="none"/>
          <w:shd w:val="clear" w:color="auto" w:fill="FFFFFF"/>
          <w:lang w:val="en-US" w:eastAsia="en-US" w:bidi="ar-SA"/>
          <w14:textFill>
            <w14:solidFill>
              <w14:schemeClr w14:val="tx1"/>
            </w14:solidFill>
          </w14:textFill>
        </w:rPr>
        <w:t>资金</w:t>
      </w:r>
      <w:r>
        <w:rPr>
          <w:rFonts w:hint="eastAsia" w:ascii="仿宋" w:hAnsi="仿宋" w:eastAsia="仿宋" w:cs="仿宋"/>
          <w:snapToGrid w:val="0"/>
          <w:color w:val="000000" w:themeColor="text1"/>
          <w:kern w:val="0"/>
          <w:sz w:val="32"/>
          <w:szCs w:val="32"/>
          <w:highlight w:val="none"/>
          <w:shd w:val="clear" w:color="auto" w:fill="FFFFFF"/>
          <w:lang w:val="en-US" w:eastAsia="zh-CN" w:bidi="ar-SA"/>
          <w14:textFill>
            <w14:solidFill>
              <w14:schemeClr w14:val="tx1"/>
            </w14:solidFill>
          </w14:textFill>
        </w:rPr>
        <w:t>137</w:t>
      </w:r>
      <w:r>
        <w:rPr>
          <w:rFonts w:hint="eastAsia" w:ascii="仿宋" w:hAnsi="仿宋" w:eastAsia="仿宋" w:cs="仿宋"/>
          <w:snapToGrid w:val="0"/>
          <w:color w:val="000000" w:themeColor="text1"/>
          <w:kern w:val="0"/>
          <w:sz w:val="32"/>
          <w:szCs w:val="32"/>
          <w:highlight w:val="none"/>
          <w:shd w:val="clear" w:color="auto" w:fill="FFFFFF"/>
          <w:lang w:val="en-US" w:eastAsia="en-US" w:bidi="ar-SA"/>
          <w14:textFill>
            <w14:solidFill>
              <w14:schemeClr w14:val="tx1"/>
            </w14:solidFill>
          </w14:textFill>
        </w:rPr>
        <w:t>万元，</w:t>
      </w:r>
      <w:r>
        <w:rPr>
          <w:rFonts w:hint="eastAsia" w:ascii="仿宋" w:hAnsi="仿宋" w:eastAsia="仿宋" w:cs="仿宋"/>
          <w:snapToGrid w:val="0"/>
          <w:color w:val="000000" w:themeColor="text1"/>
          <w:kern w:val="0"/>
          <w:sz w:val="32"/>
          <w:szCs w:val="32"/>
          <w:highlight w:val="none"/>
          <w:shd w:val="clear" w:color="auto" w:fill="FFFFFF"/>
          <w:lang w:val="en-US" w:eastAsia="zh-CN" w:bidi="ar-SA"/>
          <w14:textFill>
            <w14:solidFill>
              <w14:schemeClr w14:val="tx1"/>
            </w14:solidFill>
          </w14:textFill>
        </w:rPr>
        <w:t xml:space="preserve">推动种植结构向粮改饲统筹方向转变，构建种养结合、粮草兼顾的新型农牧业结构，降低饲草料成本，促进草食家畜养殖发展和农牧民增产增收。 </w:t>
      </w:r>
    </w:p>
    <w:p w14:paraId="68705A9F">
      <w:pPr>
        <w:spacing w:before="6" w:line="221" w:lineRule="auto"/>
        <w:ind w:left="624"/>
        <w:rPr>
          <w:rFonts w:ascii="黑体" w:hAnsi="黑体" w:eastAsia="黑体" w:cs="黑体"/>
          <w:sz w:val="31"/>
          <w:szCs w:val="31"/>
        </w:rPr>
      </w:pPr>
      <w:r>
        <w:rPr>
          <w:rFonts w:ascii="黑体" w:hAnsi="黑体" w:eastAsia="黑体" w:cs="黑体"/>
          <w:b/>
          <w:bCs/>
          <w:spacing w:val="4"/>
          <w:sz w:val="31"/>
          <w:szCs w:val="31"/>
        </w:rPr>
        <w:t>二、绩效任务目标</w:t>
      </w:r>
    </w:p>
    <w:p w14:paraId="2192A0C4">
      <w:pPr>
        <w:keepNext w:val="0"/>
        <w:keepLines w:val="0"/>
        <w:pageBreakBefore w:val="0"/>
        <w:widowControl w:val="0"/>
        <w:kinsoku/>
        <w:wordWrap/>
        <w:overflowPunct/>
        <w:topLinePunct w:val="0"/>
        <w:autoSpaceDE/>
        <w:autoSpaceDN/>
        <w:bidi w:val="0"/>
        <w:adjustRightInd w:val="0"/>
        <w:snapToGrid/>
        <w:spacing w:line="570" w:lineRule="exact"/>
        <w:ind w:firstLine="640" w:firstLineChars="200"/>
        <w:textAlignment w:val="auto"/>
        <w:outlineLvl w:val="9"/>
        <w:rPr>
          <w:rFonts w:hint="default" w:ascii="仿宋" w:hAnsi="仿宋" w:eastAsia="仿宋" w:cs="仿宋"/>
          <w:snapToGrid w:val="0"/>
          <w:color w:val="000000"/>
          <w:spacing w:val="5"/>
          <w:kern w:val="0"/>
          <w:sz w:val="31"/>
          <w:szCs w:val="31"/>
          <w:lang w:val="en-US" w:eastAsia="zh-CN" w:bidi="ar-SA"/>
        </w:rPr>
      </w:pPr>
      <w:r>
        <w:rPr>
          <w:rFonts w:hint="eastAsia" w:ascii="仿宋" w:hAnsi="仿宋" w:eastAsia="仿宋" w:cs="仿宋"/>
          <w:snapToGrid w:val="0"/>
          <w:color w:val="000000"/>
          <w:spacing w:val="5"/>
          <w:kern w:val="0"/>
          <w:sz w:val="31"/>
          <w:szCs w:val="31"/>
          <w:lang w:val="en-US" w:eastAsia="zh-CN" w:bidi="ar-SA"/>
        </w:rPr>
        <w:t>扶持以全株玉米青贮为主的青贮饲料生产，增加收贮量，全面提高种、收、贮、用综合能力和社会化服务水平。2025年全株玉米青贮饲料收贮面积达到1万亩以上，全株青贮玉米收贮量2.5万吨。</w:t>
      </w:r>
    </w:p>
    <w:p w14:paraId="6D217ADF">
      <w:pPr>
        <w:spacing w:before="1" w:line="220" w:lineRule="auto"/>
        <w:ind w:firstLine="642" w:firstLineChars="200"/>
        <w:rPr>
          <w:rFonts w:ascii="黑体" w:hAnsi="黑体" w:eastAsia="黑体" w:cs="黑体"/>
          <w:sz w:val="31"/>
          <w:szCs w:val="31"/>
        </w:rPr>
      </w:pPr>
      <w:r>
        <w:rPr>
          <w:rFonts w:ascii="黑体" w:hAnsi="黑体" w:eastAsia="黑体" w:cs="黑体"/>
          <w:b/>
          <w:bCs/>
          <w:spacing w:val="5"/>
          <w:sz w:val="31"/>
          <w:szCs w:val="31"/>
        </w:rPr>
        <w:t>三、项目实施内容、资金支持方向和补助环节</w:t>
      </w:r>
    </w:p>
    <w:p w14:paraId="6A77F1D7">
      <w:pPr>
        <w:pStyle w:val="7"/>
        <w:keepNext w:val="0"/>
        <w:keepLines w:val="0"/>
        <w:pageBreakBefore w:val="0"/>
        <w:widowControl w:val="0"/>
        <w:numPr>
          <w:ilvl w:val="0"/>
          <w:numId w:val="0"/>
        </w:numPr>
        <w:kinsoku/>
        <w:wordWrap/>
        <w:overflowPunct/>
        <w:topLinePunct w:val="0"/>
        <w:autoSpaceDE/>
        <w:autoSpaceDN/>
        <w:bidi w:val="0"/>
        <w:spacing w:line="570" w:lineRule="exact"/>
        <w:ind w:left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（一）补助对象</w:t>
      </w:r>
    </w:p>
    <w:p w14:paraId="6C4E02B0">
      <w:pPr>
        <w:keepNext w:val="0"/>
        <w:keepLines w:val="0"/>
        <w:pageBreakBefore w:val="0"/>
        <w:widowControl w:val="0"/>
        <w:kinsoku/>
        <w:wordWrap/>
        <w:overflowPunct/>
        <w:topLinePunct w:val="0"/>
        <w:autoSpaceDE/>
        <w:autoSpaceDN/>
        <w:bidi w:val="0"/>
        <w:adjustRightInd w:val="0"/>
        <w:snapToGrid/>
        <w:spacing w:line="570" w:lineRule="exact"/>
        <w:ind w:firstLine="640" w:firstLineChars="200"/>
        <w:textAlignment w:val="auto"/>
        <w:outlineLvl w:val="9"/>
        <w:rPr>
          <w:rFonts w:hint="eastAsia" w:ascii="仿宋" w:hAnsi="仿宋" w:eastAsia="仿宋" w:cs="仿宋"/>
          <w:snapToGrid w:val="0"/>
          <w:color w:val="000000"/>
          <w:spacing w:val="5"/>
          <w:kern w:val="0"/>
          <w:sz w:val="31"/>
          <w:szCs w:val="31"/>
          <w:lang w:val="en-US" w:eastAsia="zh-CN" w:bidi="ar-SA"/>
        </w:rPr>
      </w:pPr>
      <w:r>
        <w:rPr>
          <w:rFonts w:hint="eastAsia" w:ascii="仿宋" w:hAnsi="仿宋" w:eastAsia="仿宋" w:cs="仿宋"/>
          <w:snapToGrid w:val="0"/>
          <w:color w:val="000000"/>
          <w:spacing w:val="5"/>
          <w:kern w:val="0"/>
          <w:sz w:val="31"/>
          <w:szCs w:val="31"/>
          <w:lang w:val="en-US" w:eastAsia="zh-CN" w:bidi="ar-SA"/>
        </w:rPr>
        <w:t>一是优先扶持奶牛存栏300头以上、肉牛年出栏50头以上、肉羊年出栏100只以上的适度规模化养殖场（户、企业、合作社）；二是优先向流转土地自种、订单收购、托管种植等形式收储的组织倾斜。</w:t>
      </w:r>
    </w:p>
    <w:p w14:paraId="4DA0C38E">
      <w:pPr>
        <w:keepNext w:val="0"/>
        <w:keepLines w:val="0"/>
        <w:pageBreakBefore w:val="0"/>
        <w:widowControl w:val="0"/>
        <w:kinsoku/>
        <w:wordWrap/>
        <w:overflowPunct/>
        <w:topLinePunct w:val="0"/>
        <w:autoSpaceDE/>
        <w:autoSpaceDN/>
        <w:bidi w:val="0"/>
        <w:adjustRightInd w:val="0"/>
        <w:snapToGrid/>
        <w:spacing w:line="570" w:lineRule="exact"/>
        <w:ind w:firstLine="640" w:firstLineChars="200"/>
        <w:textAlignment w:val="auto"/>
        <w:outlineLvl w:val="9"/>
        <w:rPr>
          <w:rFonts w:hint="eastAsia" w:ascii="仿宋" w:hAnsi="仿宋" w:eastAsia="仿宋" w:cs="仿宋"/>
          <w:snapToGrid w:val="0"/>
          <w:color w:val="000000"/>
          <w:spacing w:val="5"/>
          <w:kern w:val="0"/>
          <w:sz w:val="31"/>
          <w:szCs w:val="31"/>
          <w:lang w:val="en-US" w:eastAsia="zh-CN" w:bidi="ar-SA"/>
        </w:rPr>
      </w:pPr>
      <w:r>
        <w:rPr>
          <w:rFonts w:hint="eastAsia" w:ascii="仿宋" w:hAnsi="仿宋" w:eastAsia="仿宋" w:cs="仿宋"/>
          <w:snapToGrid w:val="0"/>
          <w:color w:val="000000"/>
          <w:spacing w:val="5"/>
          <w:kern w:val="0"/>
          <w:sz w:val="31"/>
          <w:szCs w:val="31"/>
          <w:lang w:val="en-US" w:eastAsia="zh-CN" w:bidi="ar-SA"/>
        </w:rPr>
        <w:t>1、遵化市域内，奶（肉）牛、羊规模养殖场（企业、合作社）须同时满足以下两个条件：（1）建有永久性青贮设施（墙体、地面为砖混或水泥浇筑结构）容积2500</w:t>
      </w:r>
      <w:r>
        <w:rPr>
          <w:rFonts w:hint="eastAsia" w:ascii="微软雅黑" w:hAnsi="微软雅黑" w:eastAsia="微软雅黑" w:cs="微软雅黑"/>
          <w:snapToGrid w:val="0"/>
          <w:color w:val="000000"/>
          <w:spacing w:val="5"/>
          <w:kern w:val="0"/>
          <w:sz w:val="31"/>
          <w:szCs w:val="31"/>
          <w:lang w:val="en-US" w:eastAsia="zh-CN" w:bidi="ar-SA"/>
        </w:rPr>
        <w:t>㎥</w:t>
      </w:r>
      <w:r>
        <w:rPr>
          <w:rFonts w:hint="eastAsia" w:ascii="仿宋" w:hAnsi="仿宋" w:eastAsia="仿宋" w:cs="仿宋"/>
          <w:snapToGrid w:val="0"/>
          <w:color w:val="000000"/>
          <w:spacing w:val="5"/>
          <w:kern w:val="0"/>
          <w:sz w:val="31"/>
          <w:szCs w:val="31"/>
          <w:lang w:val="en-US" w:eastAsia="zh-CN" w:bidi="ar-SA"/>
        </w:rPr>
        <w:t>以上或2024年全株玉米青贮实际收贮量2000吨以上的奶牛、肉牛、肉羊规模养殖场（企业、合作社）；（2）奶（肉）牛、羊规模养殖场（企业、合作社）具有营业执照和对公账户。</w:t>
      </w:r>
    </w:p>
    <w:p w14:paraId="4CE2727D">
      <w:pPr>
        <w:keepNext w:val="0"/>
        <w:keepLines w:val="0"/>
        <w:pageBreakBefore w:val="0"/>
        <w:widowControl w:val="0"/>
        <w:kinsoku/>
        <w:wordWrap/>
        <w:overflowPunct/>
        <w:topLinePunct w:val="0"/>
        <w:autoSpaceDE/>
        <w:autoSpaceDN/>
        <w:bidi w:val="0"/>
        <w:adjustRightInd w:val="0"/>
        <w:snapToGrid/>
        <w:spacing w:line="570" w:lineRule="exact"/>
        <w:ind w:firstLine="640" w:firstLineChars="200"/>
        <w:textAlignment w:val="auto"/>
        <w:outlineLvl w:val="9"/>
        <w:rPr>
          <w:rFonts w:hint="eastAsia" w:ascii="仿宋" w:hAnsi="仿宋" w:eastAsia="仿宋" w:cs="仿宋"/>
          <w:snapToGrid w:val="0"/>
          <w:color w:val="auto"/>
          <w:spacing w:val="5"/>
          <w:kern w:val="0"/>
          <w:sz w:val="31"/>
          <w:szCs w:val="31"/>
          <w:lang w:val="en-US" w:eastAsia="zh-CN" w:bidi="ar-SA"/>
        </w:rPr>
      </w:pPr>
      <w:r>
        <w:rPr>
          <w:rFonts w:hint="eastAsia" w:ascii="仿宋" w:hAnsi="仿宋" w:eastAsia="仿宋" w:cs="仿宋"/>
          <w:snapToGrid w:val="0"/>
          <w:color w:val="auto"/>
          <w:spacing w:val="5"/>
          <w:kern w:val="0"/>
          <w:sz w:val="31"/>
          <w:szCs w:val="31"/>
          <w:lang w:val="en-US" w:eastAsia="zh-CN" w:bidi="ar-SA"/>
        </w:rPr>
        <w:t>2、遵化市域内，全株玉米青贮专业收贮企业（合作社）须同时满足以下三个条件：（1）自有符合制作秸秆青贮饲料要求的永久性青贮池（墙体、地面为砖混或水泥浇筑结构）容积8000</w:t>
      </w:r>
      <w:r>
        <w:rPr>
          <w:rFonts w:hint="eastAsia" w:ascii="微软雅黑" w:hAnsi="微软雅黑" w:eastAsia="微软雅黑" w:cs="微软雅黑"/>
          <w:snapToGrid w:val="0"/>
          <w:color w:val="000000"/>
          <w:spacing w:val="5"/>
          <w:kern w:val="0"/>
          <w:sz w:val="31"/>
          <w:szCs w:val="31"/>
          <w:lang w:val="en-US" w:eastAsia="zh-CN" w:bidi="ar-SA"/>
        </w:rPr>
        <w:t>㎥</w:t>
      </w:r>
      <w:r>
        <w:rPr>
          <w:rFonts w:hint="eastAsia" w:ascii="仿宋" w:hAnsi="仿宋" w:eastAsia="仿宋" w:cs="仿宋"/>
          <w:snapToGrid w:val="0"/>
          <w:color w:val="auto"/>
          <w:spacing w:val="5"/>
          <w:kern w:val="0"/>
          <w:sz w:val="31"/>
          <w:szCs w:val="31"/>
          <w:lang w:val="en-US" w:eastAsia="zh-CN" w:bidi="ar-SA"/>
        </w:rPr>
        <w:t>以上并自有大型专业青贮收获机械或包贮专业收贮企业必须具有围挡和地面硬化的固定场所；（2）具有稳定的青贮饲料供销订单且2024年全株玉米青贮实际收贮量达到6500吨以上；（3）具有营业执照和对公账号。</w:t>
      </w:r>
    </w:p>
    <w:p w14:paraId="61E6623D">
      <w:pPr>
        <w:keepNext w:val="0"/>
        <w:keepLines w:val="0"/>
        <w:pageBreakBefore w:val="0"/>
        <w:widowControl w:val="0"/>
        <w:kinsoku/>
        <w:wordWrap/>
        <w:overflowPunct/>
        <w:topLinePunct w:val="0"/>
        <w:autoSpaceDE/>
        <w:autoSpaceDN/>
        <w:bidi w:val="0"/>
        <w:adjustRightInd w:val="0"/>
        <w:snapToGrid/>
        <w:spacing w:line="570" w:lineRule="exact"/>
        <w:textAlignment w:val="auto"/>
        <w:outlineLvl w:val="9"/>
        <w:rPr>
          <w:rFonts w:hint="eastAsia" w:ascii="仿宋" w:hAnsi="仿宋" w:eastAsia="仿宋" w:cs="仿宋"/>
          <w:snapToGrid w:val="0"/>
          <w:color w:val="000000"/>
          <w:spacing w:val="5"/>
          <w:kern w:val="0"/>
          <w:sz w:val="31"/>
          <w:szCs w:val="31"/>
          <w:lang w:val="en-US" w:eastAsia="zh-CN" w:bidi="ar-SA"/>
        </w:rPr>
      </w:pPr>
      <w:r>
        <w:rPr>
          <w:rFonts w:hint="eastAsia" w:ascii="仿宋" w:hAnsi="仿宋" w:eastAsia="仿宋" w:cs="仿宋"/>
          <w:snapToGrid w:val="0"/>
          <w:color w:val="000000"/>
          <w:spacing w:val="5"/>
          <w:kern w:val="0"/>
          <w:sz w:val="31"/>
          <w:szCs w:val="31"/>
          <w:lang w:val="en-US" w:eastAsia="zh-CN" w:bidi="ar-SA"/>
        </w:rPr>
        <w:t>以下情况不列入补贴范围：</w:t>
      </w:r>
    </w:p>
    <w:p w14:paraId="37A0DD91">
      <w:pPr>
        <w:keepNext w:val="0"/>
        <w:keepLines w:val="0"/>
        <w:pageBreakBefore w:val="0"/>
        <w:widowControl w:val="0"/>
        <w:kinsoku/>
        <w:wordWrap/>
        <w:overflowPunct/>
        <w:topLinePunct w:val="0"/>
        <w:autoSpaceDE/>
        <w:autoSpaceDN/>
        <w:bidi w:val="0"/>
        <w:adjustRightInd w:val="0"/>
        <w:snapToGrid/>
        <w:spacing w:line="570" w:lineRule="exact"/>
        <w:ind w:firstLine="640" w:firstLineChars="200"/>
        <w:textAlignment w:val="auto"/>
        <w:outlineLvl w:val="9"/>
        <w:rPr>
          <w:rFonts w:hint="eastAsia" w:ascii="仿宋" w:hAnsi="仿宋" w:eastAsia="仿宋" w:cs="仿宋"/>
          <w:snapToGrid w:val="0"/>
          <w:color w:val="000000"/>
          <w:spacing w:val="5"/>
          <w:kern w:val="0"/>
          <w:sz w:val="31"/>
          <w:szCs w:val="31"/>
          <w:lang w:val="en-US" w:eastAsia="zh-CN" w:bidi="ar-SA"/>
        </w:rPr>
      </w:pPr>
      <w:r>
        <w:rPr>
          <w:rFonts w:hint="eastAsia" w:ascii="仿宋" w:hAnsi="仿宋" w:eastAsia="仿宋" w:cs="仿宋"/>
          <w:snapToGrid w:val="0"/>
          <w:color w:val="000000"/>
          <w:spacing w:val="5"/>
          <w:kern w:val="0"/>
          <w:sz w:val="31"/>
          <w:szCs w:val="31"/>
          <w:lang w:val="en-US" w:eastAsia="zh-CN" w:bidi="ar-SA"/>
        </w:rPr>
        <w:t>1、用去穗玉米秸秆制作的青（黄）贮饲料、微贮饲料；</w:t>
      </w:r>
    </w:p>
    <w:p w14:paraId="53401047">
      <w:pPr>
        <w:keepNext w:val="0"/>
        <w:keepLines w:val="0"/>
        <w:pageBreakBefore w:val="0"/>
        <w:widowControl w:val="0"/>
        <w:kinsoku/>
        <w:wordWrap/>
        <w:overflowPunct/>
        <w:topLinePunct w:val="0"/>
        <w:autoSpaceDE/>
        <w:autoSpaceDN/>
        <w:bidi w:val="0"/>
        <w:adjustRightInd w:val="0"/>
        <w:snapToGrid/>
        <w:spacing w:line="570" w:lineRule="exact"/>
        <w:ind w:firstLine="640" w:firstLineChars="200"/>
        <w:textAlignment w:val="auto"/>
        <w:outlineLvl w:val="9"/>
        <w:rPr>
          <w:rFonts w:hint="eastAsia" w:ascii="仿宋" w:hAnsi="仿宋" w:eastAsia="仿宋" w:cs="仿宋"/>
          <w:snapToGrid w:val="0"/>
          <w:color w:val="000000"/>
          <w:spacing w:val="5"/>
          <w:kern w:val="0"/>
          <w:sz w:val="31"/>
          <w:szCs w:val="31"/>
          <w:lang w:val="en-US" w:eastAsia="zh-CN" w:bidi="ar-SA"/>
        </w:rPr>
      </w:pPr>
      <w:r>
        <w:rPr>
          <w:rFonts w:hint="eastAsia" w:ascii="仿宋" w:hAnsi="仿宋" w:eastAsia="仿宋" w:cs="仿宋"/>
          <w:snapToGrid w:val="0"/>
          <w:color w:val="000000"/>
          <w:spacing w:val="5"/>
          <w:kern w:val="0"/>
          <w:sz w:val="31"/>
          <w:szCs w:val="31"/>
          <w:lang w:val="en-US" w:eastAsia="zh-CN" w:bidi="ar-SA"/>
        </w:rPr>
        <w:t>2、2024年以前收贮的全株玉米青贮饲料；</w:t>
      </w:r>
    </w:p>
    <w:p w14:paraId="63D4F38D">
      <w:pPr>
        <w:keepNext w:val="0"/>
        <w:keepLines w:val="0"/>
        <w:pageBreakBefore w:val="0"/>
        <w:widowControl w:val="0"/>
        <w:kinsoku/>
        <w:wordWrap/>
        <w:overflowPunct/>
        <w:topLinePunct w:val="0"/>
        <w:autoSpaceDE/>
        <w:autoSpaceDN/>
        <w:bidi w:val="0"/>
        <w:adjustRightInd w:val="0"/>
        <w:snapToGrid/>
        <w:spacing w:line="570" w:lineRule="exact"/>
        <w:ind w:firstLine="640" w:firstLineChars="200"/>
        <w:textAlignment w:val="auto"/>
        <w:outlineLvl w:val="9"/>
        <w:rPr>
          <w:rFonts w:hint="eastAsia" w:ascii="仿宋" w:hAnsi="仿宋" w:eastAsia="仿宋" w:cs="仿宋"/>
          <w:snapToGrid w:val="0"/>
          <w:color w:val="000000"/>
          <w:spacing w:val="5"/>
          <w:kern w:val="0"/>
          <w:sz w:val="31"/>
          <w:szCs w:val="31"/>
          <w:lang w:val="en-US" w:eastAsia="zh-CN" w:bidi="ar-SA"/>
        </w:rPr>
      </w:pPr>
      <w:r>
        <w:rPr>
          <w:rFonts w:hint="eastAsia" w:ascii="仿宋" w:hAnsi="仿宋" w:eastAsia="仿宋" w:cs="仿宋"/>
          <w:snapToGrid w:val="0"/>
          <w:color w:val="000000"/>
          <w:spacing w:val="5"/>
          <w:kern w:val="0"/>
          <w:sz w:val="31"/>
          <w:szCs w:val="31"/>
          <w:lang w:val="en-US" w:eastAsia="zh-CN" w:bidi="ar-SA"/>
        </w:rPr>
        <w:t>3、2025年享受其它青贮补贴政策的；</w:t>
      </w:r>
    </w:p>
    <w:p w14:paraId="0A7D6516">
      <w:pPr>
        <w:keepNext w:val="0"/>
        <w:keepLines w:val="0"/>
        <w:pageBreakBefore w:val="0"/>
        <w:widowControl w:val="0"/>
        <w:kinsoku/>
        <w:wordWrap/>
        <w:overflowPunct/>
        <w:topLinePunct w:val="0"/>
        <w:autoSpaceDE/>
        <w:autoSpaceDN/>
        <w:bidi w:val="0"/>
        <w:adjustRightInd w:val="0"/>
        <w:snapToGrid/>
        <w:spacing w:line="570" w:lineRule="exact"/>
        <w:ind w:firstLine="640" w:firstLineChars="200"/>
        <w:textAlignment w:val="auto"/>
        <w:outlineLvl w:val="9"/>
        <w:rPr>
          <w:rFonts w:hint="eastAsia" w:ascii="仿宋" w:hAnsi="仿宋" w:eastAsia="仿宋" w:cs="仿宋"/>
          <w:snapToGrid w:val="0"/>
          <w:color w:val="000000"/>
          <w:spacing w:val="5"/>
          <w:kern w:val="0"/>
          <w:sz w:val="31"/>
          <w:szCs w:val="31"/>
          <w:lang w:val="en-US" w:eastAsia="zh-CN" w:bidi="ar-SA"/>
        </w:rPr>
      </w:pPr>
      <w:r>
        <w:rPr>
          <w:rFonts w:hint="eastAsia" w:ascii="楷体_GB2312" w:hAnsi="楷体_GB2312" w:eastAsia="楷体_GB2312" w:cs="楷体_GB2312"/>
          <w:snapToGrid w:val="0"/>
          <w:color w:val="auto"/>
          <w:kern w:val="0"/>
          <w:sz w:val="32"/>
          <w:szCs w:val="32"/>
          <w:lang w:val="en-US" w:eastAsia="zh-CN" w:bidi="ar-SA"/>
        </w:rPr>
        <w:t>（二）</w:t>
      </w:r>
      <w:r>
        <w:rPr>
          <w:rFonts w:hint="eastAsia" w:ascii="楷体_GB2312" w:hAnsi="楷体_GB2312" w:eastAsia="楷体_GB2312" w:cs="楷体_GB2312"/>
          <w:snapToGrid w:val="0"/>
          <w:color w:val="auto"/>
          <w:kern w:val="0"/>
          <w:sz w:val="32"/>
          <w:szCs w:val="32"/>
          <w:lang w:val="en-US" w:eastAsia="en-US" w:bidi="ar-SA"/>
        </w:rPr>
        <w:t>补助环节</w:t>
      </w:r>
      <w:r>
        <w:rPr>
          <w:color w:val="auto"/>
          <w:spacing w:val="20"/>
          <w:sz w:val="30"/>
          <w:szCs w:val="30"/>
        </w:rPr>
        <w:t>。</w:t>
      </w:r>
      <w:r>
        <w:rPr>
          <w:rFonts w:hint="eastAsia" w:ascii="仿宋" w:hAnsi="仿宋" w:eastAsia="仿宋" w:cs="仿宋"/>
          <w:snapToGrid w:val="0"/>
          <w:color w:val="000000"/>
          <w:spacing w:val="5"/>
          <w:kern w:val="0"/>
          <w:sz w:val="31"/>
          <w:szCs w:val="31"/>
          <w:lang w:val="en-US" w:eastAsia="zh-CN" w:bidi="ar-SA"/>
        </w:rPr>
        <w:t>中央财政补助资金主要用于对我市全株玉米青贮饲料的主体进行补助（进口除外）。</w:t>
      </w:r>
    </w:p>
    <w:p w14:paraId="0246007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320" w:firstLineChars="100"/>
        <w:textAlignment w:val="auto"/>
        <w:rPr>
          <w:rFonts w:hint="eastAsia" w:ascii="仿宋" w:hAnsi="仿宋" w:eastAsia="仿宋" w:cs="仿宋"/>
          <w:snapToGrid w:val="0"/>
          <w:color w:val="000000"/>
          <w:spacing w:val="21"/>
          <w:kern w:val="0"/>
          <w:sz w:val="30"/>
          <w:szCs w:val="30"/>
          <w:lang w:val="en-US" w:eastAsia="zh-CN" w:bidi="ar-SA"/>
        </w:rPr>
      </w:pPr>
      <w:r>
        <w:rPr>
          <w:rFonts w:hint="eastAsia" w:ascii="楷体_GB2312" w:hAnsi="楷体_GB2312" w:eastAsia="楷体_GB2312" w:cs="楷体_GB2312"/>
          <w:snapToGrid w:val="0"/>
          <w:color w:val="auto"/>
          <w:kern w:val="0"/>
          <w:sz w:val="32"/>
          <w:szCs w:val="32"/>
          <w:lang w:val="en-US" w:eastAsia="zh-CN" w:bidi="ar-SA"/>
        </w:rPr>
        <w:t>（三）</w:t>
      </w:r>
      <w:r>
        <w:rPr>
          <w:rFonts w:hint="eastAsia" w:ascii="楷体_GB2312" w:hAnsi="楷体_GB2312" w:eastAsia="楷体_GB2312" w:cs="楷体_GB2312"/>
          <w:snapToGrid w:val="0"/>
          <w:color w:val="auto"/>
          <w:kern w:val="0"/>
          <w:sz w:val="32"/>
          <w:szCs w:val="32"/>
          <w:lang w:val="en-US" w:eastAsia="en-US" w:bidi="ar-SA"/>
        </w:rPr>
        <w:t>补助标准。</w:t>
      </w:r>
      <w:r>
        <w:rPr>
          <w:rFonts w:ascii="楷体" w:hAnsi="楷体" w:eastAsia="楷体" w:cs="楷体"/>
          <w:spacing w:val="-20"/>
          <w:sz w:val="30"/>
          <w:szCs w:val="30"/>
        </w:rPr>
        <w:t xml:space="preserve"> </w:t>
      </w:r>
      <w:r>
        <w:rPr>
          <w:rFonts w:hint="eastAsia" w:ascii="仿宋" w:hAnsi="仿宋" w:eastAsia="仿宋" w:cs="仿宋"/>
          <w:snapToGrid w:val="0"/>
          <w:color w:val="000000"/>
          <w:spacing w:val="21"/>
          <w:kern w:val="0"/>
          <w:sz w:val="30"/>
          <w:szCs w:val="30"/>
          <w:lang w:val="en-US" w:eastAsia="zh-CN" w:bidi="ar-SA"/>
        </w:rPr>
        <w:t xml:space="preserve">按补助资金总量与收贮主体实际收储数量测算确定补助标准：每立方米储量按800公斤折算，每吨补助不得高于55元。 </w:t>
      </w:r>
    </w:p>
    <w:p w14:paraId="4FEAAFE4">
      <w:pPr>
        <w:pStyle w:val="2"/>
        <w:spacing w:before="222" w:line="315" w:lineRule="auto"/>
        <w:ind w:right="49" w:firstLine="640" w:firstLineChars="200"/>
        <w:rPr>
          <w:rFonts w:hint="default" w:eastAsia="仿宋"/>
          <w:sz w:val="30"/>
          <w:szCs w:val="30"/>
          <w:lang w:val="en-US" w:eastAsia="zh-CN"/>
        </w:rPr>
      </w:pPr>
      <w:r>
        <w:rPr>
          <w:rFonts w:hint="eastAsia" w:ascii="楷体_GB2312" w:hAnsi="楷体_GB2312" w:eastAsia="楷体_GB2312" w:cs="楷体_GB2312"/>
          <w:snapToGrid w:val="0"/>
          <w:color w:val="auto"/>
          <w:kern w:val="0"/>
          <w:sz w:val="32"/>
          <w:szCs w:val="32"/>
          <w:lang w:val="en-US" w:eastAsia="en-US" w:bidi="ar-SA"/>
        </w:rPr>
        <w:t>(四)补助方式。</w:t>
      </w:r>
      <w:r>
        <w:rPr>
          <w:spacing w:val="21"/>
          <w:sz w:val="30"/>
          <w:szCs w:val="30"/>
          <w:highlight w:val="none"/>
        </w:rPr>
        <w:t>项目采用先建后补方式进行补助</w:t>
      </w:r>
      <w:r>
        <w:rPr>
          <w:spacing w:val="21"/>
          <w:sz w:val="30"/>
          <w:szCs w:val="30"/>
        </w:rPr>
        <w:t>。补助对</w:t>
      </w:r>
      <w:r>
        <w:rPr>
          <w:spacing w:val="14"/>
          <w:sz w:val="30"/>
          <w:szCs w:val="30"/>
        </w:rPr>
        <w:t>象通过事前申报、项目实施、现场验收等程序，根据实际收储量</w:t>
      </w:r>
      <w:r>
        <w:rPr>
          <w:spacing w:val="11"/>
          <w:sz w:val="30"/>
          <w:szCs w:val="30"/>
        </w:rPr>
        <w:t>申请补助，做到款物相符、账款一致。</w:t>
      </w:r>
      <w:r>
        <w:rPr>
          <w:rFonts w:hint="eastAsia"/>
          <w:spacing w:val="11"/>
          <w:sz w:val="30"/>
          <w:szCs w:val="30"/>
          <w:lang w:val="en-US" w:eastAsia="zh-CN"/>
        </w:rPr>
        <w:t>资金到达县级财政后可以凭借合同协议预拨部分资金，缓解收贮主体资金压力，剩余资金验收合格后拨付。</w:t>
      </w:r>
    </w:p>
    <w:p w14:paraId="0C28B0DF">
      <w:pPr>
        <w:spacing w:before="1" w:line="220" w:lineRule="auto"/>
        <w:ind w:firstLine="642" w:firstLineChars="200"/>
        <w:rPr>
          <w:rFonts w:hint="eastAsia" w:ascii="黑体" w:hAnsi="黑体" w:eastAsia="黑体" w:cs="黑体"/>
          <w:b/>
          <w:bCs/>
          <w:spacing w:val="5"/>
          <w:sz w:val="31"/>
          <w:szCs w:val="31"/>
          <w:lang w:val="en-US" w:eastAsia="zh-CN"/>
        </w:rPr>
      </w:pPr>
      <w:r>
        <w:rPr>
          <w:rFonts w:hint="eastAsia" w:ascii="黑体" w:hAnsi="黑体" w:eastAsia="黑体" w:cs="黑体"/>
          <w:b/>
          <w:bCs/>
          <w:spacing w:val="5"/>
          <w:sz w:val="31"/>
          <w:szCs w:val="31"/>
        </w:rPr>
        <w:t>四、</w:t>
      </w:r>
      <w:r>
        <w:rPr>
          <w:rFonts w:hint="eastAsia" w:ascii="黑体" w:hAnsi="黑体" w:eastAsia="黑体" w:cs="黑体"/>
          <w:b/>
          <w:bCs/>
          <w:spacing w:val="5"/>
          <w:sz w:val="31"/>
          <w:szCs w:val="31"/>
          <w:lang w:val="en-US" w:eastAsia="zh-CN"/>
        </w:rPr>
        <w:t>实施方法和程序</w:t>
      </w:r>
    </w:p>
    <w:p w14:paraId="77B4ABA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firstLine="320" w:firstLineChars="100"/>
        <w:textAlignment w:val="auto"/>
        <w:rPr>
          <w:rFonts w:hint="eastAsia" w:ascii="楷体_GB2312" w:hAnsi="楷体_GB2312" w:eastAsia="楷体_GB2312" w:cs="楷体_GB2312"/>
          <w:snapToGrid w:val="0"/>
          <w:color w:val="auto"/>
          <w:kern w:val="0"/>
          <w:sz w:val="32"/>
          <w:szCs w:val="32"/>
          <w:lang w:val="en-US" w:eastAsia="zh-CN" w:bidi="ar-SA"/>
        </w:rPr>
      </w:pPr>
      <w:bookmarkStart w:id="0" w:name="_Toc16574_WPSOffice_Level2"/>
      <w:bookmarkStart w:id="1" w:name="_Toc5261_WPSOffice_Level2"/>
      <w:r>
        <w:rPr>
          <w:rFonts w:hint="eastAsia" w:ascii="楷体_GB2312" w:hAnsi="楷体_GB2312" w:eastAsia="楷体_GB2312" w:cs="楷体_GB2312"/>
          <w:snapToGrid w:val="0"/>
          <w:color w:val="auto"/>
          <w:kern w:val="0"/>
          <w:sz w:val="32"/>
          <w:szCs w:val="32"/>
          <w:lang w:val="en-US" w:eastAsia="zh-CN" w:bidi="ar-SA"/>
        </w:rPr>
        <w:t>（一）申报流程</w:t>
      </w:r>
      <w:bookmarkEnd w:id="0"/>
      <w:bookmarkEnd w:id="1"/>
    </w:p>
    <w:p w14:paraId="17DA7069">
      <w:pPr>
        <w:keepNext w:val="0"/>
        <w:keepLines w:val="0"/>
        <w:pageBreakBefore w:val="0"/>
        <w:widowControl w:val="0"/>
        <w:kinsoku/>
        <w:wordWrap/>
        <w:overflowPunct/>
        <w:topLinePunct w:val="0"/>
        <w:autoSpaceDE w:val="0"/>
        <w:autoSpaceDN w:val="0"/>
        <w:bidi w:val="0"/>
        <w:adjustRightInd w:val="0"/>
        <w:snapToGrid/>
        <w:spacing w:line="570" w:lineRule="exact"/>
        <w:ind w:firstLine="684" w:firstLineChars="200"/>
        <w:textAlignment w:val="auto"/>
        <w:rPr>
          <w:rFonts w:hint="eastAsia" w:ascii="仿宋" w:hAnsi="仿宋" w:eastAsia="仿宋" w:cs="仿宋"/>
          <w:snapToGrid w:val="0"/>
          <w:color w:val="FF0000"/>
          <w:spacing w:val="21"/>
          <w:kern w:val="0"/>
          <w:sz w:val="30"/>
          <w:szCs w:val="30"/>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cs="仿宋"/>
          <w:snapToGrid w:val="0"/>
          <w:color w:val="000000"/>
          <w:spacing w:val="21"/>
          <w:kern w:val="0"/>
          <w:sz w:val="30"/>
          <w:szCs w:val="30"/>
          <w:lang w:val="en-US" w:eastAsia="zh-CN" w:bidi="ar-SA"/>
        </w:rPr>
        <w:t>1.发布公告。</w:t>
      </w:r>
      <w:r>
        <w:rPr>
          <w:rFonts w:hint="eastAsia" w:ascii="仿宋" w:hAnsi="仿宋" w:eastAsia="仿宋" w:cs="仿宋"/>
          <w:snapToGrid w:val="0"/>
          <w:color w:val="FF0000"/>
          <w:spacing w:val="21"/>
          <w:kern w:val="0"/>
          <w:sz w:val="30"/>
          <w:szCs w:val="30"/>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制定</w:t>
      </w:r>
      <w:r>
        <w:rPr>
          <w:rFonts w:hint="eastAsia" w:ascii="仿宋" w:hAnsi="仿宋" w:eastAsia="仿宋" w:cs="仿宋"/>
          <w:snapToGrid w:val="0"/>
          <w:color w:val="FF0000"/>
          <w:spacing w:val="11"/>
          <w:kern w:val="0"/>
          <w:sz w:val="30"/>
          <w:szCs w:val="30"/>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《2025年遵化市</w:t>
      </w:r>
      <w:r>
        <w:rPr>
          <w:rFonts w:hint="eastAsia" w:ascii="仿宋" w:hAnsi="仿宋" w:eastAsia="仿宋" w:cs="仿宋"/>
          <w:snapToGrid w:val="0"/>
          <w:color w:val="FF0000"/>
          <w:spacing w:val="11"/>
          <w:kern w:val="0"/>
          <w:sz w:val="30"/>
          <w:szCs w:val="30"/>
          <w:lang w:val="en-US" w:eastAsia="en-US"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第二批</w:t>
      </w:r>
      <w:r>
        <w:rPr>
          <w:rFonts w:hint="eastAsia" w:ascii="仿宋" w:hAnsi="仿宋" w:eastAsia="仿宋" w:cs="仿宋"/>
          <w:snapToGrid w:val="0"/>
          <w:color w:val="FF0000"/>
          <w:spacing w:val="11"/>
          <w:kern w:val="0"/>
          <w:sz w:val="30"/>
          <w:szCs w:val="30"/>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粮改饲项目实施方案》，经专家评审、政府盖章后在政府网公示；在遵化市政府网发布第三方资产评估机构报名公告和项目承担主体报名公告，</w:t>
      </w:r>
      <w:r>
        <w:rPr>
          <w:rFonts w:hint="eastAsia" w:ascii="仿宋" w:hAnsi="仿宋" w:eastAsia="仿宋" w:cs="仿宋"/>
          <w:snapToGrid w:val="0"/>
          <w:color w:val="FF0000"/>
          <w:spacing w:val="21"/>
          <w:kern w:val="0"/>
          <w:sz w:val="30"/>
          <w:szCs w:val="30"/>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对报名的第三方资产评估机构的资质经专家评审合格后，在政府网站进行公示；经第三方对项目承担单位审验后，将符合条件的承担主体在政府网站进行公示。</w:t>
      </w:r>
    </w:p>
    <w:p w14:paraId="4571B8D6">
      <w:pPr>
        <w:keepNext w:val="0"/>
        <w:keepLines w:val="0"/>
        <w:pageBreakBefore w:val="0"/>
        <w:widowControl w:val="0"/>
        <w:kinsoku/>
        <w:wordWrap/>
        <w:overflowPunct/>
        <w:topLinePunct w:val="0"/>
        <w:autoSpaceDE w:val="0"/>
        <w:autoSpaceDN w:val="0"/>
        <w:bidi w:val="0"/>
        <w:adjustRightInd w:val="0"/>
        <w:snapToGrid/>
        <w:spacing w:line="570" w:lineRule="exact"/>
        <w:ind w:firstLine="684" w:firstLineChars="200"/>
        <w:textAlignment w:val="auto"/>
        <w:rPr>
          <w:rFonts w:hint="eastAsia" w:ascii="仿宋" w:hAnsi="仿宋" w:eastAsia="仿宋" w:cs="仿宋"/>
          <w:snapToGrid w:val="0"/>
          <w:color w:val="000000"/>
          <w:spacing w:val="21"/>
          <w:kern w:val="0"/>
          <w:sz w:val="30"/>
          <w:szCs w:val="30"/>
          <w:lang w:val="en-US" w:eastAsia="zh-CN" w:bidi="ar-SA"/>
        </w:rPr>
      </w:pPr>
      <w:r>
        <w:rPr>
          <w:rFonts w:hint="eastAsia" w:ascii="仿宋" w:hAnsi="仿宋" w:eastAsia="仿宋" w:cs="仿宋"/>
          <w:snapToGrid w:val="0"/>
          <w:color w:val="000000"/>
          <w:spacing w:val="21"/>
          <w:kern w:val="0"/>
          <w:sz w:val="30"/>
          <w:szCs w:val="30"/>
          <w:lang w:val="en-US" w:eastAsia="zh-CN" w:bidi="ar-SA"/>
        </w:rPr>
        <w:t>2.自主申报。奶（肉）牛、羊等草食畜规模养殖场（合作社、小区）根据政府网发布的报名公告，自愿向农业农村局提交遵化市“粮改饲”项目承担申请和完成承担任务的承诺书，并对第三方的资质和评审结果进行认可后，签订作业合同留农业农村局备案。项目承担主体需提供法人身份证原件及正反面复印件；由工商部门注册的营业执照原件及复印件（加盖红章）和与营业执照名称相对应的对公帐户及复印件（加盖红章）。以上证件均需在有效期内，到遵化市农业农村局申请备案。</w:t>
      </w:r>
    </w:p>
    <w:p w14:paraId="65B0B365">
      <w:pPr>
        <w:keepNext w:val="0"/>
        <w:keepLines w:val="0"/>
        <w:pageBreakBefore w:val="0"/>
        <w:widowControl w:val="0"/>
        <w:kinsoku/>
        <w:wordWrap/>
        <w:overflowPunct/>
        <w:topLinePunct w:val="0"/>
        <w:autoSpaceDE w:val="0"/>
        <w:autoSpaceDN w:val="0"/>
        <w:bidi w:val="0"/>
        <w:adjustRightInd w:val="0"/>
        <w:snapToGrid/>
        <w:spacing w:line="570" w:lineRule="exact"/>
        <w:ind w:firstLine="684" w:firstLineChars="200"/>
        <w:textAlignment w:val="auto"/>
        <w:rPr>
          <w:rFonts w:hint="eastAsia" w:ascii="仿宋" w:hAnsi="仿宋" w:eastAsia="仿宋" w:cs="仿宋"/>
          <w:snapToGrid w:val="0"/>
          <w:color w:val="000000"/>
          <w:spacing w:val="21"/>
          <w:kern w:val="0"/>
          <w:sz w:val="30"/>
          <w:szCs w:val="30"/>
          <w:lang w:val="en-US" w:eastAsia="zh-CN" w:bidi="ar-SA"/>
        </w:rPr>
      </w:pPr>
      <w:r>
        <w:rPr>
          <w:rFonts w:hint="eastAsia" w:ascii="仿宋" w:hAnsi="仿宋" w:eastAsia="仿宋" w:cs="仿宋"/>
          <w:snapToGrid w:val="0"/>
          <w:color w:val="000000"/>
          <w:spacing w:val="21"/>
          <w:kern w:val="0"/>
          <w:sz w:val="30"/>
          <w:szCs w:val="30"/>
          <w:lang w:val="en-US" w:eastAsia="zh-CN" w:bidi="ar-SA"/>
        </w:rPr>
        <w:t>3.确定主体。奶（肉）牛、羊等草食畜规模养殖场（合作社、小区）需由自主认定同意使用的第三方资产评估机构（有资质）对申报单位的资质、存栏数量、青贮池个数、青贮容积、青贮能力进行现场勘验核实，凭第三方资产评估机构现场勘验核实结果，由农业农村局拟定项目承担单位，并在政府网进行公示，接受社会监督，公示7天无异议后，确定为承担单位。</w:t>
      </w:r>
    </w:p>
    <w:p w14:paraId="2C4CE9E1">
      <w:pPr>
        <w:keepNext w:val="0"/>
        <w:keepLines w:val="0"/>
        <w:pageBreakBefore w:val="0"/>
        <w:widowControl w:val="0"/>
        <w:kinsoku/>
        <w:wordWrap/>
        <w:overflowPunct/>
        <w:topLinePunct w:val="0"/>
        <w:autoSpaceDE w:val="0"/>
        <w:autoSpaceDN w:val="0"/>
        <w:bidi w:val="0"/>
        <w:adjustRightInd w:val="0"/>
        <w:snapToGrid/>
        <w:spacing w:line="570" w:lineRule="exact"/>
        <w:ind w:firstLine="684" w:firstLineChars="200"/>
        <w:textAlignment w:val="auto"/>
        <w:rPr>
          <w:rFonts w:hint="default" w:ascii="仿宋" w:hAnsi="仿宋" w:eastAsia="仿宋" w:cs="仿宋"/>
          <w:snapToGrid w:val="0"/>
          <w:color w:val="000000"/>
          <w:spacing w:val="21"/>
          <w:kern w:val="0"/>
          <w:sz w:val="30"/>
          <w:szCs w:val="30"/>
          <w:lang w:val="en-US" w:eastAsia="zh-CN" w:bidi="ar-SA"/>
        </w:rPr>
      </w:pPr>
      <w:r>
        <w:rPr>
          <w:rFonts w:hint="eastAsia" w:ascii="仿宋" w:hAnsi="仿宋" w:eastAsia="仿宋" w:cs="仿宋"/>
          <w:snapToGrid w:val="0"/>
          <w:color w:val="000000"/>
          <w:spacing w:val="21"/>
          <w:kern w:val="0"/>
          <w:sz w:val="30"/>
          <w:szCs w:val="30"/>
          <w:lang w:val="en-US" w:eastAsia="zh-CN" w:bidi="ar-SA"/>
        </w:rPr>
        <w:t>4.主体经公示无异议后，根据</w:t>
      </w:r>
      <w:r>
        <w:rPr>
          <w:rFonts w:hint="eastAsia" w:ascii="仿宋" w:hAnsi="仿宋" w:eastAsia="仿宋" w:cs="仿宋"/>
          <w:snapToGrid w:val="0"/>
          <w:color w:val="000000"/>
          <w:spacing w:val="11"/>
          <w:kern w:val="0"/>
          <w:sz w:val="30"/>
          <w:szCs w:val="30"/>
          <w:lang w:val="en-US" w:eastAsia="zh-CN" w:bidi="ar-SA"/>
        </w:rPr>
        <w:t>唐山市农业农村局《关于加强全市全株玉米青贮项目监管工作的通知》要求，自行联系电信公司安装可视化监控设备。</w:t>
      </w:r>
    </w:p>
    <w:p w14:paraId="7EF48DF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napToGrid w:val="0"/>
          <w:color w:val="auto"/>
          <w:kern w:val="0"/>
          <w:sz w:val="32"/>
          <w:szCs w:val="32"/>
          <w:lang w:val="en-US" w:eastAsia="zh-CN" w:bidi="ar-SA"/>
        </w:rPr>
      </w:pPr>
      <w:bookmarkStart w:id="2" w:name="_Toc9931_WPSOffice_Level2"/>
      <w:bookmarkStart w:id="3" w:name="_Toc9322_WPSOffice_Level2"/>
      <w:r>
        <w:rPr>
          <w:rFonts w:hint="eastAsia" w:ascii="楷体_GB2312" w:hAnsi="楷体_GB2312" w:eastAsia="楷体_GB2312" w:cs="楷体_GB2312"/>
          <w:snapToGrid w:val="0"/>
          <w:color w:val="auto"/>
          <w:kern w:val="0"/>
          <w:sz w:val="32"/>
          <w:szCs w:val="32"/>
          <w:lang w:val="en-US" w:eastAsia="zh-CN" w:bidi="ar-SA"/>
        </w:rPr>
        <w:t>（二）实施程序</w:t>
      </w:r>
      <w:bookmarkEnd w:id="2"/>
      <w:bookmarkEnd w:id="3"/>
    </w:p>
    <w:p w14:paraId="49500370">
      <w:pPr>
        <w:keepNext w:val="0"/>
        <w:keepLines w:val="0"/>
        <w:pageBreakBefore w:val="0"/>
        <w:widowControl w:val="0"/>
        <w:kinsoku/>
        <w:wordWrap/>
        <w:overflowPunct/>
        <w:topLinePunct w:val="0"/>
        <w:autoSpaceDE w:val="0"/>
        <w:autoSpaceDN w:val="0"/>
        <w:bidi w:val="0"/>
        <w:adjustRightInd w:val="0"/>
        <w:snapToGrid/>
        <w:spacing w:line="570" w:lineRule="exact"/>
        <w:ind w:firstLine="684" w:firstLineChars="200"/>
        <w:textAlignment w:val="auto"/>
        <w:rPr>
          <w:rFonts w:hint="eastAsia" w:ascii="仿宋" w:hAnsi="仿宋" w:eastAsia="仿宋" w:cs="仿宋"/>
          <w:snapToGrid w:val="0"/>
          <w:color w:val="000000"/>
          <w:spacing w:val="21"/>
          <w:kern w:val="0"/>
          <w:sz w:val="30"/>
          <w:szCs w:val="30"/>
          <w:lang w:val="en-US" w:eastAsia="zh-CN" w:bidi="ar-SA"/>
        </w:rPr>
      </w:pPr>
      <w:r>
        <w:rPr>
          <w:rFonts w:hint="eastAsia" w:ascii="仿宋" w:hAnsi="仿宋" w:eastAsia="仿宋" w:cs="仿宋"/>
          <w:b w:val="0"/>
          <w:bCs w:val="0"/>
          <w:snapToGrid w:val="0"/>
          <w:color w:val="000000"/>
          <w:spacing w:val="21"/>
          <w:kern w:val="0"/>
          <w:sz w:val="30"/>
          <w:szCs w:val="30"/>
          <w:lang w:val="en-US" w:eastAsia="zh-CN" w:bidi="ar-SA"/>
        </w:rPr>
        <w:t>1.开始收贮前，</w:t>
      </w:r>
      <w:r>
        <w:rPr>
          <w:rFonts w:hint="eastAsia" w:ascii="仿宋" w:hAnsi="仿宋" w:eastAsia="仿宋" w:cs="仿宋"/>
          <w:snapToGrid w:val="0"/>
          <w:color w:val="000000"/>
          <w:spacing w:val="21"/>
          <w:kern w:val="0"/>
          <w:sz w:val="30"/>
          <w:szCs w:val="30"/>
          <w:lang w:val="en-US" w:eastAsia="zh-CN" w:bidi="ar-SA"/>
        </w:rPr>
        <w:t>项目承担单位需提供由第三方资产评估机构提供的青贮池个数、空池容积、可视化监控设备安装数量和地点等现场勘验资料</w:t>
      </w:r>
      <w:r>
        <w:rPr>
          <w:rFonts w:hint="eastAsia" w:ascii="仿宋" w:hAnsi="仿宋" w:eastAsia="仿宋" w:cs="仿宋"/>
          <w:snapToGrid w:val="0"/>
          <w:color w:val="000000"/>
          <w:spacing w:val="11"/>
          <w:kern w:val="0"/>
          <w:sz w:val="30"/>
          <w:szCs w:val="30"/>
          <w:lang w:val="en-US" w:eastAsia="zh-CN" w:bidi="ar-SA"/>
        </w:rPr>
        <w:t>，</w:t>
      </w:r>
      <w:r>
        <w:rPr>
          <w:rFonts w:hint="eastAsia" w:ascii="仿宋" w:hAnsi="仿宋" w:eastAsia="仿宋" w:cs="仿宋"/>
          <w:snapToGrid w:val="0"/>
          <w:color w:val="000000"/>
          <w:spacing w:val="21"/>
          <w:kern w:val="0"/>
          <w:sz w:val="30"/>
          <w:szCs w:val="30"/>
          <w:lang w:val="en-US" w:eastAsia="zh-CN" w:bidi="ar-SA"/>
        </w:rPr>
        <w:t>根据现场勘验情况和勘验结果要经补贴对象和现场勘验人员共同签字确认，勘验过程要拍照录像存档。交农业农村局备案造册。</w:t>
      </w:r>
    </w:p>
    <w:p w14:paraId="267BFB23">
      <w:pPr>
        <w:keepNext w:val="0"/>
        <w:keepLines w:val="0"/>
        <w:pageBreakBefore w:val="0"/>
        <w:widowControl w:val="0"/>
        <w:kinsoku/>
        <w:wordWrap/>
        <w:overflowPunct/>
        <w:topLinePunct w:val="0"/>
        <w:autoSpaceDE w:val="0"/>
        <w:autoSpaceDN w:val="0"/>
        <w:bidi w:val="0"/>
        <w:adjustRightInd w:val="0"/>
        <w:snapToGrid/>
        <w:spacing w:line="570" w:lineRule="exact"/>
        <w:ind w:firstLine="684" w:firstLineChars="200"/>
        <w:textAlignment w:val="auto"/>
        <w:rPr>
          <w:rFonts w:hint="eastAsia" w:ascii="仿宋" w:hAnsi="仿宋" w:eastAsia="仿宋" w:cs="仿宋"/>
          <w:snapToGrid w:val="0"/>
          <w:color w:val="000000"/>
          <w:spacing w:val="21"/>
          <w:kern w:val="0"/>
          <w:sz w:val="30"/>
          <w:szCs w:val="30"/>
          <w:lang w:val="en-US" w:eastAsia="zh-CN" w:bidi="ar-SA"/>
        </w:rPr>
      </w:pPr>
      <w:r>
        <w:rPr>
          <w:rFonts w:hint="eastAsia" w:ascii="仿宋" w:hAnsi="仿宋" w:eastAsia="仿宋" w:cs="仿宋"/>
          <w:snapToGrid w:val="0"/>
          <w:color w:val="000000"/>
          <w:spacing w:val="21"/>
          <w:kern w:val="0"/>
          <w:sz w:val="30"/>
          <w:szCs w:val="30"/>
          <w:lang w:val="en-US" w:eastAsia="zh-CN" w:bidi="ar-SA"/>
        </w:rPr>
        <w:t>2.收贮过程中，第三方资产评估机构从收贮开始到结束，需每天进行可视化监控平台数据的查看，出现问题及时和农业农村局联系，农业农村局向唐山市局及时汇报，对监控情况进行整修；同时第三方资产评估机构必须在收贮中留有有效影像资料和勘验资料。农业农村局要对重点补贴对象的收贮进行跟踪监督，保证收贮质量。</w:t>
      </w:r>
    </w:p>
    <w:p w14:paraId="314A8AB6">
      <w:pPr>
        <w:keepNext w:val="0"/>
        <w:keepLines w:val="0"/>
        <w:pageBreakBefore w:val="0"/>
        <w:widowControl w:val="0"/>
        <w:kinsoku/>
        <w:wordWrap/>
        <w:overflowPunct/>
        <w:topLinePunct w:val="0"/>
        <w:bidi w:val="0"/>
        <w:adjustRightInd w:val="0"/>
        <w:snapToGrid/>
        <w:spacing w:line="570" w:lineRule="exact"/>
        <w:ind w:firstLine="645"/>
        <w:textAlignment w:val="auto"/>
        <w:rPr>
          <w:rFonts w:hint="eastAsia" w:ascii="仿宋" w:hAnsi="仿宋" w:eastAsia="仿宋" w:cs="仿宋"/>
          <w:snapToGrid w:val="0"/>
          <w:color w:val="000000"/>
          <w:spacing w:val="21"/>
          <w:kern w:val="0"/>
          <w:sz w:val="30"/>
          <w:szCs w:val="30"/>
          <w:lang w:val="en-US" w:eastAsia="zh-CN" w:bidi="ar-SA"/>
        </w:rPr>
      </w:pPr>
      <w:r>
        <w:rPr>
          <w:rFonts w:hint="eastAsia" w:ascii="仿宋" w:hAnsi="仿宋" w:eastAsia="仿宋" w:cs="仿宋"/>
          <w:snapToGrid w:val="0"/>
          <w:color w:val="000000"/>
          <w:spacing w:val="21"/>
          <w:kern w:val="0"/>
          <w:sz w:val="30"/>
          <w:szCs w:val="30"/>
          <w:lang w:val="en-US" w:eastAsia="zh-CN" w:bidi="ar-SA"/>
        </w:rPr>
        <w:t>3.收储完成后，项目承担单位向农业农村局提交验收申请，同时提交以下资料：与种植户（合作社）签订的收购协议、收储统计表等资料；第三方资产评估机构需向农业农村局提供确认的实际收储量及评估报告。</w:t>
      </w:r>
    </w:p>
    <w:p w14:paraId="39E9225C">
      <w:pPr>
        <w:keepNext w:val="0"/>
        <w:keepLines w:val="0"/>
        <w:pageBreakBefore w:val="0"/>
        <w:widowControl w:val="0"/>
        <w:kinsoku/>
        <w:wordWrap/>
        <w:overflowPunct/>
        <w:topLinePunct w:val="0"/>
        <w:autoSpaceDE w:val="0"/>
        <w:autoSpaceDN w:val="0"/>
        <w:bidi w:val="0"/>
        <w:adjustRightInd w:val="0"/>
        <w:snapToGrid/>
        <w:spacing w:line="570" w:lineRule="exact"/>
        <w:ind w:firstLine="684" w:firstLineChars="200"/>
        <w:textAlignment w:val="auto"/>
        <w:rPr>
          <w:rFonts w:hint="eastAsia" w:ascii="仿宋" w:hAnsi="仿宋" w:eastAsia="仿宋" w:cs="仿宋"/>
          <w:snapToGrid w:val="0"/>
          <w:color w:val="000000"/>
          <w:spacing w:val="21"/>
          <w:kern w:val="0"/>
          <w:sz w:val="30"/>
          <w:szCs w:val="30"/>
          <w:lang w:val="en-US" w:eastAsia="zh-CN" w:bidi="ar-SA"/>
        </w:rPr>
      </w:pPr>
      <w:r>
        <w:rPr>
          <w:rFonts w:hint="eastAsia" w:ascii="仿宋" w:hAnsi="仿宋" w:eastAsia="仿宋" w:cs="仿宋"/>
          <w:snapToGrid w:val="0"/>
          <w:color w:val="000000"/>
          <w:spacing w:val="21"/>
          <w:kern w:val="0"/>
          <w:sz w:val="30"/>
          <w:szCs w:val="30"/>
          <w:lang w:val="en-US" w:eastAsia="zh-CN" w:bidi="ar-SA"/>
        </w:rPr>
        <w:t>4.审核监管。农业农村局负责对上述材料进行审核确认，对补贴对象的资质、青贮池个数、实际青贮量等情况进行现场抽查，抽查比例不少于收贮任务的50%。并根据第三方提供的数据统计全市当年青贮玉米实际收储量，对项目承担单位登记造册，建立项目管理档案。同时，承担“粮改饲”项目实施的单位，在收储前、中、后三个阶段，均需保留现场影像（电子版）资料，交农业农村局存档备案。经农业农村局初验合格后，提请唐山市农业农村局进行核验。</w:t>
      </w:r>
    </w:p>
    <w:p w14:paraId="2C314ECD">
      <w:pPr>
        <w:keepNext w:val="0"/>
        <w:keepLines w:val="0"/>
        <w:pageBreakBefore w:val="0"/>
        <w:wordWrap/>
        <w:overflowPunct/>
        <w:topLinePunct w:val="0"/>
        <w:autoSpaceDE w:val="0"/>
        <w:autoSpaceDN w:val="0"/>
        <w:bidi w:val="0"/>
        <w:adjustRightInd w:val="0"/>
        <w:spacing w:before="1" w:line="570" w:lineRule="exact"/>
        <w:ind w:firstLine="684" w:firstLineChars="200"/>
        <w:rPr>
          <w:rFonts w:hint="default" w:ascii="仿宋" w:hAnsi="仿宋" w:eastAsia="仿宋" w:cs="仿宋"/>
          <w:snapToGrid w:val="0"/>
          <w:color w:val="000000"/>
          <w:spacing w:val="21"/>
          <w:kern w:val="0"/>
          <w:sz w:val="30"/>
          <w:szCs w:val="30"/>
          <w:lang w:val="en-US" w:eastAsia="zh-CN" w:bidi="ar-SA"/>
        </w:rPr>
      </w:pPr>
      <w:r>
        <w:rPr>
          <w:rFonts w:hint="eastAsia" w:ascii="仿宋" w:hAnsi="仿宋" w:eastAsia="仿宋" w:cs="仿宋"/>
          <w:snapToGrid w:val="0"/>
          <w:color w:val="000000"/>
          <w:spacing w:val="21"/>
          <w:kern w:val="0"/>
          <w:sz w:val="30"/>
          <w:szCs w:val="30"/>
          <w:lang w:val="en-US" w:eastAsia="zh-CN" w:bidi="ar-SA"/>
        </w:rPr>
        <w:t>5.资金发放。经唐山市农业农村局核验合格后，遵化市农业农村局汇总各补贴对象名称、地址、核定的收贮任务、实际收贮量、补贴标准、补贴金额，在项目实施地政府网公布，接受社会监督。公示期不少于7天。公示无异议后，将补贴信息报送市财政局，由市财政局和农业农村局按照当年吨均补贴标准和应享受补贴对象实际收储量分配“粮改饲”补助资金，建立补贴对象资金台账，做到款物相符、账款一致；在公示期有异议的，经核实确认后，取消项目承担单位资格。</w:t>
      </w:r>
    </w:p>
    <w:p w14:paraId="7BB0B2BF">
      <w:pPr>
        <w:spacing w:before="1" w:line="220" w:lineRule="auto"/>
        <w:ind w:firstLine="642" w:firstLineChars="200"/>
        <w:rPr>
          <w:rFonts w:hint="eastAsia" w:ascii="黑体" w:hAnsi="黑体" w:eastAsia="黑体" w:cs="黑体"/>
          <w:b/>
          <w:bCs/>
          <w:spacing w:val="5"/>
          <w:sz w:val="31"/>
          <w:szCs w:val="31"/>
          <w:lang w:eastAsia="zh-CN"/>
        </w:rPr>
      </w:pPr>
      <w:r>
        <w:rPr>
          <w:rFonts w:hint="eastAsia" w:ascii="黑体" w:hAnsi="黑体" w:eastAsia="黑体" w:cs="黑体"/>
          <w:b/>
          <w:bCs/>
          <w:spacing w:val="5"/>
          <w:sz w:val="31"/>
          <w:szCs w:val="31"/>
          <w:lang w:val="en-US" w:eastAsia="zh-CN"/>
        </w:rPr>
        <w:t>五、</w:t>
      </w:r>
      <w:r>
        <w:rPr>
          <w:rFonts w:hint="eastAsia" w:ascii="黑体" w:hAnsi="黑体" w:eastAsia="黑体" w:cs="黑体"/>
          <w:b/>
          <w:bCs/>
          <w:spacing w:val="5"/>
          <w:sz w:val="31"/>
          <w:szCs w:val="31"/>
        </w:rPr>
        <w:t>实施</w:t>
      </w:r>
      <w:r>
        <w:rPr>
          <w:rFonts w:hint="eastAsia" w:ascii="黑体" w:hAnsi="黑体" w:eastAsia="黑体" w:cs="黑体"/>
          <w:b/>
          <w:bCs/>
          <w:spacing w:val="5"/>
          <w:sz w:val="31"/>
          <w:szCs w:val="31"/>
          <w:lang w:eastAsia="zh-CN"/>
        </w:rPr>
        <w:t>进度</w:t>
      </w:r>
    </w:p>
    <w:p w14:paraId="432FCACD">
      <w:pPr>
        <w:spacing w:line="579" w:lineRule="exact"/>
        <w:ind w:firstLine="640" w:firstLineChars="200"/>
        <w:rPr>
          <w:rFonts w:hint="eastAsia" w:ascii="仿宋" w:hAnsi="仿宋" w:eastAsia="仿宋" w:cs="仿宋"/>
          <w:snapToGrid w:val="0"/>
          <w:color w:val="000000"/>
          <w:spacing w:val="11"/>
          <w:kern w:val="0"/>
          <w:sz w:val="30"/>
          <w:szCs w:val="30"/>
          <w:lang w:val="en-US" w:eastAsia="zh-CN" w:bidi="ar-SA"/>
        </w:rPr>
      </w:pPr>
      <w:r>
        <w:rPr>
          <w:rFonts w:hint="eastAsia" w:ascii="仿宋" w:hAnsi="仿宋" w:eastAsia="仿宋" w:cs="仿宋_GB2312"/>
          <w:bCs/>
          <w:color w:val="auto"/>
          <w:sz w:val="32"/>
          <w:szCs w:val="32"/>
        </w:rPr>
        <w:t>202</w:t>
      </w:r>
      <w:r>
        <w:rPr>
          <w:rFonts w:hint="eastAsia" w:ascii="仿宋" w:hAnsi="仿宋" w:eastAsia="仿宋" w:cs="仿宋_GB2312"/>
          <w:bCs/>
          <w:color w:val="auto"/>
          <w:sz w:val="32"/>
          <w:szCs w:val="32"/>
          <w:lang w:val="en-US" w:eastAsia="zh-CN"/>
        </w:rPr>
        <w:t>5</w:t>
      </w:r>
      <w:r>
        <w:rPr>
          <w:rFonts w:hint="eastAsia" w:ascii="仿宋" w:hAnsi="仿宋" w:eastAsia="仿宋" w:cs="仿宋_GB2312"/>
          <w:bCs/>
          <w:color w:val="auto"/>
          <w:sz w:val="32"/>
          <w:szCs w:val="32"/>
        </w:rPr>
        <w:t>年</w:t>
      </w:r>
      <w:r>
        <w:rPr>
          <w:rFonts w:hint="eastAsia" w:ascii="仿宋" w:hAnsi="仿宋" w:eastAsia="仿宋" w:cs="仿宋_GB2312"/>
          <w:bCs/>
          <w:color w:val="auto"/>
          <w:sz w:val="32"/>
          <w:szCs w:val="32"/>
          <w:lang w:val="en-US" w:eastAsia="zh-CN"/>
        </w:rPr>
        <w:t>7</w:t>
      </w:r>
      <w:r>
        <w:rPr>
          <w:rFonts w:hint="eastAsia" w:ascii="仿宋" w:hAnsi="仿宋" w:eastAsia="仿宋" w:cs="仿宋_GB2312"/>
          <w:bCs/>
          <w:color w:val="auto"/>
          <w:sz w:val="32"/>
          <w:szCs w:val="32"/>
        </w:rPr>
        <w:t>月</w:t>
      </w:r>
      <w:r>
        <w:rPr>
          <w:rFonts w:hint="eastAsia" w:ascii="仿宋" w:hAnsi="仿宋" w:eastAsia="仿宋" w:cs="仿宋_GB2312"/>
          <w:bCs/>
          <w:color w:val="auto"/>
          <w:sz w:val="32"/>
          <w:szCs w:val="32"/>
          <w:lang w:val="en-US" w:eastAsia="zh-CN"/>
        </w:rPr>
        <w:t>，</w:t>
      </w:r>
      <w:r>
        <w:rPr>
          <w:rFonts w:hint="eastAsia" w:ascii="仿宋" w:hAnsi="仿宋" w:eastAsia="仿宋" w:cs="仿宋"/>
          <w:snapToGrid w:val="0"/>
          <w:color w:val="000000"/>
          <w:spacing w:val="11"/>
          <w:kern w:val="0"/>
          <w:sz w:val="30"/>
          <w:szCs w:val="30"/>
          <w:lang w:val="en-US" w:eastAsia="zh-CN" w:bidi="ar-SA"/>
        </w:rPr>
        <w:t>根据实际情况，本着“资金、目标、任务、责任”四到位的要求，制定细化《2025年遵化市粮改饲项目实施方案》，方案经专家评审后，经</w:t>
      </w:r>
      <w:r>
        <w:rPr>
          <w:rFonts w:hint="eastAsia" w:ascii="仿宋" w:hAnsi="仿宋" w:eastAsia="仿宋" w:cs="仿宋"/>
          <w:snapToGrid w:val="0"/>
          <w:color w:val="FF0000"/>
          <w:spacing w:val="11"/>
          <w:kern w:val="0"/>
          <w:sz w:val="30"/>
          <w:szCs w:val="30"/>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本级政府审批盖章</w:t>
      </w:r>
      <w:r>
        <w:rPr>
          <w:rFonts w:hint="eastAsia" w:ascii="仿宋" w:hAnsi="仿宋" w:eastAsia="仿宋" w:cs="仿宋"/>
          <w:snapToGrid w:val="0"/>
          <w:color w:val="000000"/>
          <w:spacing w:val="11"/>
          <w:kern w:val="0"/>
          <w:sz w:val="30"/>
          <w:szCs w:val="30"/>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在遵化政府网公示7天后，报唐山</w:t>
      </w:r>
      <w:r>
        <w:rPr>
          <w:rFonts w:hint="eastAsia" w:ascii="仿宋" w:hAnsi="仿宋" w:eastAsia="仿宋" w:cs="仿宋"/>
          <w:snapToGrid w:val="0"/>
          <w:color w:val="000000"/>
          <w:spacing w:val="11"/>
          <w:kern w:val="0"/>
          <w:sz w:val="30"/>
          <w:szCs w:val="30"/>
          <w:lang w:val="en-US" w:eastAsia="en-US"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市农业农村局备案</w:t>
      </w:r>
      <w:r>
        <w:rPr>
          <w:rFonts w:hint="eastAsia" w:ascii="仿宋" w:hAnsi="仿宋" w:eastAsia="仿宋" w:cs="仿宋"/>
          <w:snapToGrid w:val="0"/>
          <w:color w:val="000000"/>
          <w:spacing w:val="11"/>
          <w:kern w:val="0"/>
          <w:sz w:val="30"/>
          <w:szCs w:val="30"/>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仿宋" w:hAnsi="仿宋" w:eastAsia="仿宋" w:cs="仿宋"/>
          <w:snapToGrid w:val="0"/>
          <w:color w:val="000000"/>
          <w:spacing w:val="11"/>
          <w:kern w:val="0"/>
          <w:sz w:val="30"/>
          <w:szCs w:val="30"/>
          <w:lang w:val="en-US" w:eastAsia="zh-CN" w:bidi="ar-SA"/>
        </w:rPr>
        <w:t>具体实施程序参照《2025年唐山市粮改饲项目实施方案》（</w:t>
      </w:r>
      <w:r>
        <w:rPr>
          <w:rFonts w:hint="eastAsia" w:ascii="仿宋" w:hAnsi="仿宋" w:eastAsia="仿宋" w:cs="仿宋"/>
          <w:snapToGrid w:val="0"/>
          <w:color w:val="000000"/>
          <w:spacing w:val="11"/>
          <w:kern w:val="0"/>
          <w:sz w:val="30"/>
          <w:szCs w:val="30"/>
          <w:lang w:val="en-US" w:eastAsia="en-US" w:bidi="ar-SA"/>
        </w:rPr>
        <w:t>唐农</w:t>
      </w:r>
      <w:r>
        <w:rPr>
          <w:rFonts w:hint="eastAsia" w:ascii="仿宋" w:hAnsi="仿宋" w:eastAsia="仿宋" w:cs="仿宋"/>
          <w:snapToGrid w:val="0"/>
          <w:color w:val="000000"/>
          <w:spacing w:val="11"/>
          <w:kern w:val="0"/>
          <w:sz w:val="30"/>
          <w:szCs w:val="30"/>
          <w:lang w:val="en-US" w:eastAsia="zh-CN" w:bidi="ar-SA"/>
        </w:rPr>
        <w:t>发</w:t>
      </w:r>
      <w:r>
        <w:rPr>
          <w:rFonts w:hint="eastAsia" w:ascii="仿宋" w:hAnsi="仿宋" w:eastAsia="仿宋" w:cs="仿宋"/>
          <w:snapToGrid w:val="0"/>
          <w:color w:val="000000"/>
          <w:spacing w:val="11"/>
          <w:kern w:val="0"/>
          <w:sz w:val="30"/>
          <w:szCs w:val="30"/>
          <w:lang w:val="en-US" w:eastAsia="en-US" w:bidi="ar-SA"/>
        </w:rPr>
        <w:t>[202</w:t>
      </w:r>
      <w:r>
        <w:rPr>
          <w:rFonts w:hint="eastAsia" w:ascii="仿宋" w:hAnsi="仿宋" w:eastAsia="仿宋" w:cs="仿宋"/>
          <w:snapToGrid w:val="0"/>
          <w:color w:val="000000"/>
          <w:spacing w:val="11"/>
          <w:kern w:val="0"/>
          <w:sz w:val="30"/>
          <w:szCs w:val="30"/>
          <w:lang w:val="en-US" w:eastAsia="zh-CN" w:bidi="ar-SA"/>
        </w:rPr>
        <w:t>5</w:t>
      </w:r>
      <w:r>
        <w:rPr>
          <w:rFonts w:hint="eastAsia" w:ascii="仿宋" w:hAnsi="仿宋" w:eastAsia="仿宋" w:cs="仿宋"/>
          <w:snapToGrid w:val="0"/>
          <w:color w:val="000000"/>
          <w:spacing w:val="11"/>
          <w:kern w:val="0"/>
          <w:sz w:val="30"/>
          <w:szCs w:val="30"/>
          <w:lang w:val="en-US" w:eastAsia="en-US" w:bidi="ar-SA"/>
        </w:rPr>
        <w:t>]</w:t>
      </w:r>
      <w:r>
        <w:rPr>
          <w:rFonts w:hint="eastAsia" w:ascii="仿宋" w:hAnsi="仿宋" w:eastAsia="仿宋" w:cs="仿宋"/>
          <w:snapToGrid w:val="0"/>
          <w:color w:val="000000"/>
          <w:spacing w:val="11"/>
          <w:kern w:val="0"/>
          <w:sz w:val="30"/>
          <w:szCs w:val="30"/>
          <w:lang w:val="en-US" w:eastAsia="zh-CN" w:bidi="ar-SA"/>
        </w:rPr>
        <w:t>4</w:t>
      </w:r>
      <w:r>
        <w:rPr>
          <w:rFonts w:hint="eastAsia" w:ascii="仿宋" w:hAnsi="仿宋" w:eastAsia="仿宋" w:cs="仿宋"/>
          <w:snapToGrid w:val="0"/>
          <w:color w:val="000000"/>
          <w:spacing w:val="11"/>
          <w:kern w:val="0"/>
          <w:sz w:val="30"/>
          <w:szCs w:val="30"/>
          <w:lang w:val="en-US" w:eastAsia="en-US" w:bidi="ar-SA"/>
        </w:rPr>
        <w:t>号</w:t>
      </w:r>
      <w:r>
        <w:rPr>
          <w:rFonts w:hint="eastAsia" w:ascii="仿宋" w:hAnsi="仿宋" w:eastAsia="仿宋" w:cs="仿宋"/>
          <w:snapToGrid w:val="0"/>
          <w:color w:val="000000"/>
          <w:spacing w:val="11"/>
          <w:kern w:val="0"/>
          <w:sz w:val="30"/>
          <w:szCs w:val="30"/>
          <w:lang w:val="en-US" w:eastAsia="zh-CN" w:bidi="ar-SA"/>
        </w:rPr>
        <w:t>）执行。</w:t>
      </w:r>
    </w:p>
    <w:p w14:paraId="5369038B">
      <w:pPr>
        <w:spacing w:line="579" w:lineRule="exact"/>
        <w:ind w:firstLine="644" w:firstLineChars="200"/>
        <w:rPr>
          <w:rFonts w:hint="eastAsia" w:ascii="仿宋" w:hAnsi="仿宋" w:eastAsia="仿宋" w:cs="仿宋"/>
          <w:snapToGrid w:val="0"/>
          <w:color w:val="000000"/>
          <w:spacing w:val="11"/>
          <w:kern w:val="0"/>
          <w:sz w:val="30"/>
          <w:szCs w:val="30"/>
          <w:lang w:val="en-US" w:eastAsia="en-US" w:bidi="ar-SA"/>
        </w:rPr>
      </w:pPr>
      <w:r>
        <w:rPr>
          <w:rFonts w:hint="eastAsia" w:ascii="仿宋" w:hAnsi="仿宋" w:eastAsia="仿宋" w:cs="仿宋"/>
          <w:snapToGrid w:val="0"/>
          <w:color w:val="000000"/>
          <w:spacing w:val="11"/>
          <w:kern w:val="0"/>
          <w:sz w:val="30"/>
          <w:szCs w:val="30"/>
          <w:lang w:val="en-US" w:eastAsia="en-US" w:bidi="ar-SA"/>
        </w:rPr>
        <w:t>202</w:t>
      </w:r>
      <w:r>
        <w:rPr>
          <w:rFonts w:hint="eastAsia" w:ascii="仿宋" w:hAnsi="仿宋" w:eastAsia="仿宋" w:cs="仿宋"/>
          <w:snapToGrid w:val="0"/>
          <w:color w:val="000000"/>
          <w:spacing w:val="11"/>
          <w:kern w:val="0"/>
          <w:sz w:val="30"/>
          <w:szCs w:val="30"/>
          <w:lang w:val="en-US" w:eastAsia="zh-CN" w:bidi="ar-SA"/>
        </w:rPr>
        <w:t>5</w:t>
      </w:r>
      <w:r>
        <w:rPr>
          <w:rFonts w:hint="eastAsia" w:ascii="仿宋" w:hAnsi="仿宋" w:eastAsia="仿宋" w:cs="仿宋"/>
          <w:snapToGrid w:val="0"/>
          <w:color w:val="000000"/>
          <w:spacing w:val="11"/>
          <w:kern w:val="0"/>
          <w:sz w:val="30"/>
          <w:szCs w:val="30"/>
          <w:lang w:val="en-US" w:eastAsia="en-US" w:bidi="ar-SA"/>
        </w:rPr>
        <w:t>年8</w:t>
      </w:r>
      <w:r>
        <w:rPr>
          <w:rFonts w:hint="eastAsia" w:ascii="仿宋" w:hAnsi="仿宋" w:eastAsia="仿宋" w:cs="仿宋"/>
          <w:snapToGrid w:val="0"/>
          <w:color w:val="000000"/>
          <w:spacing w:val="11"/>
          <w:kern w:val="0"/>
          <w:sz w:val="30"/>
          <w:szCs w:val="30"/>
          <w:lang w:val="en-US" w:eastAsia="zh-CN" w:bidi="ar-SA"/>
        </w:rPr>
        <w:t>-9</w:t>
      </w:r>
      <w:r>
        <w:rPr>
          <w:rFonts w:hint="eastAsia" w:ascii="仿宋" w:hAnsi="仿宋" w:eastAsia="仿宋" w:cs="仿宋"/>
          <w:snapToGrid w:val="0"/>
          <w:color w:val="000000"/>
          <w:spacing w:val="11"/>
          <w:kern w:val="0"/>
          <w:sz w:val="30"/>
          <w:szCs w:val="30"/>
          <w:lang w:val="en-US" w:eastAsia="en-US" w:bidi="ar-SA"/>
        </w:rPr>
        <w:t>月，</w:t>
      </w:r>
      <w:r>
        <w:rPr>
          <w:rFonts w:hint="eastAsia" w:ascii="仿宋" w:hAnsi="仿宋" w:eastAsia="仿宋" w:cs="仿宋"/>
          <w:snapToGrid w:val="0"/>
          <w:color w:val="000000"/>
          <w:spacing w:val="11"/>
          <w:kern w:val="0"/>
          <w:sz w:val="30"/>
          <w:szCs w:val="30"/>
          <w:lang w:val="en-US" w:eastAsia="zh-CN" w:bidi="ar-SA"/>
        </w:rPr>
        <w:t>发布第三方资产评估机构报名公告、项目承担主体报名公告，</w:t>
      </w:r>
      <w:r>
        <w:rPr>
          <w:rFonts w:hint="eastAsia" w:ascii="仿宋" w:hAnsi="仿宋" w:eastAsia="仿宋" w:cs="仿宋"/>
          <w:snapToGrid w:val="0"/>
          <w:color w:val="000000"/>
          <w:spacing w:val="11"/>
          <w:kern w:val="0"/>
          <w:sz w:val="30"/>
          <w:szCs w:val="30"/>
          <w:lang w:val="en-US" w:eastAsia="en-US" w:bidi="ar-SA"/>
        </w:rPr>
        <w:t>对项目承担</w:t>
      </w:r>
      <w:r>
        <w:rPr>
          <w:rFonts w:hint="eastAsia" w:ascii="仿宋" w:hAnsi="仿宋" w:eastAsia="仿宋" w:cs="仿宋"/>
          <w:snapToGrid w:val="0"/>
          <w:color w:val="000000"/>
          <w:spacing w:val="11"/>
          <w:kern w:val="0"/>
          <w:sz w:val="30"/>
          <w:szCs w:val="30"/>
          <w:lang w:val="en-US" w:eastAsia="zh-CN" w:bidi="ar-SA"/>
        </w:rPr>
        <w:t>主体</w:t>
      </w:r>
      <w:r>
        <w:rPr>
          <w:rFonts w:hint="eastAsia" w:ascii="仿宋" w:hAnsi="仿宋" w:eastAsia="仿宋" w:cs="仿宋"/>
          <w:snapToGrid w:val="0"/>
          <w:color w:val="000000"/>
          <w:spacing w:val="11"/>
          <w:kern w:val="0"/>
          <w:sz w:val="30"/>
          <w:szCs w:val="30"/>
          <w:lang w:val="en-US" w:eastAsia="en-US" w:bidi="ar-SA"/>
        </w:rPr>
        <w:t>审核、公示，组织青贮培训。</w:t>
      </w:r>
      <w:r>
        <w:rPr>
          <w:rFonts w:hint="eastAsia" w:ascii="仿宋" w:hAnsi="仿宋" w:eastAsia="仿宋" w:cs="仿宋"/>
          <w:snapToGrid w:val="0"/>
          <w:color w:val="000000"/>
          <w:spacing w:val="11"/>
          <w:kern w:val="0"/>
          <w:sz w:val="30"/>
          <w:szCs w:val="30"/>
          <w:lang w:val="en-US" w:eastAsia="zh-CN" w:bidi="ar-SA"/>
        </w:rPr>
        <w:t>市</w:t>
      </w:r>
      <w:r>
        <w:rPr>
          <w:rFonts w:hint="eastAsia" w:ascii="仿宋" w:hAnsi="仿宋" w:eastAsia="仿宋" w:cs="仿宋"/>
          <w:snapToGrid w:val="0"/>
          <w:color w:val="000000"/>
          <w:spacing w:val="11"/>
          <w:kern w:val="0"/>
          <w:sz w:val="30"/>
          <w:szCs w:val="30"/>
          <w:lang w:val="en-US" w:eastAsia="en-US" w:bidi="ar-SA"/>
        </w:rPr>
        <w:t>局</w:t>
      </w:r>
      <w:r>
        <w:rPr>
          <w:rFonts w:hint="eastAsia" w:ascii="仿宋" w:hAnsi="仿宋" w:eastAsia="仿宋" w:cs="仿宋"/>
          <w:snapToGrid w:val="0"/>
          <w:color w:val="000000"/>
          <w:spacing w:val="11"/>
          <w:kern w:val="0"/>
          <w:sz w:val="30"/>
          <w:szCs w:val="30"/>
          <w:lang w:val="en-US" w:eastAsia="zh-CN" w:bidi="ar-SA"/>
        </w:rPr>
        <w:t>对</w:t>
      </w:r>
      <w:r>
        <w:rPr>
          <w:rFonts w:hint="eastAsia" w:ascii="仿宋" w:hAnsi="仿宋" w:eastAsia="仿宋" w:cs="仿宋"/>
          <w:snapToGrid w:val="0"/>
          <w:color w:val="000000"/>
          <w:spacing w:val="11"/>
          <w:kern w:val="0"/>
          <w:sz w:val="30"/>
          <w:szCs w:val="30"/>
          <w:lang w:val="en-US" w:eastAsia="en-US" w:bidi="ar-SA"/>
        </w:rPr>
        <w:t>项目承担单位收贮前</w:t>
      </w:r>
      <w:r>
        <w:rPr>
          <w:rFonts w:hint="eastAsia" w:ascii="仿宋" w:hAnsi="仿宋" w:eastAsia="仿宋" w:cs="仿宋"/>
          <w:snapToGrid w:val="0"/>
          <w:color w:val="000000"/>
          <w:spacing w:val="11"/>
          <w:kern w:val="0"/>
          <w:sz w:val="30"/>
          <w:szCs w:val="30"/>
          <w:lang w:val="en-US" w:eastAsia="zh-CN" w:bidi="ar-SA"/>
        </w:rPr>
        <w:t>的</w:t>
      </w:r>
      <w:r>
        <w:rPr>
          <w:rFonts w:hint="eastAsia" w:ascii="仿宋" w:hAnsi="仿宋" w:eastAsia="仿宋" w:cs="仿宋"/>
          <w:snapToGrid w:val="0"/>
          <w:color w:val="000000"/>
          <w:spacing w:val="11"/>
          <w:kern w:val="0"/>
          <w:sz w:val="30"/>
          <w:szCs w:val="30"/>
          <w:lang w:val="en-US" w:eastAsia="en-US" w:bidi="ar-SA"/>
        </w:rPr>
        <w:t>收贮能力</w:t>
      </w:r>
      <w:r>
        <w:rPr>
          <w:rFonts w:hint="eastAsia" w:ascii="仿宋" w:hAnsi="仿宋" w:eastAsia="仿宋" w:cs="仿宋"/>
          <w:snapToGrid w:val="0"/>
          <w:color w:val="000000"/>
          <w:spacing w:val="11"/>
          <w:kern w:val="0"/>
          <w:sz w:val="30"/>
          <w:szCs w:val="30"/>
          <w:lang w:val="en-US" w:eastAsia="zh-CN" w:bidi="ar-SA"/>
        </w:rPr>
        <w:t>进行</w:t>
      </w:r>
      <w:r>
        <w:rPr>
          <w:rFonts w:hint="eastAsia" w:ascii="仿宋" w:hAnsi="仿宋" w:eastAsia="仿宋" w:cs="仿宋"/>
          <w:snapToGrid w:val="0"/>
          <w:color w:val="000000"/>
          <w:spacing w:val="11"/>
          <w:kern w:val="0"/>
          <w:sz w:val="30"/>
          <w:szCs w:val="30"/>
          <w:lang w:val="en-US" w:eastAsia="en-US" w:bidi="ar-SA"/>
        </w:rPr>
        <w:t>抽</w:t>
      </w:r>
      <w:r>
        <w:rPr>
          <w:rFonts w:hint="eastAsia" w:ascii="仿宋" w:hAnsi="仿宋" w:eastAsia="仿宋" w:cs="仿宋"/>
          <w:snapToGrid w:val="0"/>
          <w:color w:val="000000"/>
          <w:spacing w:val="11"/>
          <w:kern w:val="0"/>
          <w:sz w:val="30"/>
          <w:szCs w:val="30"/>
          <w:lang w:val="en-US" w:eastAsia="zh-CN" w:bidi="ar-SA"/>
        </w:rPr>
        <w:t>验</w:t>
      </w:r>
      <w:r>
        <w:rPr>
          <w:rFonts w:hint="eastAsia" w:ascii="仿宋" w:hAnsi="仿宋" w:eastAsia="仿宋" w:cs="仿宋"/>
          <w:snapToGrid w:val="0"/>
          <w:color w:val="000000"/>
          <w:spacing w:val="11"/>
          <w:kern w:val="0"/>
          <w:sz w:val="30"/>
          <w:szCs w:val="30"/>
          <w:lang w:val="en-US" w:eastAsia="en-US" w:bidi="ar-SA"/>
        </w:rPr>
        <w:t>。</w:t>
      </w:r>
    </w:p>
    <w:p w14:paraId="6BAC111D">
      <w:pPr>
        <w:spacing w:line="579" w:lineRule="exact"/>
        <w:ind w:firstLine="644" w:firstLineChars="200"/>
        <w:rPr>
          <w:rFonts w:hint="default" w:ascii="仿宋" w:hAnsi="仿宋" w:eastAsia="仿宋" w:cs="仿宋"/>
          <w:snapToGrid w:val="0"/>
          <w:color w:val="000000"/>
          <w:spacing w:val="11"/>
          <w:kern w:val="0"/>
          <w:sz w:val="30"/>
          <w:szCs w:val="30"/>
          <w:lang w:val="en-US" w:eastAsia="zh-CN" w:bidi="ar-SA"/>
        </w:rPr>
      </w:pPr>
      <w:r>
        <w:rPr>
          <w:rFonts w:hint="eastAsia" w:ascii="仿宋" w:hAnsi="仿宋" w:eastAsia="仿宋" w:cs="仿宋"/>
          <w:snapToGrid w:val="0"/>
          <w:color w:val="000000"/>
          <w:spacing w:val="11"/>
          <w:kern w:val="0"/>
          <w:sz w:val="30"/>
          <w:szCs w:val="30"/>
          <w:lang w:val="en-US" w:eastAsia="en-US" w:bidi="ar-SA"/>
        </w:rPr>
        <w:t>202</w:t>
      </w:r>
      <w:r>
        <w:rPr>
          <w:rFonts w:hint="eastAsia" w:ascii="仿宋" w:hAnsi="仿宋" w:eastAsia="仿宋" w:cs="仿宋"/>
          <w:snapToGrid w:val="0"/>
          <w:color w:val="000000"/>
          <w:spacing w:val="11"/>
          <w:kern w:val="0"/>
          <w:sz w:val="30"/>
          <w:szCs w:val="30"/>
          <w:lang w:val="en-US" w:eastAsia="zh-CN" w:bidi="ar-SA"/>
        </w:rPr>
        <w:t>5</w:t>
      </w:r>
      <w:r>
        <w:rPr>
          <w:rFonts w:hint="eastAsia" w:ascii="仿宋" w:hAnsi="仿宋" w:eastAsia="仿宋" w:cs="仿宋"/>
          <w:snapToGrid w:val="0"/>
          <w:color w:val="000000"/>
          <w:spacing w:val="11"/>
          <w:kern w:val="0"/>
          <w:sz w:val="30"/>
          <w:szCs w:val="30"/>
          <w:lang w:val="en-US" w:eastAsia="en-US" w:bidi="ar-SA"/>
        </w:rPr>
        <w:t>年10-11月，</w:t>
      </w:r>
      <w:r>
        <w:rPr>
          <w:rFonts w:hint="eastAsia" w:ascii="仿宋" w:hAnsi="仿宋" w:eastAsia="仿宋" w:cs="仿宋"/>
          <w:snapToGrid w:val="0"/>
          <w:color w:val="000000"/>
          <w:spacing w:val="11"/>
          <w:kern w:val="0"/>
          <w:sz w:val="30"/>
          <w:szCs w:val="30"/>
          <w:lang w:val="en-US" w:eastAsia="zh-CN" w:bidi="ar-SA"/>
        </w:rPr>
        <w:t>第三方</w:t>
      </w:r>
      <w:r>
        <w:rPr>
          <w:rFonts w:hint="eastAsia" w:ascii="仿宋" w:hAnsi="仿宋" w:eastAsia="仿宋" w:cs="仿宋"/>
          <w:snapToGrid w:val="0"/>
          <w:color w:val="000000"/>
          <w:spacing w:val="11"/>
          <w:kern w:val="0"/>
          <w:sz w:val="30"/>
          <w:szCs w:val="30"/>
          <w:lang w:val="en-US" w:eastAsia="en-US" w:bidi="ar-SA"/>
        </w:rPr>
        <w:t>对粮改饲项目承担单位收贮量进行实地测量</w:t>
      </w:r>
      <w:r>
        <w:rPr>
          <w:rFonts w:hint="eastAsia" w:ascii="仿宋" w:hAnsi="仿宋" w:eastAsia="仿宋" w:cs="仿宋"/>
          <w:snapToGrid w:val="0"/>
          <w:color w:val="000000"/>
          <w:spacing w:val="11"/>
          <w:kern w:val="0"/>
          <w:sz w:val="30"/>
          <w:szCs w:val="30"/>
          <w:lang w:val="en-US" w:eastAsia="zh-CN" w:bidi="ar-SA"/>
        </w:rPr>
        <w:t>，</w:t>
      </w:r>
      <w:r>
        <w:rPr>
          <w:rFonts w:hint="eastAsia" w:ascii="仿宋" w:hAnsi="仿宋" w:eastAsia="仿宋" w:cs="仿宋"/>
          <w:snapToGrid w:val="0"/>
          <w:color w:val="000000"/>
          <w:spacing w:val="11"/>
          <w:kern w:val="0"/>
          <w:sz w:val="30"/>
          <w:szCs w:val="30"/>
          <w:lang w:val="en-US" w:eastAsia="en-US" w:bidi="ar-SA"/>
        </w:rPr>
        <w:t>并</w:t>
      </w:r>
      <w:r>
        <w:rPr>
          <w:rFonts w:hint="eastAsia" w:ascii="仿宋" w:hAnsi="仿宋" w:eastAsia="仿宋" w:cs="仿宋"/>
          <w:snapToGrid w:val="0"/>
          <w:color w:val="000000"/>
          <w:spacing w:val="11"/>
          <w:kern w:val="0"/>
          <w:sz w:val="30"/>
          <w:szCs w:val="30"/>
          <w:lang w:val="en-US" w:eastAsia="zh-CN" w:bidi="ar-SA"/>
        </w:rPr>
        <w:t>向农业农村局提供验收报告；农业农村局进行抽验。</w:t>
      </w:r>
    </w:p>
    <w:p w14:paraId="3BF30C15">
      <w:pPr>
        <w:spacing w:line="579" w:lineRule="exact"/>
        <w:ind w:firstLine="644" w:firstLineChars="200"/>
        <w:rPr>
          <w:rFonts w:hint="eastAsia" w:ascii="仿宋" w:hAnsi="仿宋" w:eastAsia="仿宋" w:cs="仿宋"/>
          <w:snapToGrid w:val="0"/>
          <w:color w:val="000000"/>
          <w:spacing w:val="11"/>
          <w:kern w:val="0"/>
          <w:sz w:val="30"/>
          <w:szCs w:val="30"/>
          <w:lang w:val="en-US" w:eastAsia="zh-CN" w:bidi="ar-SA"/>
        </w:rPr>
      </w:pPr>
      <w:r>
        <w:rPr>
          <w:rFonts w:hint="eastAsia" w:ascii="仿宋" w:hAnsi="仿宋" w:eastAsia="仿宋" w:cs="仿宋"/>
          <w:snapToGrid w:val="0"/>
          <w:color w:val="000000"/>
          <w:spacing w:val="11"/>
          <w:kern w:val="0"/>
          <w:sz w:val="30"/>
          <w:szCs w:val="30"/>
          <w:lang w:val="en-US" w:eastAsia="en-US" w:bidi="ar-SA"/>
        </w:rPr>
        <w:t>202</w:t>
      </w:r>
      <w:r>
        <w:rPr>
          <w:rFonts w:hint="eastAsia" w:ascii="仿宋" w:hAnsi="仿宋" w:eastAsia="仿宋" w:cs="仿宋"/>
          <w:snapToGrid w:val="0"/>
          <w:color w:val="000000"/>
          <w:spacing w:val="11"/>
          <w:kern w:val="0"/>
          <w:sz w:val="30"/>
          <w:szCs w:val="30"/>
          <w:lang w:val="en-US" w:eastAsia="zh-CN" w:bidi="ar-SA"/>
        </w:rPr>
        <w:t>5</w:t>
      </w:r>
      <w:r>
        <w:rPr>
          <w:rFonts w:hint="eastAsia" w:ascii="仿宋" w:hAnsi="仿宋" w:eastAsia="仿宋" w:cs="仿宋"/>
          <w:snapToGrid w:val="0"/>
          <w:color w:val="000000"/>
          <w:spacing w:val="11"/>
          <w:kern w:val="0"/>
          <w:sz w:val="30"/>
          <w:szCs w:val="30"/>
          <w:lang w:val="en-US" w:eastAsia="en-US" w:bidi="ar-SA"/>
        </w:rPr>
        <w:t>年12月，</w:t>
      </w:r>
      <w:r>
        <w:rPr>
          <w:rFonts w:hint="eastAsia" w:ascii="仿宋" w:hAnsi="仿宋" w:eastAsia="仿宋" w:cs="仿宋"/>
          <w:snapToGrid w:val="0"/>
          <w:color w:val="000000"/>
          <w:spacing w:val="11"/>
          <w:kern w:val="0"/>
          <w:sz w:val="30"/>
          <w:szCs w:val="30"/>
          <w:lang w:val="en-US" w:eastAsia="zh-CN" w:bidi="ar-SA"/>
        </w:rPr>
        <w:t>向市局</w:t>
      </w:r>
      <w:r>
        <w:rPr>
          <w:rFonts w:hint="eastAsia" w:ascii="仿宋" w:hAnsi="仿宋" w:eastAsia="仿宋" w:cs="仿宋"/>
          <w:snapToGrid w:val="0"/>
          <w:color w:val="000000"/>
          <w:spacing w:val="11"/>
          <w:kern w:val="0"/>
          <w:sz w:val="30"/>
          <w:szCs w:val="30"/>
          <w:lang w:val="en-US" w:eastAsia="en-US" w:bidi="ar-SA"/>
        </w:rPr>
        <w:t>报送项目绩效评价报告和粮改饲自查总结</w:t>
      </w:r>
      <w:r>
        <w:rPr>
          <w:rFonts w:hint="eastAsia" w:ascii="仿宋" w:hAnsi="仿宋" w:eastAsia="仿宋" w:cs="仿宋"/>
          <w:snapToGrid w:val="0"/>
          <w:color w:val="000000"/>
          <w:spacing w:val="11"/>
          <w:kern w:val="0"/>
          <w:sz w:val="30"/>
          <w:szCs w:val="30"/>
          <w:lang w:val="en-US" w:eastAsia="zh-CN" w:bidi="ar-SA"/>
        </w:rPr>
        <w:t>。</w:t>
      </w:r>
    </w:p>
    <w:p w14:paraId="0DBF705D">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黑体" w:hAnsi="仿宋" w:eastAsia="黑体"/>
          <w:color w:val="auto"/>
          <w:sz w:val="32"/>
          <w:szCs w:val="32"/>
        </w:rPr>
      </w:pPr>
      <w:r>
        <w:rPr>
          <w:rFonts w:hint="eastAsia" w:ascii="黑体" w:hAnsi="仿宋" w:eastAsia="黑体"/>
          <w:color w:val="auto"/>
          <w:sz w:val="32"/>
          <w:szCs w:val="32"/>
          <w:lang w:val="en-US" w:eastAsia="zh-CN"/>
        </w:rPr>
        <w:t>六</w:t>
      </w:r>
      <w:r>
        <w:rPr>
          <w:rFonts w:hint="eastAsia" w:ascii="黑体" w:hAnsi="仿宋" w:eastAsia="黑体"/>
          <w:color w:val="auto"/>
          <w:sz w:val="32"/>
          <w:szCs w:val="32"/>
        </w:rPr>
        <w:t>、项目资金管理</w:t>
      </w:r>
    </w:p>
    <w:p w14:paraId="37EB047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napToGrid w:val="0"/>
          <w:color w:val="000000"/>
          <w:spacing w:val="11"/>
          <w:kern w:val="0"/>
          <w:sz w:val="30"/>
          <w:szCs w:val="30"/>
          <w:lang w:val="en-US" w:eastAsia="zh-CN" w:bidi="ar-SA"/>
        </w:rPr>
      </w:pPr>
      <w:r>
        <w:rPr>
          <w:rFonts w:hint="eastAsia" w:ascii="楷体_GB2312" w:hAnsi="仿宋" w:eastAsia="楷体_GB2312"/>
          <w:color w:val="auto"/>
          <w:sz w:val="32"/>
          <w:szCs w:val="32"/>
        </w:rPr>
        <w:t>（一）</w:t>
      </w:r>
      <w:r>
        <w:rPr>
          <w:rFonts w:hint="eastAsia" w:ascii="楷体_GB2312" w:hAnsi="仿宋" w:eastAsia="楷体_GB2312" w:cs="仿宋_GB2312"/>
          <w:color w:val="auto"/>
          <w:sz w:val="32"/>
          <w:szCs w:val="32"/>
        </w:rPr>
        <w:t>实行事前申报、事后补助制度</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val="en-US" w:eastAsia="zh-CN"/>
        </w:rPr>
        <w:t>项目</w:t>
      </w:r>
      <w:r>
        <w:rPr>
          <w:rFonts w:hint="eastAsia" w:ascii="仿宋" w:hAnsi="仿宋" w:eastAsia="仿宋" w:cs="仿宋"/>
          <w:snapToGrid w:val="0"/>
          <w:color w:val="000000"/>
          <w:spacing w:val="11"/>
          <w:kern w:val="0"/>
          <w:sz w:val="30"/>
          <w:szCs w:val="30"/>
          <w:lang w:val="en-US" w:eastAsia="zh-CN" w:bidi="ar-SA"/>
        </w:rPr>
        <w:t>根据省厅下达补贴任务，严格按程序执行。收贮后，市农业农村局在认真做好自验的基础上，</w:t>
      </w:r>
      <w:r>
        <w:rPr>
          <w:rFonts w:hint="eastAsia" w:ascii="仿宋" w:hAnsi="仿宋" w:eastAsia="仿宋" w:cs="仿宋"/>
          <w:snapToGrid w:val="0"/>
          <w:color w:val="000000"/>
          <w:spacing w:val="21"/>
          <w:kern w:val="0"/>
          <w:sz w:val="30"/>
          <w:szCs w:val="30"/>
          <w:lang w:val="en-US" w:eastAsia="zh-CN" w:bidi="ar-SA"/>
        </w:rPr>
        <w:t>根据第三方提供的数据</w:t>
      </w:r>
      <w:r>
        <w:rPr>
          <w:rFonts w:hint="eastAsia" w:ascii="仿宋" w:hAnsi="仿宋" w:eastAsia="仿宋" w:cs="仿宋"/>
          <w:snapToGrid w:val="0"/>
          <w:color w:val="000000"/>
          <w:spacing w:val="11"/>
          <w:kern w:val="0"/>
          <w:sz w:val="30"/>
          <w:szCs w:val="30"/>
          <w:lang w:val="en-US" w:eastAsia="zh-CN" w:bidi="ar-SA"/>
        </w:rPr>
        <w:t>汇总各补贴对象名称、地址、核定的收贮任务、实际验收贮量、补贴标准、补贴金额，在市政务网站进行公示，接受社会监督，做到草、窖、款一致，公示期7天。公示无异议后，将补贴信息报送唐山市农业农村局审核备案。遵化市财政局应按有关规定，根据农业农村局审核提供的补贴信息及时进行资金清算。</w:t>
      </w:r>
    </w:p>
    <w:p w14:paraId="643AC165">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 w:hAnsi="仿宋" w:eastAsia="仿宋" w:cs="仿宋"/>
          <w:snapToGrid w:val="0"/>
          <w:color w:val="000000"/>
          <w:spacing w:val="11"/>
          <w:kern w:val="0"/>
          <w:sz w:val="30"/>
          <w:szCs w:val="30"/>
          <w:lang w:val="en-US" w:eastAsia="zh-CN" w:bidi="ar-SA"/>
        </w:rPr>
      </w:pPr>
      <w:r>
        <w:rPr>
          <w:rFonts w:hint="eastAsia" w:ascii="楷体_GB2312" w:hAnsi="仿宋" w:eastAsia="楷体_GB2312"/>
          <w:color w:val="000000"/>
          <w:sz w:val="32"/>
          <w:szCs w:val="32"/>
        </w:rPr>
        <w:t>（二）</w:t>
      </w:r>
      <w:r>
        <w:rPr>
          <w:rFonts w:hint="eastAsia" w:ascii="楷体_GB2312" w:hAnsi="仿宋" w:eastAsia="楷体_GB2312" w:cs="仿宋_GB2312"/>
          <w:color w:val="000000"/>
          <w:sz w:val="32"/>
          <w:szCs w:val="32"/>
        </w:rPr>
        <w:t>精准统计，按时填报信息</w:t>
      </w:r>
      <w:r>
        <w:rPr>
          <w:rFonts w:hint="eastAsia" w:ascii="仿宋_GB2312" w:hAnsi="仿宋" w:eastAsia="仿宋_GB2312" w:cs="仿宋_GB2312"/>
          <w:color w:val="000000"/>
          <w:sz w:val="32"/>
          <w:szCs w:val="32"/>
        </w:rPr>
        <w:t>。</w:t>
      </w:r>
      <w:r>
        <w:rPr>
          <w:rFonts w:hint="eastAsia" w:ascii="仿宋" w:hAnsi="仿宋" w:eastAsia="仿宋" w:cs="仿宋"/>
          <w:snapToGrid w:val="0"/>
          <w:color w:val="000000"/>
          <w:spacing w:val="11"/>
          <w:kern w:val="0"/>
          <w:sz w:val="30"/>
          <w:szCs w:val="30"/>
          <w:lang w:val="en-US" w:eastAsia="zh-CN" w:bidi="ar-SA"/>
        </w:rPr>
        <w:t>农业农村局安排专人，实施精准统计，及时、准确、完整的填报农业农村部粮改饲项目管理系统。按照省农业农村厅财务管理信息平台填报要求，及时填报相关信息，定期报送项目阶段性执行情况。</w:t>
      </w:r>
    </w:p>
    <w:p w14:paraId="39A0C2CE">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 w:hAnsi="仿宋" w:eastAsia="仿宋" w:cs="仿宋"/>
          <w:snapToGrid w:val="0"/>
          <w:color w:val="000000"/>
          <w:spacing w:val="11"/>
          <w:kern w:val="0"/>
          <w:sz w:val="30"/>
          <w:szCs w:val="30"/>
          <w:lang w:val="en-US" w:eastAsia="zh-CN" w:bidi="ar-SA"/>
        </w:rPr>
      </w:pPr>
      <w:r>
        <w:rPr>
          <w:rFonts w:hint="eastAsia" w:ascii="楷体_GB2312" w:hAnsi="仿宋" w:eastAsia="楷体_GB2312"/>
          <w:color w:val="000000"/>
          <w:sz w:val="32"/>
          <w:szCs w:val="32"/>
        </w:rPr>
        <w:t>（三）</w:t>
      </w:r>
      <w:r>
        <w:rPr>
          <w:rFonts w:hint="eastAsia" w:ascii="楷体_GB2312" w:hAnsi="仿宋_GB2312" w:eastAsia="楷体_GB2312" w:cs="仿宋_GB2312"/>
          <w:sz w:val="32"/>
          <w:szCs w:val="32"/>
        </w:rPr>
        <w:t>实行专人专帐管理、专款专用，建立台账制度</w:t>
      </w:r>
      <w:r>
        <w:rPr>
          <w:rFonts w:hint="eastAsia" w:ascii="楷体" w:hAnsi="楷体" w:eastAsia="楷体" w:cs="楷体"/>
          <w:sz w:val="32"/>
          <w:szCs w:val="32"/>
        </w:rPr>
        <w:t>。</w:t>
      </w:r>
      <w:r>
        <w:rPr>
          <w:rFonts w:hint="eastAsia" w:ascii="仿宋" w:hAnsi="仿宋" w:eastAsia="仿宋" w:cs="仿宋"/>
          <w:snapToGrid w:val="0"/>
          <w:color w:val="000000"/>
          <w:spacing w:val="11"/>
          <w:kern w:val="0"/>
          <w:sz w:val="30"/>
          <w:szCs w:val="30"/>
          <w:lang w:val="en-US" w:eastAsia="zh-CN" w:bidi="ar-SA"/>
        </w:rPr>
        <w:t>财务部门要严格按照国家和省有关项目资金管理的规定，做到款物相符、账款一致、随时可查，严禁超范围使用，挪用和冒领。切实加强资金</w:t>
      </w:r>
    </w:p>
    <w:p w14:paraId="6C62531C">
      <w:pPr>
        <w:keepNext w:val="0"/>
        <w:keepLines w:val="0"/>
        <w:pageBreakBefore w:val="0"/>
        <w:widowControl w:val="0"/>
        <w:kinsoku/>
        <w:wordWrap/>
        <w:overflowPunct/>
        <w:topLinePunct w:val="0"/>
        <w:autoSpaceDE/>
        <w:autoSpaceDN/>
        <w:bidi w:val="0"/>
        <w:spacing w:line="570" w:lineRule="exact"/>
        <w:ind w:left="0" w:firstLine="644" w:firstLineChars="200"/>
        <w:textAlignment w:val="auto"/>
        <w:rPr>
          <w:rFonts w:hint="eastAsia" w:ascii="仿宋" w:hAnsi="仿宋" w:eastAsia="仿宋" w:cs="仿宋"/>
          <w:snapToGrid w:val="0"/>
          <w:color w:val="000000"/>
          <w:spacing w:val="11"/>
          <w:kern w:val="0"/>
          <w:sz w:val="30"/>
          <w:szCs w:val="30"/>
          <w:lang w:val="en-US" w:eastAsia="zh-CN" w:bidi="ar-SA"/>
        </w:rPr>
      </w:pPr>
      <w:r>
        <w:rPr>
          <w:rFonts w:hint="eastAsia" w:ascii="仿宋" w:hAnsi="仿宋" w:eastAsia="仿宋" w:cs="仿宋"/>
          <w:snapToGrid w:val="0"/>
          <w:color w:val="000000"/>
          <w:spacing w:val="11"/>
          <w:kern w:val="0"/>
          <w:sz w:val="30"/>
          <w:szCs w:val="30"/>
          <w:lang w:val="en-US" w:eastAsia="zh-CN" w:bidi="ar-SA"/>
        </w:rPr>
        <w:t>监管，建立严格的资金审批和审计监督制度。对违反财经纪律，挪用、套取补贴资金的，一经发现，严肃处理。</w:t>
      </w:r>
    </w:p>
    <w:p w14:paraId="35E4DA89">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eastAsia="仿宋_GB2312"/>
          <w:color w:val="000000"/>
          <w:kern w:val="0"/>
          <w:sz w:val="32"/>
          <w:szCs w:val="32"/>
        </w:rPr>
      </w:pPr>
      <w:r>
        <w:rPr>
          <w:rFonts w:hint="eastAsia" w:ascii="黑体" w:hAnsi="黑体" w:eastAsia="黑体"/>
          <w:sz w:val="32"/>
          <w:szCs w:val="32"/>
          <w:lang w:val="en-US" w:eastAsia="zh-CN"/>
        </w:rPr>
        <w:t>七</w:t>
      </w:r>
      <w:r>
        <w:rPr>
          <w:rFonts w:hint="eastAsia" w:ascii="黑体" w:hAnsi="黑体" w:eastAsia="黑体"/>
          <w:sz w:val="32"/>
          <w:szCs w:val="32"/>
        </w:rPr>
        <w:t>、保障措施</w:t>
      </w:r>
    </w:p>
    <w:p w14:paraId="384100D3">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 w:hAnsi="仿宋" w:eastAsia="仿宋" w:cs="仿宋"/>
          <w:snapToGrid w:val="0"/>
          <w:color w:val="000000"/>
          <w:spacing w:val="11"/>
          <w:kern w:val="0"/>
          <w:sz w:val="30"/>
          <w:szCs w:val="30"/>
          <w:lang w:val="en-US" w:eastAsia="zh-CN" w:bidi="ar-SA"/>
        </w:rPr>
      </w:pPr>
      <w:r>
        <w:rPr>
          <w:rFonts w:hint="eastAsia" w:eastAsia="楷体_GB2312"/>
          <w:bCs/>
          <w:sz w:val="32"/>
          <w:szCs w:val="32"/>
        </w:rPr>
        <w:t>（一）</w:t>
      </w:r>
      <w:r>
        <w:rPr>
          <w:rFonts w:eastAsia="楷体_GB2312"/>
          <w:bCs/>
          <w:sz w:val="32"/>
          <w:szCs w:val="32"/>
        </w:rPr>
        <w:t>加强组织领导。</w:t>
      </w:r>
      <w:r>
        <w:rPr>
          <w:rFonts w:hint="eastAsia" w:ascii="仿宋" w:hAnsi="仿宋" w:eastAsia="仿宋" w:cs="仿宋"/>
          <w:snapToGrid w:val="0"/>
          <w:color w:val="000000"/>
          <w:spacing w:val="11"/>
          <w:kern w:val="0"/>
          <w:sz w:val="30"/>
          <w:szCs w:val="30"/>
          <w:lang w:val="en-US" w:eastAsia="zh-CN" w:bidi="ar-SA"/>
        </w:rPr>
        <w:t>农业农村局要高度重视粮改饲工作，建立完善工作机制，按照组织计划到位、监督管理到位、情况调度到位、宣传引导到位的要求，细化明确工作责任，保障工作条件，狠抓政策落实，确保项目资金到场到户、取得实效。</w:t>
      </w:r>
    </w:p>
    <w:p w14:paraId="5265D1B3">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 w:hAnsi="仿宋" w:eastAsia="仿宋" w:cs="仿宋"/>
          <w:snapToGrid w:val="0"/>
          <w:color w:val="000000"/>
          <w:spacing w:val="11"/>
          <w:kern w:val="0"/>
          <w:sz w:val="30"/>
          <w:szCs w:val="30"/>
          <w:lang w:val="en-US" w:eastAsia="zh-CN" w:bidi="ar-SA"/>
        </w:rPr>
      </w:pPr>
      <w:r>
        <w:rPr>
          <w:rFonts w:hint="eastAsia" w:eastAsia="楷体_GB2312"/>
          <w:bCs/>
          <w:sz w:val="32"/>
          <w:szCs w:val="32"/>
        </w:rPr>
        <w:t>（二）强化政策宣传。</w:t>
      </w:r>
      <w:r>
        <w:rPr>
          <w:rFonts w:hint="eastAsia" w:ascii="仿宋" w:hAnsi="仿宋" w:eastAsia="仿宋" w:cs="仿宋"/>
          <w:snapToGrid w:val="0"/>
          <w:color w:val="000000"/>
          <w:spacing w:val="11"/>
          <w:kern w:val="0"/>
          <w:sz w:val="30"/>
          <w:szCs w:val="30"/>
          <w:lang w:val="en-US" w:eastAsia="zh-CN" w:bidi="ar-SA"/>
        </w:rPr>
        <w:t>广泛利用明白纸、网络等形式，向广大群众宣传粮改饲重要意义和具体政策，传播典型经验，用鲜活事例激发市场主体参与粮改饲的热情和积极性，提升社会关注度，注重经验总结，完善典型模式。</w:t>
      </w:r>
    </w:p>
    <w:p w14:paraId="2107BE05">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 w:hAnsi="仿宋" w:eastAsia="仿宋" w:cs="仿宋"/>
          <w:snapToGrid w:val="0"/>
          <w:color w:val="000000"/>
          <w:spacing w:val="11"/>
          <w:kern w:val="0"/>
          <w:sz w:val="30"/>
          <w:szCs w:val="30"/>
          <w:lang w:val="en-US" w:eastAsia="zh-CN" w:bidi="ar-SA"/>
        </w:rPr>
      </w:pPr>
      <w:r>
        <w:rPr>
          <w:rFonts w:hint="eastAsia" w:eastAsia="楷体_GB2312"/>
          <w:bCs/>
          <w:sz w:val="32"/>
          <w:szCs w:val="32"/>
        </w:rPr>
        <w:t>（三）</w:t>
      </w:r>
      <w:r>
        <w:rPr>
          <w:rFonts w:hint="eastAsia" w:eastAsia="楷体_GB2312"/>
          <w:bCs/>
          <w:sz w:val="32"/>
          <w:szCs w:val="32"/>
          <w:lang w:eastAsia="zh-CN"/>
        </w:rPr>
        <w:t>实施智能化管理。</w:t>
      </w:r>
      <w:r>
        <w:rPr>
          <w:rFonts w:hint="eastAsia" w:ascii="仿宋" w:hAnsi="仿宋" w:eastAsia="仿宋" w:cs="仿宋"/>
          <w:snapToGrid w:val="0"/>
          <w:color w:val="000000"/>
          <w:spacing w:val="11"/>
          <w:kern w:val="0"/>
          <w:sz w:val="30"/>
          <w:szCs w:val="30"/>
          <w:lang w:val="en-US" w:eastAsia="zh-CN" w:bidi="ar-SA"/>
        </w:rPr>
        <w:t>根据唐山市农业农村局《关于加强全市全株玉米青贮项目监管工作的通知》要求，我市农业农村局要督促各实施主体安装可视化监控设备，与遵化市农业农村局视频追溯平台联网，视频数据与唐山市农业农村局平台对接。农业农村监管人员、第三方资产评估机构、养殖场（户）通过电脑终端或手机端进行视频查看。实现监管、安全、管理、自动化等全方面于一体。视频监控安装资金由项目实施主体担负。视频监管系统建设技术规范按照市局文件执行。</w:t>
      </w:r>
    </w:p>
    <w:p w14:paraId="79DA4827">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仿宋" w:hAnsi="仿宋" w:eastAsia="仿宋" w:cs="仿宋"/>
          <w:snapToGrid w:val="0"/>
          <w:color w:val="000000"/>
          <w:spacing w:val="11"/>
          <w:kern w:val="0"/>
          <w:sz w:val="30"/>
          <w:szCs w:val="30"/>
          <w:lang w:val="en-US" w:eastAsia="zh-CN" w:bidi="ar-SA"/>
        </w:rPr>
      </w:pPr>
      <w:r>
        <w:rPr>
          <w:rFonts w:eastAsia="楷体_GB2312"/>
          <w:bCs/>
          <w:sz w:val="32"/>
          <w:szCs w:val="32"/>
        </w:rPr>
        <w:t>（</w:t>
      </w:r>
      <w:r>
        <w:rPr>
          <w:rFonts w:hint="eastAsia" w:eastAsia="楷体_GB2312"/>
          <w:bCs/>
          <w:sz w:val="32"/>
          <w:szCs w:val="32"/>
        </w:rPr>
        <w:t>四</w:t>
      </w:r>
      <w:r>
        <w:rPr>
          <w:rFonts w:eastAsia="楷体_GB2312"/>
          <w:bCs/>
          <w:sz w:val="32"/>
          <w:szCs w:val="32"/>
        </w:rPr>
        <w:t>）</w:t>
      </w:r>
      <w:r>
        <w:rPr>
          <w:rFonts w:hint="eastAsia" w:eastAsia="楷体_GB2312"/>
          <w:bCs/>
          <w:sz w:val="32"/>
          <w:szCs w:val="32"/>
        </w:rPr>
        <w:t>规范项目管理。</w:t>
      </w:r>
      <w:r>
        <w:rPr>
          <w:rFonts w:hint="eastAsia" w:ascii="仿宋" w:hAnsi="仿宋" w:eastAsia="仿宋" w:cs="仿宋"/>
          <w:snapToGrid w:val="0"/>
          <w:color w:val="000000"/>
          <w:spacing w:val="11"/>
          <w:kern w:val="0"/>
          <w:sz w:val="30"/>
          <w:szCs w:val="30"/>
          <w:lang w:val="en-US" w:eastAsia="zh-CN" w:bidi="ar-SA"/>
        </w:rPr>
        <w:t>按照“受益对象明确、贮存地点清楚、收贮数量准确、款物台账详细”的原则，规范做好项目实施工作。安排专人认真做好粮改饲信息统计和相关数据收集整理工作，及时收集、整理、归档、报送包括摸底资料、实施方案、检查核验资料、公示材料、补贴资金发放明细、资金发放以及政策实施图像视频等文件资料，做到“纸质文件留档、电子文件管理”。</w:t>
      </w:r>
    </w:p>
    <w:p w14:paraId="2F535303">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eastAsia" w:ascii="方正仿宋_GBK" w:hAnsi="方正仿宋_GBK" w:eastAsia="方正仿宋_GBK" w:cs="方正仿宋_GBK"/>
          <w:color w:val="auto"/>
          <w:sz w:val="32"/>
          <w:szCs w:val="32"/>
          <w:shd w:val="clear" w:color="auto" w:fill="FFFFFF"/>
          <w:lang w:eastAsia="zh-CN"/>
        </w:rPr>
      </w:pPr>
    </w:p>
    <w:p w14:paraId="54A9063E"/>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2F168">
    <w:pPr>
      <w:spacing w:line="181" w:lineRule="auto"/>
      <w:rPr>
        <w:rFonts w:ascii="Times New Roman" w:hAnsi="Times New Roman" w:eastAsia="Times New Roman" w:cs="Times New Roman"/>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EA698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EEA698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ACBAB">
    <w:pPr>
      <w:pStyle w:val="4"/>
    </w:pPr>
    <w:bookmarkStart w:id="4" w:name="_GoBack"/>
    <w:bookmarkEnd w:id="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1212E"/>
    <w:rsid w:val="0559114E"/>
    <w:rsid w:val="0569770A"/>
    <w:rsid w:val="16712FAA"/>
    <w:rsid w:val="174172F6"/>
    <w:rsid w:val="1E2025BA"/>
    <w:rsid w:val="1F585254"/>
    <w:rsid w:val="230F0271"/>
    <w:rsid w:val="27AE2D28"/>
    <w:rsid w:val="2A905451"/>
    <w:rsid w:val="2B2B4476"/>
    <w:rsid w:val="2E993D43"/>
    <w:rsid w:val="313E1032"/>
    <w:rsid w:val="33FE3CBC"/>
    <w:rsid w:val="35C26765"/>
    <w:rsid w:val="3756134B"/>
    <w:rsid w:val="3F6D6CEA"/>
    <w:rsid w:val="422222AC"/>
    <w:rsid w:val="431B3238"/>
    <w:rsid w:val="43F6203A"/>
    <w:rsid w:val="45AB4FC8"/>
    <w:rsid w:val="4A83232E"/>
    <w:rsid w:val="4C923B89"/>
    <w:rsid w:val="4EF1259F"/>
    <w:rsid w:val="55A412AA"/>
    <w:rsid w:val="60BC1D59"/>
    <w:rsid w:val="61566E0B"/>
    <w:rsid w:val="6AEB7A73"/>
    <w:rsid w:val="6DC7605C"/>
    <w:rsid w:val="6DF86FE5"/>
    <w:rsid w:val="6E2C56FF"/>
    <w:rsid w:val="71DE1BCB"/>
    <w:rsid w:val="73C31DAD"/>
    <w:rsid w:val="73C95CE9"/>
    <w:rsid w:val="77706C23"/>
    <w:rsid w:val="7937139F"/>
    <w:rsid w:val="7EBE1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4001</Words>
  <Characters>4126</Characters>
  <Lines>0</Lines>
  <Paragraphs>0</Paragraphs>
  <TotalTime>2</TotalTime>
  <ScaleCrop>false</ScaleCrop>
  <LinksUpToDate>false</LinksUpToDate>
  <CharactersWithSpaces>4186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2025-06-13T07:03:00Z</dcterms:created>
  <dc:creator>Administrator</dc:creator>
  <cp:lastModifiedBy>陈瑞新</cp:lastModifiedBy>
  <dcterms:modified xsi:type="dcterms:W3CDTF">2025-07-22T06:51:02Z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eyJoZGlkIjoiYTYwNzczZTExZmY5M2NiZGNjOTcyODhmYjUwZDk1ZjEiLCJ1c2VySWQiOiIxMDE1NTE1MTU5In0=</vt:lpwstr>
  </property>
  <property fmtid="{D5CDD505-2E9C-101B-9397-08002B2CF9AE}" pid="4" name="ICV">
    <vt:lpwstr>6F5A688141BE4F69A607A677841F23A6_12</vt:lpwstr>
  </property>
</Properties>
</file>