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遵化市政协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遵化市政协编制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1.政协招商资金绩效目标表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2.政协八届二次全会会议费绩效目标表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3.政协委员调研视察活动费绩效目标表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4.政协委员培训学习议政活动费绩效目标表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5.政协慰问老干部补贴绩效目标表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6.政协文史资料整理编印费绩效目标表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numPr>
          <w:ilvl w:val="0"/>
          <w:numId w:val="1"/>
        </w:num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  <w:szCs w:val="28"/>
        </w:rPr>
        <w:t>总体绩效目标</w:t>
      </w:r>
      <w:bookmarkEnd w:id="0"/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宋体" w:hAnsi="宋体" w:eastAsia="黑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以习近平新时代中国特色社会主义思想为指导，深入学习贯彻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习近平总书记重要讲话精神以及党的十九大和十九届历次全会精神，认真对照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省委、唐山市委和遵化市委政协工作会议精神，紧扣团结和民主两大主题，认真履行政治协商、民主监督、参政议政三项职能，围绕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12346”工作思路，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坚持“产业强市、文旅兴遵、产融富民”，坚持建言资政和凝聚共识双向发力，坚持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“跟得紧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，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贴得近、承得重、落得实”原则，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充分发挥政协职能作用，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干在实处、走在前列，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为加快建设“书香遵化、富强遵化、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生态遵化、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文明遵化”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奋力开创我市高质量发展新局面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贡献智慧和力量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，以优异成绩迎接党的二十大胜利召开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。</w:t>
      </w:r>
    </w:p>
    <w:p>
      <w:pPr>
        <w:pStyle w:val="8"/>
        <w:rPr>
          <w:sz w:val="28"/>
          <w:szCs w:val="28"/>
        </w:rPr>
      </w:pPr>
    </w:p>
    <w:p>
      <w:pPr>
        <w:spacing w:before="10" w:after="10"/>
        <w:ind w:firstLine="560"/>
        <w:jc w:val="left"/>
        <w:outlineLvl w:val="1"/>
        <w:rPr>
          <w:sz w:val="28"/>
          <w:szCs w:val="28"/>
        </w:rPr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  <w:szCs w:val="28"/>
        </w:rPr>
        <w:t>二、分项绩效目标</w:t>
      </w:r>
      <w:bookmarkEnd w:id="1"/>
    </w:p>
    <w:p>
      <w:pPr>
        <w:spacing w:before="10" w:after="10"/>
        <w:ind w:firstLine="560"/>
        <w:jc w:val="left"/>
        <w:outlineLvl w:val="1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（一）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政协招商资金绩效目标项目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绩效目标：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通过内引外联为我市招商引资发挥作用，为遵化经济再创辉贡献力量。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绩效指标：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招商活动签约率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≥9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%；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开展招商活动场次和内容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≥90%；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强化招商引资工作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≥9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%。</w:t>
      </w:r>
    </w:p>
    <w:p>
      <w:pPr>
        <w:spacing w:before="10" w:after="10"/>
        <w:ind w:firstLine="560"/>
        <w:jc w:val="left"/>
        <w:outlineLvl w:val="1"/>
        <w:rPr>
          <w:rFonts w:hint="default" w:ascii="方正楷体简体" w:hAnsi="方正楷体简体" w:eastAsia="方正楷体简体" w:cs="方正楷体简体"/>
          <w:color w:val="000000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（二）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政协八届二次会议费绩效目标项目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绩效目标：聚焦改革发展的重大举措调研资政、助力发声，努力在推进高质量发展中履职担当、展现作为。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绩效指标：调研及时率≥95%；委员履职缺席率≤1%；关注民生、履职为民工作落实率≥95%。</w:t>
      </w:r>
    </w:p>
    <w:p>
      <w:pPr>
        <w:numPr>
          <w:ilvl w:val="0"/>
          <w:numId w:val="2"/>
        </w:numPr>
        <w:spacing w:before="10" w:after="10"/>
        <w:ind w:firstLine="560"/>
        <w:jc w:val="left"/>
        <w:outlineLvl w:val="1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政协委员调研视察活动费绩效目标项目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绩效目标：紧紧围绕市政府中心工作，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开展调研视察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积极协调市领导谋大事，解难事。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绩效指标：协调解决规划建设中重点事项≥95%；综合业务管理工作完成率≥95%；热点难点问题解决率≥95%。</w:t>
      </w:r>
    </w:p>
    <w:p>
      <w:pPr>
        <w:numPr>
          <w:numId w:val="0"/>
        </w:numPr>
        <w:spacing w:before="10" w:after="10"/>
        <w:jc w:val="left"/>
        <w:outlineLvl w:val="1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</w:pPr>
    </w:p>
    <w:p>
      <w:pPr>
        <w:spacing w:before="10" w:after="10"/>
        <w:ind w:firstLine="560"/>
        <w:jc w:val="left"/>
        <w:outlineLvl w:val="1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（四）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政协委员培训学习议政活动费绩效目标项目</w:t>
      </w:r>
    </w:p>
    <w:p>
      <w:pPr>
        <w:spacing w:before="10" w:after="10"/>
        <w:ind w:firstLine="560"/>
        <w:jc w:val="left"/>
        <w:outlineLvl w:val="1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绩效目标：坚持协商民主，发挥专门协商机构作用围绕经济社会发展广泛协商建言。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绩效指标：提高协商实效率≥95%；重点提案落实率≥95%；热点难点问题解决率≥95%。</w:t>
      </w:r>
    </w:p>
    <w:p>
      <w:pPr>
        <w:spacing w:before="10" w:after="10"/>
        <w:ind w:firstLine="560"/>
        <w:jc w:val="left"/>
        <w:outlineLvl w:val="1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（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政协慰问老干部补贴绩效目标项目</w:t>
      </w:r>
    </w:p>
    <w:p>
      <w:pPr>
        <w:spacing w:before="10" w:after="10"/>
        <w:ind w:firstLine="560"/>
        <w:jc w:val="left"/>
        <w:outlineLvl w:val="1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绩效目标：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用于重阳节、春节慰问政协老干部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绩效指标：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经费保障人数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≥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27。</w:t>
      </w:r>
    </w:p>
    <w:p>
      <w:pPr>
        <w:spacing w:before="10" w:after="10"/>
        <w:ind w:firstLine="560"/>
        <w:jc w:val="left"/>
        <w:outlineLvl w:val="1"/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（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六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政协文史资料整理编印费绩效目标项目</w:t>
      </w:r>
    </w:p>
    <w:p>
      <w:pPr>
        <w:spacing w:before="10" w:after="10"/>
        <w:ind w:firstLine="560"/>
        <w:jc w:val="left"/>
        <w:outlineLvl w:val="1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绩效目标：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发挥文史工作作用，加大遵化文史资料征编力度，打造精品文史出版质量。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绩效指标：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印刷合格率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≥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100%；省志印刷成果满意度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≥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98%。</w:t>
      </w:r>
    </w:p>
    <w:p>
      <w:pPr>
        <w:pStyle w:val="9"/>
        <w:ind w:left="0" w:leftChars="0" w:firstLine="0" w:firstLineChars="0"/>
        <w:rPr>
          <w:rFonts w:hint="eastAsia" w:eastAsia="方正仿宋_GBK"/>
          <w:sz w:val="28"/>
          <w:szCs w:val="28"/>
          <w:lang w:eastAsia="zh-CN"/>
        </w:rPr>
      </w:pPr>
    </w:p>
    <w:p>
      <w:pPr>
        <w:spacing w:before="10" w:after="10"/>
        <w:ind w:firstLine="560"/>
        <w:jc w:val="left"/>
        <w:outlineLvl w:val="1"/>
        <w:rPr>
          <w:sz w:val="28"/>
          <w:szCs w:val="28"/>
        </w:rPr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  <w:szCs w:val="28"/>
        </w:rPr>
        <w:t>三、工作保障措施</w:t>
      </w:r>
      <w:bookmarkEnd w:id="2"/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（一）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完善制度建设，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制定完善预算绩效管理制度、资金管理办法、工作保障制度等，为全年预算绩效目标的实现奠定制度基础。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（二）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加强支出管理，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（三）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加强绩效运行监控，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按要求开展绩效运行监控，发现问题及时采取措施，确保绩效目标如期保质实现。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（四）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做好绩效自评，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按要求开展上年度部门预算绩效自评和重点评价工作，对评价中发现的问题及时整改，调整优化支出结构，提高财政资金使用效益。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（五）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规范财务资产管理，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完善财务管理制度，严格审批程序，加强固定资产登记、使用和报废处置管理，做到支出合理，物尽其用。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（六）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加强内部监督，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（七）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加强宣传培训调研等，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line="550" w:lineRule="exact"/>
        <w:ind w:firstLine="560" w:firstLineChars="200"/>
        <w:rPr>
          <w:rFonts w:hint="eastAsia" w:ascii="宋体" w:hAnsi="宋体" w:eastAsia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（八）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为促进经济发展建言献策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方正仿宋简体"/>
          <w:sz w:val="28"/>
          <w:szCs w:val="28"/>
        </w:rPr>
        <w:t>围绕“12346”工作思路，紧扣“产业强市、文旅兴遵、产融富民”，针对社会各界关心关注的争创“国家级现代农业产业园”、推动“双代一清”工作，推进清洁取暖示范区建设；“国家卫生城市”创建；加强园区建设；民生实事工程开展议政活动，加强同相关部门的协调联动，提出有针</w:t>
      </w:r>
      <w:r>
        <w:rPr>
          <w:rFonts w:hint="eastAsia" w:ascii="宋体" w:hAnsi="宋体" w:eastAsia="方正仿宋简体"/>
          <w:color w:val="auto"/>
          <w:sz w:val="28"/>
          <w:szCs w:val="28"/>
        </w:rPr>
        <w:t>对性的意见建议。</w:t>
      </w:r>
    </w:p>
    <w:p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（九）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抓好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</w:rPr>
        <w:t>民生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服务工作，</w:t>
      </w:r>
      <w:r>
        <w:rPr>
          <w:rFonts w:hint="eastAsia" w:ascii="宋体" w:hAnsi="宋体" w:eastAsia="方正仿宋简体"/>
          <w:sz w:val="28"/>
          <w:szCs w:val="28"/>
        </w:rPr>
        <w:t>围绕打赢生态修复持久战，开展全域治水清水润城行动；大力推动国土绿化攻坚行动，争创“国家森林城市”；建设唐山首个“内陆港”，打造遵化的“水运口岸”；做好长城文化遗产开发保护工作，助推“长城国家文化公园”建设；打造“资源共享、统一指挥”的综合平台，加快</w:t>
      </w:r>
      <w:r>
        <w:rPr>
          <w:rFonts w:hint="eastAsia" w:ascii="宋体" w:hAnsi="宋体" w:eastAsia="方正仿宋简体"/>
          <w:color w:val="auto"/>
          <w:sz w:val="28"/>
          <w:szCs w:val="28"/>
        </w:rPr>
        <w:t>智慧城市建设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等重点工作，深入开展协商议政活动，推动市委、市政府决策部署的落实，促进实现更高质量、更有效率、更可持续的发展。</w:t>
      </w:r>
    </w:p>
    <w:p>
      <w:pPr>
        <w:spacing w:line="55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（十）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增强提案办理实效，</w:t>
      </w:r>
      <w:r>
        <w:rPr>
          <w:rFonts w:hint="eastAsia" w:ascii="宋体" w:hAnsi="宋体" w:eastAsia="方正仿宋简体"/>
          <w:sz w:val="28"/>
          <w:szCs w:val="28"/>
        </w:rPr>
        <w:t>把协商理念贯穿于提案提出、审查、交办、承办、督办、答复等各个环节，形成重点提案领导办理协商、热点提案集中办理协商、系列提案归类办理协商等多形式协商模式。加强与市委、市政府及承办单位联系沟通，充分发挥重点提案办理的示范引领作用，深入承办单位采取专题调研、听取汇报、现场视察、召开协商座谈会等形式开展各类督办活动，搭建好协商平台，推动提案落实落地。</w:t>
      </w:r>
    </w:p>
    <w:p>
      <w:pPr>
        <w:adjustRightInd w:val="0"/>
        <w:snapToGrid w:val="0"/>
        <w:spacing w:line="570" w:lineRule="exact"/>
        <w:ind w:firstLine="560" w:firstLineChars="200"/>
        <w:rPr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（十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组织各监督小组开展集中监督活动，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围绕工作中存在的问题和不足，提出意见建议。</w:t>
      </w:r>
      <w:r>
        <w:rPr>
          <w:rFonts w:hint="eastAsia" w:ascii="宋体" w:hAnsi="宋体" w:eastAsia="方正仿宋简体"/>
          <w:sz w:val="28"/>
          <w:szCs w:val="28"/>
        </w:rPr>
        <w:t>围绕补齐城市建设短板，加强城区道路交通建设；精准治“气”，打赢蓝天保卫战；推进我市营商环境持续优化；提升公共卫生服务工作；全国文明城市常态化创建；加强冷链食品安全监管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组织开展专项监督活动，找准工作短板，精准聚力发力，推动全市重点工作的落实。。</w:t>
      </w:r>
    </w:p>
    <w:p>
      <w:pPr>
        <w:adjustRightInd w:val="0"/>
        <w:snapToGrid w:val="0"/>
        <w:spacing w:line="57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（十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营造民主团结氛围，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充分发挥政协团结统战功能，组织委员和界别群众进一步增强大局意识和服务意识，在项目建设、生态环境治理、改善民生等工作中，多做协调关系、理顺情绪、增进共识、加强团结的工作。密切与非公有制经济人士、新的社会阶层的联系交流，推动构建“亲”“清”政商关系。发挥少数民族和宗教界委员作用，促进民族团结、宗教和睦。。</w:t>
      </w:r>
    </w:p>
    <w:p>
      <w:pPr>
        <w:adjustRightInd w:val="0"/>
        <w:snapToGrid w:val="0"/>
        <w:spacing w:line="570" w:lineRule="exact"/>
        <w:ind w:firstLine="560" w:firstLineChars="200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（十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）</w:t>
      </w:r>
      <w:r>
        <w:rPr>
          <w:rFonts w:hint="eastAsia" w:ascii="方正楷体简体" w:hAnsi="方正楷体简体" w:eastAsia="方正楷体简体" w:cs="方正楷体简体"/>
          <w:color w:val="000000"/>
          <w:sz w:val="28"/>
          <w:szCs w:val="28"/>
          <w:lang w:eastAsia="zh-CN"/>
        </w:rPr>
        <w:t>为群众办好事实事，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围绕教育医疗、社会保障、公共服务等群众关心关注的问题进行调研、视察，组织委员积极投身扶贫济困等公益活动，开展好送法律、医疗、文化、科技下乡活动，为基层群众送去温暖。通过调研、视察、提案、社情民意等方式，听取群众意见建议，了解群众所想、所盼，及时向市委、市政府反映群众的合理需求。</w:t>
      </w:r>
      <w:bookmarkStart w:id="9" w:name="_GoBack"/>
      <w:bookmarkEnd w:id="9"/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1.政协招商资金绩效目标表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131001遵化市政协本级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13028122P00344610001G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政协招商资金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13</w:t>
            </w:r>
            <w:r>
              <w:t>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13</w:t>
            </w:r>
            <w:r>
              <w:t>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招商引资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1.通过内引外联，最大限度地为我市招商引资发挥作用，为遵化经济再创辉煌贡献力量，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举办招商引资活动数量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举办招商引资活动数量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招商活动的签约项目个数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招商活动的签约项目个数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≥5个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招商活动的签约率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招商活动的签约率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2022年12月底完成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预算资金执行率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预算资金执行率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实际开展招商活动场次和内容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实际开展招商活动场次和内容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强化招商引资工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强化招商引资工作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2.政协八届二次全会会议费绩效目标表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131001遵化市政协本级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13028122P00241210001H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政协八届二次全会会议费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政协八届二次会议费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完成调研报告数量（篇）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完成调研报告数量（篇）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≥30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依据相关政策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报告可用程度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报告可用程度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≥30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依据相关政策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报告完成时间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报告完成时间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依据相关政策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往年标准计算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依据相关政策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带动社会资金投资比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带动社会资金投入与扶持奖励资金比例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≥40%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依据相关政策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≥50%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依据相关政策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依据相关政策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3.政协委员调研视察活动费绩效目标表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131001遵化市政协本级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13028122P003180100014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政协委员调研视察活动费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政协委员调研视察活动费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1.符合遵化发展实际和群众意愿，更有操作性的对策建议，助推遵化创新发展、协调发展、高质量发展。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调研报告篇数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调研报告篇数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≥30篇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调研报告完成数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调研报告完成数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报告完成时间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报告完成时间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依据财政要求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对地区工作贡献率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对地区工作贡献率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基本公共服务水平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基本公共服务水平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通过问卷调查，满意和较满意的对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通过问卷调查，满意和较满意的对象占所有调查对象的比例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4.政协委员培训学习议政活动费绩效目标表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131001遵化市政协本级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13028122P00278410002A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政协委员培训学习议政活动费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用于政协委员培训学习及议政活动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1.不断提高政协委员和机关干部的政治把握能力、服务大局能力和实际工作能力，全面提升履职能力和水平。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培训人员数（名）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培训人员数（名）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≥200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≥22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培训效果影响程度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培训效果影响程度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培训工作经济效益提升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培训工作经济效益提升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≥99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5.政协慰问老干部补贴绩效目标表</w:t>
      </w:r>
      <w:bookmarkEnd w:id="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131001遵化市政协本级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13028122P00344210001R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政协慰问老干部补贴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用于重阳节、春节慰问政协老干部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1.通过重阳节、春节对他们送去温暖，能使他们最大限度地感受到组织的关怀，从而使他们发挥余热、弘扬正能量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单位经费保障人数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≥27人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遵化市委老干部局文件，遵老干字[2022]1号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群众文化活动参与率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群众文化活动参与率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遵化市委老干部局文件，遵老干字[2022]1号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遵化市委老干部局文件，遵老干字[2022]1号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人均发放水平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人均发放水平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遵化市委老干部局文件，遵老干字[2022]1号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节约经费开支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践行厉行节约反对浪费制度体系建设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遵化市委老干部局文件，遵老干字[2022]1号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遵化市委老干部局文件，遵老干字[2022]1号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遵化市委老干部局文件，遵老干字[2022]1号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年初预算执行情况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严格执行年初预算，有效防止超预算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遵化市委老干部局文件，遵老干字[2022]1号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遵化市委老干部局文件，遵老干字[2022]1号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6.政协文史资料整理编印费绩效目标表</w:t>
      </w:r>
      <w:bookmarkEnd w:id="8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131001遵化市政协本级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13028122P002781100029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政协文史资料整理编印费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用于政协文史资料整理编制印刷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1.发挥文史工作“存史、资政、团结、育人”作用，加大文史资料征编力度，抓住征集、研究、编纂三个关键环节，打造精品，提高文史资料征编出版质量。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印刷册数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印刷册数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≥2000册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印刷合格率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印刷合格率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按时完成印刷任务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按时完成印刷任务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印刷费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印制信息采集宣传页、各种政策折页等相关材料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有价值信息采用率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有价值信息采用率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带动基础研究投入多元化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带动基础研究投入多元化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印刷成果满意度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省志印刷成果满意度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依据相关政策标准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B05B5"/>
    <w:multiLevelType w:val="singleLevel"/>
    <w:tmpl w:val="AD7B05B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61FFF2"/>
    <w:multiLevelType w:val="singleLevel"/>
    <w:tmpl w:val="EB61FF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31E67"/>
    <w:rsid w:val="281873D3"/>
    <w:rsid w:val="44C77644"/>
    <w:rsid w:val="44F04DF8"/>
    <w:rsid w:val="535509A5"/>
    <w:rsid w:val="5A6D4CAA"/>
    <w:rsid w:val="66C9125C"/>
    <w:rsid w:val="6FD45D35"/>
    <w:rsid w:val="7EF31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2022-02-11T09:23:42Z</dcterms:created>
  <dcterms:modified xsi:type="dcterms:W3CDTF">2022-02-11T01:23:42Z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2022-02-11T09:23:43Z</dcterms:created>
  <dcterms:modified xsi:type="dcterms:W3CDTF">2022-02-11T01:23:43Z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2022-02-11T09:23:43Z</dcterms:created>
  <dcterms:modified xsi:type="dcterms:W3CDTF">2022-02-11T01:23:43Z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2022-02-11T09:23:43Z</dcterms:created>
  <dcterms:modified xsi:type="dcterms:W3CDTF">2022-02-11T01:23:43Z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2022-02-11T09:23:42Z</dcterms:created>
  <dcterms:modified xsi:type="dcterms:W3CDTF">2022-02-11T01:23:42Z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2022-02-11T09:23:42Z</dcterms:created>
  <dcterms:modified xsi:type="dcterms:W3CDTF">2022-02-11T01:23:42Z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2022-02-11T09:23:42Z</dcterms:created>
  <dcterms:modified xsi:type="dcterms:W3CDTF">2022-02-11T01:23:42Z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2022-02-11T09:23:42Z</dcterms:created>
  <dcterms:modified xsi:type="dcterms:W3CDTF">2022-02-11T01:23:42Z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a8757ea-ff50-499b-9cfd-8f2b875893c9}">
  <ds:schemaRefs/>
</ds:datastoreItem>
</file>

<file path=customXml/itemProps10.xml><?xml version="1.0" encoding="utf-8"?>
<ds:datastoreItem xmlns:ds="http://schemas.openxmlformats.org/officeDocument/2006/customXml" ds:itemID="{d596cc03-c3cd-4a3c-97e3-e7c634bff1ba}">
  <ds:schemaRefs/>
</ds:datastoreItem>
</file>

<file path=customXml/itemProps11.xml><?xml version="1.0" encoding="utf-8"?>
<ds:datastoreItem xmlns:ds="http://schemas.openxmlformats.org/officeDocument/2006/customXml" ds:itemID="{d6570d0d-e401-4a55-b0d2-9c6b1897d023}">
  <ds:schemaRefs/>
</ds:datastoreItem>
</file>

<file path=customXml/itemProps12.xml><?xml version="1.0" encoding="utf-8"?>
<ds:datastoreItem xmlns:ds="http://schemas.openxmlformats.org/officeDocument/2006/customXml" ds:itemID="{50234e28-795e-41f8-b105-29e37c94bf40}">
  <ds:schemaRefs/>
</ds:datastoreItem>
</file>

<file path=customXml/itemProps13.xml><?xml version="1.0" encoding="utf-8"?>
<ds:datastoreItem xmlns:ds="http://schemas.openxmlformats.org/officeDocument/2006/customXml" ds:itemID="{5f6a54c0-ed3a-473a-aa25-235df85f6a06}">
  <ds:schemaRefs/>
</ds:datastoreItem>
</file>

<file path=customXml/itemProps14.xml><?xml version="1.0" encoding="utf-8"?>
<ds:datastoreItem xmlns:ds="http://schemas.openxmlformats.org/officeDocument/2006/customXml" ds:itemID="{d6ed4175-490e-438a-a4d7-829a0b29b6b1}">
  <ds:schemaRefs/>
</ds:datastoreItem>
</file>

<file path=customXml/itemProps15.xml><?xml version="1.0" encoding="utf-8"?>
<ds:datastoreItem xmlns:ds="http://schemas.openxmlformats.org/officeDocument/2006/customXml" ds:itemID="{0d2cb3ad-ab05-4e9c-a553-f6395cd0ed8b}">
  <ds:schemaRefs/>
</ds:datastoreItem>
</file>

<file path=customXml/itemProps16.xml><?xml version="1.0" encoding="utf-8"?>
<ds:datastoreItem xmlns:ds="http://schemas.openxmlformats.org/officeDocument/2006/customXml" ds:itemID="{74a6ad2b-524d-48fc-b798-dc6befe589c3}">
  <ds:schemaRefs/>
</ds:datastoreItem>
</file>

<file path=customXml/itemProps2.xml><?xml version="1.0" encoding="utf-8"?>
<ds:datastoreItem xmlns:ds="http://schemas.openxmlformats.org/officeDocument/2006/customXml" ds:itemID="{2207b698-7f45-4d1c-9cd6-74e473a394d2}">
  <ds:schemaRefs/>
</ds:datastoreItem>
</file>

<file path=customXml/itemProps3.xml><?xml version="1.0" encoding="utf-8"?>
<ds:datastoreItem xmlns:ds="http://schemas.openxmlformats.org/officeDocument/2006/customXml" ds:itemID="{f06f3e23-0f0e-4693-9187-55ddd807f8c9}">
  <ds:schemaRefs/>
</ds:datastoreItem>
</file>

<file path=customXml/itemProps4.xml><?xml version="1.0" encoding="utf-8"?>
<ds:datastoreItem xmlns:ds="http://schemas.openxmlformats.org/officeDocument/2006/customXml" ds:itemID="{93a6db31-e789-4805-9c1a-d94acc6843e7}">
  <ds:schemaRefs/>
</ds:datastoreItem>
</file>

<file path=customXml/itemProps5.xml><?xml version="1.0" encoding="utf-8"?>
<ds:datastoreItem xmlns:ds="http://schemas.openxmlformats.org/officeDocument/2006/customXml" ds:itemID="{19dbc9e4-9aeb-4570-84da-95586645e1c8}">
  <ds:schemaRefs/>
</ds:datastoreItem>
</file>

<file path=customXml/itemProps6.xml><?xml version="1.0" encoding="utf-8"?>
<ds:datastoreItem xmlns:ds="http://schemas.openxmlformats.org/officeDocument/2006/customXml" ds:itemID="{3affcbbc-d231-40e7-acbc-1715c0602138}">
  <ds:schemaRefs/>
</ds:datastoreItem>
</file>

<file path=customXml/itemProps7.xml><?xml version="1.0" encoding="utf-8"?>
<ds:datastoreItem xmlns:ds="http://schemas.openxmlformats.org/officeDocument/2006/customXml" ds:itemID="{f55acf58-c2f7-4019-8332-c42b8bfafffc}">
  <ds:schemaRefs/>
</ds:datastoreItem>
</file>

<file path=customXml/itemProps8.xml><?xml version="1.0" encoding="utf-8"?>
<ds:datastoreItem xmlns:ds="http://schemas.openxmlformats.org/officeDocument/2006/customXml" ds:itemID="{54385dbc-7f83-4b5a-aa38-9137db976f19}">
  <ds:schemaRefs/>
</ds:datastoreItem>
</file>

<file path=customXml/itemProps9.xml><?xml version="1.0" encoding="utf-8"?>
<ds:datastoreItem xmlns:ds="http://schemas.openxmlformats.org/officeDocument/2006/customXml" ds:itemID="{62760acc-ea10-480c-8682-8a06e90e0b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5106</Words>
  <Characters>5547</Characters>
  <Lines>0</Lines>
  <Paragraphs>0</Paragraphs>
  <TotalTime>4</TotalTime>
  <ScaleCrop>false</ScaleCrop>
  <LinksUpToDate>false</LinksUpToDate>
  <CharactersWithSpaces>5690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2022-02-11T09:23:00Z</dcterms:created>
  <dc:creator>Administrator</dc:creator>
  <cp:lastModifiedBy>Administrator</cp:lastModifiedBy>
  <cp:lastPrinted>2022-03-04T02:03:31Z</cp:lastPrinted>
  <dcterms:modified xsi:type="dcterms:W3CDTF">2022-03-04T02:05:43Z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43476FBE573145F3965BD8CF57352061</vt:lpwstr>
  </property>
</Properties>
</file>