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361001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：遵化市卫生健康局（本级）</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遵化市卫生健康局（本级）</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遵化市卫生健康局（本级）</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组织拟订全市国民健康政策，拟订全市卫生健康事业发展相关规范性文件，拟订全市卫生健康规划和政策措施，依法制定地方有关标准和技术规范并组织实施。统筹规划卫生健康资源配置，指导区域卫生健康规划编制和实施。制定并组织实施推进卫生健康基本公共服务均等化、普惠化、便捷化和公共资源向基层延伸等政策措施。 （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 （3）制定并组织落实疾病预防控制规划、国家免疫规划以及危害人民健康公共卫生问题的干预措施。负责卫生应急工作，组织指导突发公共卫生事件的预防控制和各类突发公共事件的医疗卫生救援。负责法定传染病疫情信息的管理工作，依法发布突发公共卫生事件应急处置信息。 （4）组织拟订并协调落实应对人口老龄化政策措施，负责推进老年健康服务体系建设和医养结合工作。 （5）组织实施国家基本药物政策和国家基本药物制度，开展药品使用监测、临床综合评价和短缺药品预警，提出全市基本药物价格政策的建议，参与拟订药品相关规范性文件。组织开展食品安全风险监测和食品安全地方标准的跟踪评价工作。 （6）负责职责范围内的职业卫生、放射卫生、环境卫生、学校卫生、公共场所卫生、饮用水卫生等公共卫生的监督管理，负责传染病防治监督，健全卫生健康综合监督体系。牵头《烟草控制框架公约》履约工作。 （7）制定医疗机构、医疗服务行业管理办法并监督实施，建立医疗服务评价和监督管理体系。制定并组织实施全市医疗服务规范、标准和卫生健康专业技术人员执业规则、服务规范。 （8）负责计划生育管理和服务工作，开展人口监测预警，研究提出人口与家庭发展相关政策建议，完善全市计划生育政策。 （9）指导全市卫生健康工作，指导基层医疗卫生、妇幼健康服务体系和全科医生队伍建设。推进卫生健康科技创新发展。 （10）拟订全市中医药事业发展规划、政策，起草相关规范性文件。参与中医药人才发展、重大中医药项目的规划和组织实施。承担中医医疗、预防、保健、康复及临床用药等监督管理职责。组织实施各类中医、中西医结合医疗机构管理规范和技术标准，指导监督其执业行为。组织实施中医药专业技术人员继续教育和相关人员培训工作。指导中医药科研能力建设，组织开展对中医古籍的整理研究和中医药文化的继承发展，提出保护中医非物质文化遗产的建议，推动中医药防病治病知识普及。 （11）负责市保健对象的医疗保健及服务工作。负责市直部门有关干部医疗管理工作。负责重要会议与重大活动的医疗卫生保障工作。 （12）指导市计划生育协会的业务工作。 （13）完成市委、市政府交办的其他任务。</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遵化市卫生健康局（本级）</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部门（单位）：遵化市卫生健康局（本级）</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16,097.90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16,097.90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262.69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262.69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262.69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262.69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125.09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125.09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96.83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96.83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15,766.36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15,766.36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1,284.40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1,284.40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612.19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612.19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92.29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92.29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其他卫生健康管理事务支出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579.92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579.92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公立医院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1,293.20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1,293.20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妇幼保健医院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其他公立医院支出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基层医疗卫生机构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2,399.19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2,399.19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乡镇卫生院</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2100399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其他基层医疗卫生机构支出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2,391.69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2,391.69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公共卫生</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7,982.20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7,982.20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疾病预防控制机构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基本公共卫生服务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6,487.85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6,487.85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2100409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重大公共卫生服务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402.81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402.81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突发公共卫生事件应急处置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862.60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862.60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其他公共卫生支出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计划生育事务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2,609.58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2,609.58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计划生育服务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2,608.98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2,608.98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2100799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其他计划生育事务支出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157.79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157.79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中医药事务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2101799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其他中医药事务支出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68.85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1,101.52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14,996.38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96.83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96.83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32.92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15,766.36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769.98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14,996.38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1,284.40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672.21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妇幼保健医院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基层医疗卫生机构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乡镇卫生院</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其他基层医疗卫生机构支出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7,982.20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7,982.20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疾病预防控制机构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基本公共卫生服务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其他公共卫生支出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其他计划生育事务支出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157.79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157.79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262.69</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262.69</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15,766.36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15,766.36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68.85</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68.85</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16,097.90</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1"/>
        <w:gridCol w:w="3300"/>
        <w:gridCol w:w="930"/>
        <w:gridCol w:w="558"/>
        <w:gridCol w:w="730"/>
        <w:gridCol w:w="367"/>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编制部门（单位）：遵化市卫生健康局（本级）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16,097.90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1,101.52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14,996.38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262.69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125.09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96.83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32.92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15,766.36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769.98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14,996.38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1,284.40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672.21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612.19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妇幼保健医院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基层医疗卫生机构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乡镇卫生院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其他基层医疗卫生机构支出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7,982.20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疾病预防控制机构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基本公共卫生服务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其他公共卫生支出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计划生育服务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2100799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其他计划生育事务支出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157.79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157.79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124.31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68.85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部门（单位）：遵化市卫生健康局（本级）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953.37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13.08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199.30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0.81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98.23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26.71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76.13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96.83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0.53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32.92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0.15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124.31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0.78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33.49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0.43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68.85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194.80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135.07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132.95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2.96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0.56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1,088.44</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部门（单位）：遵化市卫生健康局（本级）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部门（单位）：遵化市卫生健康局（本级）</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部门（单位）：遵化市卫生健康局（本级）</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6.24</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6.15</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6.15</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0.09</w:t>
            </w: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4.25</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本单位2024年度收、支总计（含结转和结余）均为16,097.90万元。与2023年度决算相比，收支各减少7,229.20万元，下降31.0%，主要原因是。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16,097.90万元，其中：财政拨款收入16,097.90万元，占100.0%​；上级补助收入0.00万元，占0.0%；事业收入0.00万元，占0.0%；经营收入0.00万元，占0.0%；附属单位上缴收入0.00万元，占0.0%；其他收入0.00万元，占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本单位2024年度本年支出合计16,097.90万元，其中：基本支出1,101.52万元，占6.8%；项目支出14,996.38万元，占93.2%；上缴上级支出0.00万元，占0.0%；经营支出0.00万元，占0.0%；对附属单位补助支出0.00万元，占0.0%。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本单位2024年度财政拨款收、支总计（含结转和结余）均为16,097.90万元。与2023年度相比，财政拨款收支各减少7,229.20万元，降低31.0%，主要原因是项目支出减少，如减少去年的安可计算机等。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16,097.90万元,比上年减少7,229.20万元，降低31.0%，主要原因是项目支出减少，如去年的安可计算机等项目；本年支出16,097.90万元，比上年减少7,229.20万元，降低31.0%，主要原因是项目支出减少，如去年的安科计算机等。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16,097.90万元,比上年减少6,029.20万元，降低27.2%，主要原因是项目支出减少，如安科计算机等；本年支出16,097.90万元，比上年减少6,029.20万元，降低27.2%，主要原因是项目支出减少，如安科计算机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政府性基金预算财政拨款本年收入0.00万元，比上年减少1,200.00万元，降低100.0%，主要原因是本年度无政府性基金支出；本年支出0.00万元，比上年减少1,200.00万元，降低100.0%，主要原因是本年度无政府性基金支出。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国有资本经营预算财政拨款本年收入0.00万元，比上年增加0.00万元，增长0.00%，主要原因是本单位无国有资金经营预算；本年支出0.00万元，比上年增加0.00万元，增长0.00%，主要原因是本单位无国有资金经营支出。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本单位2024年度财政拨款本年收入16,097.90万元，完成年初预算的91.2%，比年初预算减少1,557.50万元，决算数小于预算数主要原因是缩减经费支出以及缩减项目支出 ；本年支出16,097.90万元，完成年初预算的91.2%，比年初预算减少1,557.50万元，决算数小于预算数主要原因是缩减经费支出以及缩减项目支出 。具体情况如下：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91.2%，比年初预算减少1,557.50万元，主要原因是缩减经费支出以及缩减项目支出；支出完成年初预算的91.2%，比年初预算减少1,557.50万元，主要原因是缩减经费支出以及缩减项目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0.00万元，主要原因是本年度无政府性基金预算以支出；支出完成年初预算的0.0%，比年初预算增加0.00万元，主要原因是本年度无政府性基金预算以及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0.00万元，主要原因是本单位无国有资本经营预算及支出；支出完成年初预算的0.0%，比年初预算增加0.00万元，主要原因是本单位无国有资本经营预算以及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2024年度财政拨款支出16,097.90万元，主要用于以下方面：</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社会保障和就业 （类）支出262.69万元，占1.6​%，主要用于人员保险以及补助等支出；卫生健康（类）支出15,766.36万元，占97.9%，主要用于奖扶特扶，基本公共卫生、基本药物支出等支出；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r>
        <w:rPr>
          <w:rFonts w:hint="eastAsia" w:ascii="Times New Roman" w:eastAsia="仿宋_GB2312"/>
          <w:b w:val="0"/>
          <w:sz w:val="32"/>
          <w:szCs w:val="32"/>
          <w:lang w:eastAsia="zh-CN"/>
        </w:rPr>
        <w:t>政府性基金预算</w:t>
      </w:r>
      <w:r>
        <w:rPr>
          <w:rFonts w:ascii="Times New Roman" w:eastAsia="仿宋_GB2312"/>
          <w:b w:val="0"/>
          <w:sz w:val="32"/>
          <w:szCs w:val="32"/>
        </w:rPr>
        <w:t>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r>
        <w:rPr>
          <w:rFonts w:hint="eastAsia" w:ascii="Times New Roman" w:eastAsia="仿宋_GB2312"/>
          <w:b w:val="0"/>
          <w:sz w:val="32"/>
          <w:szCs w:val="32"/>
          <w:lang w:eastAsia="zh-CN"/>
        </w:rPr>
        <w:t>国有资本经营预算</w:t>
      </w:r>
      <w:r>
        <w:rPr>
          <w:rFonts w:ascii="Times New Roman" w:eastAsia="仿宋_GB2312"/>
          <w:b w:val="0"/>
          <w:sz w:val="32"/>
          <w:szCs w:val="32"/>
        </w:rPr>
        <w:t>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2024年度财政拨款基本支出1,101.52万元，其中：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1,088.44​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公用经费​​13.08​万元，主要包括办公费、印刷费、咨询费、手续费、水费、电费、邮电费、取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6.24万元，支出决算为4.25万元，完成预算的68.1%，较预算减少1.99万元，降低31.9%，主要原因是按过紧日子要求，缩减经费支出；较2023年度决算减少0.61万元，降低12.6%，主要原因是按过紧日子要求，缩减经费支出。</w:t>
      </w:r>
    </w:p>
    <w:p>
      <w:pPr>
        <w:widowControl/>
        <w:spacing w:before="0" w:beforeLines="0" w:beforeAutospacing="0" w:after="0" w:afterLines="0" w:afterAutospacing="0" w:line="360" w:lineRule="auto"/>
        <w:ind w:firstLine="642"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无；较上年增加0.00万元，增长0.00%,主要原因是无。因公出国（境）团组0个、共0人、参加其他单位组织的因公出国（境）团组0个、共0人/无本部门组织的出国（境）团组。</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6.15万元，支出决算4.25万元，完成预算的69.1%,较预算减少1.90万元，降低30.9%,主要原因是按过紧日子要求，缩减经费支出；较上年减少0.61万元，降低12.6%,主要原因是按过紧日子要求，缩减经费支出。其中：</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 万元。公务用车购置费支出较预算增加0.00万元，增长0.0%,主要原因是无；较上年增加0.00万元，增长0.00%,主要原因是无。</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公务用车运行维护费支出4.25万元：</w:t>
      </w:r>
      <w:r>
        <w:rPr>
          <w:rFonts w:ascii="Times New Roman" w:eastAsia="仿宋_GB2312"/>
          <w:b w:val="0"/>
          <w:sz w:val="32"/>
          <w:szCs w:val="32"/>
        </w:rPr>
        <w:t>本单位2024年度单位公务用车保有量3辆，发生运行维护费支出4.25万元。公车运行维护费支出较预算减少1.90万元，降低30.9%,主要原因是按过紧日子要求，缩减经费支出；较上年减少0.61万元，降低12.6%，主要原因是按过紧日子要求，缩减经费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0.09万元，支出决算0.00万元，完成预算的0.0%。公务接待费支出较预算减少0.09万元，降低100.0%,主要原因是按过紧日子要求，缩减经费支出；较上年度增加0.00万元，增长0.00%,主要原因是按过紧日子要求，缩减经费支出。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本单位2024年度机关运行经费支出13.08万元，较2023年度增加0.39万元，增长3.2%。主要原因是运行经费增加，如电费等。</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3,841.82万元，从采购类型来看，政府采购货物支出136.40万元、政府采购工程支出3,636.32万元、政府采购服务支出69.10万元。授予中小企业合同金额3,762.79万元，占政府采购支出总额的97.9%，其中授予小微企业合同金额3,708.89万元，占政府采购支出总额的96.5%。</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3辆，比上年增加0辆，主要是无变化。其中，副部（省）级及以上领导用车0辆，主要负责人用车0辆，机要通信用车0辆，应急保障用车2辆，执法执勤用车0辆，特种专业技术用车1辆，离退休干部用车0辆，其他用车0辆，其他用车主要是无变化。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14,996.38万元（决算金额）。其中，一般公共预算项目43个，涉及资金14,996.38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组织对基本公共卫生等43个项目开展了部门重点评价，涉及一般公共预算支出14,996.38万元，政府性基金预算支出0万元，国有资本经营预算支出0万元，从评价情况来看，项目完成情况较好，顺利推进。</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本单位在今年部门决算公开中反映基本公共卫生、基本药物制度等43个项目绩效自评结果。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基本公共卫生项目绩效自评情况：根据年初设定的绩效目标，​​​基本公共卫生项目绩效自评得分为100分（绩效自评表附后）。全年预算数为16,323.57万元，执行数为14,996.38​​​万元，完成预算的91.87%。项目绩效目标完成情况：一是建立和完善医疗卫生服务要素的准入制度和退出机制，让群众享有价格合理、质量优良的医疗服务，人民群众的健康水平不断提高；二是建立比较完善的公共卫生服务体系和医疗服务体系，比较健全的医疗保障体系，比较规范的药品供应保障体系，比较科学的医疗卫生机构管理体制和运行机制，促进基本公共卫生服务逐步均等化，实现人人享有基本医疗卫生服务目标。发现的主要问题及原因是：一是跟进不足；二是资金下达慢。下一步改进措施：一是完善制度建设。制定完善预算绩效管理制度、资金管理办法、工作保障制度等，为全年预算绩效目标的实现奠定制度基础。​​​；二是加强绩效运行监控。按要求开展绩效运行监控，发现问题及时采取措施，确保绩效目标如期保质实现。​​</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bookmarkStart w:id="0" w:name="_GoBack"/>
      <w:bookmarkEnd w:id="0"/>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2"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 w:val="FE7FD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23327.1</c:v>
                </c:pt>
                <c:pt idx="1">
                  <c:v>16097.9</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160979028.15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11015189.26</c:v>
                </c:pt>
                <c:pt idx="1">
                  <c:v>149963838.89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23327.1</c:v>
                </c:pt>
                <c:pt idx="1">
                  <c:v>23327.1</c:v>
                </c:pt>
                <c:pt idx="2">
                  <c:v>22127.1</c:v>
                </c:pt>
                <c:pt idx="3">
                  <c:v>22127.1</c:v>
                </c:pt>
                <c:pt idx="4">
                  <c:v>1200</c:v>
                </c:pt>
                <c:pt idx="5">
                  <c:v>1200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16097.9</c:v>
                </c:pt>
                <c:pt idx="1">
                  <c:v>16097.9</c:v>
                </c:pt>
                <c:pt idx="2">
                  <c:v>16097.9</c:v>
                </c:pt>
                <c:pt idx="3">
                  <c:v>16097.9</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17655.4</c:v>
                </c:pt>
                <c:pt idx="1">
                  <c:v>17655.4</c:v>
                </c:pt>
                <c:pt idx="2">
                  <c:v>17655.4</c:v>
                </c:pt>
                <c:pt idx="3">
                  <c:v>17655.4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16097.9</c:v>
                </c:pt>
                <c:pt idx="1">
                  <c:v>16097.9</c:v>
                </c:pt>
                <c:pt idx="2">
                  <c:v>16097.9</c:v>
                </c:pt>
                <c:pt idx="3">
                  <c:v>16097.9</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262.69</c:v>
                </c:pt>
                <c:pt idx="8">
                  <c:v>15766.36</c:v>
                </c:pt>
                <c:pt idx="9">
                  <c:v>0</c:v>
                </c:pt>
                <c:pt idx="10">
                  <c:v>0</c:v>
                </c:pt>
                <c:pt idx="11">
                  <c:v>0</c:v>
                </c:pt>
                <c:pt idx="12">
                  <c:v>0</c:v>
                </c:pt>
                <c:pt idx="13">
                  <c:v>0</c:v>
                </c:pt>
                <c:pt idx="14">
                  <c:v>0</c:v>
                </c:pt>
                <c:pt idx="15">
                  <c:v>0</c:v>
                </c:pt>
                <c:pt idx="16">
                  <c:v>0</c:v>
                </c:pt>
                <c:pt idx="17">
                  <c:v>0</c:v>
                </c:pt>
                <c:pt idx="18">
                  <c:v>68.85</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19</TotalTime>
  <ScaleCrop>false</ScaleCrop>
  <LinksUpToDate>false</LinksUpToDate>
  <CharactersWithSpaces>2170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baixin</cp:lastModifiedBy>
  <cp:lastPrinted>2023-08-04T09:00:00Z</cp:lastPrinted>
  <dcterms:modified xsi:type="dcterms:W3CDTF">2025-09-19T16:17:21Z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