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uto"/>
        <w:jc w:val="both"/>
        <w:rPr>
          <w:rFonts w:hint="eastAsia" w:ascii="楷体_GB2312" w:hAnsi="楷体_GB2312" w:eastAsia="楷体_GB2312" w:cs="楷体_GB2312"/>
          <w:color w:val="000000"/>
          <w:sz w:val="40"/>
          <w:szCs w:val="40"/>
        </w:rPr>
      </w:pPr>
      <w:r>
        <w:drawing>
          <wp:anchor distT="0" distB="0" distL="114300" distR="114300" simplePos="0" relativeHeight="251659264" behindDoc="1" locked="0" layoutInCell="1" allowOverlap="1">
            <wp:simplePos x="0" y="0"/>
            <wp:positionH relativeFrom="column">
              <wp:posOffset>-1692910</wp:posOffset>
            </wp:positionH>
            <wp:positionV relativeFrom="paragraph">
              <wp:posOffset>-1319530</wp:posOffset>
            </wp:positionV>
            <wp:extent cx="8646795" cy="11107420"/>
            <wp:effectExtent l="0" t="0" r="1905" b="5080"/>
            <wp:wrapNone/>
            <wp:docPr id="15" name="图片 15" descr="7b0a202020202266696c746572223a202230220a7d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7b0a202020202266696c746572223a202230220a7d0a"/>
                    <pic:cNvPicPr>
                      <a:picLocks noChangeAspect="1"/>
                    </pic:cNvPicPr>
                  </pic:nvPicPr>
                  <pic:blipFill>
                    <a:blip r:embed="rId12">
                      <a:lum bright="6000"/>
                    </a:blip>
                    <a:srcRect t="559" b="3637"/>
                    <a:stretch>
                      <a:fillRect/>
                    </a:stretch>
                  </pic:blipFill>
                  <pic:spPr>
                    <a:xfrm>
                      <a:off x="0" y="0"/>
                      <a:ext cx="8646795" cy="11107420"/>
                    </a:xfrm>
                    <a:prstGeom prst="rect">
                      <a:avLst/>
                    </a:prstGeom>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column">
                  <wp:posOffset>-546735</wp:posOffset>
                </wp:positionH>
                <wp:positionV relativeFrom="paragraph">
                  <wp:posOffset>253365</wp:posOffset>
                </wp:positionV>
                <wp:extent cx="6431280" cy="2862580"/>
                <wp:effectExtent l="0" t="0" r="0" b="0"/>
                <wp:wrapNone/>
                <wp:docPr id="1" name="文本框 1" descr="7b0a2020202022776f7264617274223a20227b5c2269645c223a32353030323136362c5c227469645c223a5c225c227d220a7d0a"/>
                <wp:cNvGraphicFramePr>
                  <a:extLst xmlns:a="http://schemas.openxmlformats.org/drawingml/2006/main">
                    <a:ext uri="{7FBC4E63-A832-4D11-8238-D91031DB1400}">
                      <s:tag xmlns="http://www.wps.cn/officeDocument/2013/wpsCustomData" xmlns:s="http://www.wps.cn/officeDocument/2013/wpsCustomData">
                        <s:item s:name="KSO_DOCER_RESOURCE_TRACE_INFO" s:val="{&quot;id&quot;:&quot;&quot;,&quot;origin&quot;:0,&quot;type&quot;:&quot;wordart&quot;,&quot;user&quot;:&quot;292216292&quot;}"/>
                      </s:tag>
                    </a:ext>
                  </a:extLst>
                </wp:cNvGraphicFramePr>
                <a:graphic xmlns:a="http://schemas.openxmlformats.org/drawingml/2006/main">
                  <a:graphicData uri="http://schemas.microsoft.com/office/word/2010/wordprocessingShape">
                    <wps:wsp>
                      <wps:cNvSpPr txBox="1"/>
                      <wps:spPr>
                        <a:xfrm>
                          <a:off x="0" y="0"/>
                          <a:ext cx="6431280" cy="2862580"/>
                        </a:xfrm>
                        <a:prstGeom prst="rect">
                          <a:avLst/>
                        </a:prstGeom>
                        <a:noFill/>
                        <a:ln>
                          <a:noFill/>
                        </a:ln>
                        <a:effectLst/>
                      </wps:spPr>
                      <wps:txbx>
                        <w:txbxContent>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2024年度</w:t>
                            </w:r>
                          </w:p>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部门决算公开文本</w:t>
                            </w:r>
                          </w:p>
                        </w:txbxContent>
                      </wps:txbx>
                      <wps:bodyPr upright="1"/>
                    </wps:wsp>
                  </a:graphicData>
                </a:graphic>
              </wp:anchor>
            </w:drawing>
          </mc:Choice>
          <mc:Fallback>
            <w:pict>
              <v:shape id="_x0000_s1026" o:spid="_x0000_s1026" o:spt="202" alt="7b0a2020202022776f7264617274223a20227b5c2269645c223a32353030323136362c5c227469645c223a5c225c227d220a7d0a" type="#_x0000_t202" style="position:absolute;left:0pt;margin-left:-43.05pt;margin-top:19.95pt;height:225.4pt;width:506.4pt;z-index:251660288;mso-width-relative:page;mso-height-relative:page;" filled="f" stroked="f" coordsize="21600,21600" o:gfxdata="UEsFBgAAAAAAAAAAAAAAAAAAAAAAAFBLAwQKAAAAAACHTuJAAAAAAAAAAAAAAAAABAAAAGRycy9Q&#10;SwMEFAAAAAgAh07iQF2yz97YAAAACgEAAA8AAABkcnMvZG93bnJldi54bWxNj8tOwzAQRfdI/IM1&#10;SOxaO6WkdcikCxBbEOUhsXPjaRIRj6PYbcLfY1awHN2je8+Uu9n14kxj6DwjZEsFgrj2tuMG4e31&#10;cbEFEaJha3rPhPBNAXbV5UVpCusnfqHzPjYilXAoDEIb41BIGeqWnAlLPxCn7OhHZ2I6x0ba0Uyp&#10;3PVypVQunek4LbRmoPuW6q/9ySG8Px0/P9bquXlwt8PkZyXZaYl4fZWpOxCR5vgHw69+UocqOR38&#10;iW0QPcJim2cJRbjRGkQC9CrfgDggrLXagKxK+f+F6gdQSwMEFAAAAAgAh07iQKNa9/H2AQAAzgMA&#10;AA4AAABkcnMvZTJvRG9jLnhtbK1TzY6bMBC+V+o7WL43gCGQopCVqmh7qdpKu30AY0ywhH9kO4G8&#10;QPsGPfXSe58rz9Ex0Ox297KHlSXj+Wb8eb6ZYXszyh6duHVCqwonqxgjrphuhDpU+Nv97bsNRs5T&#10;1dBeK17hM3f4Zvf2zXYwJSe6033DLQIS5crBVLjz3pRR5FjHJXUrbbgCZ6utpB5Me4gaSwdgl31E&#10;4jiPBm0bYzXjzgG6n514YbQvIdRtKxjfa3aUXPmZ1fKeepDkOmEc3k3Zti1n/kvbOu5RX2FQ6qcd&#10;HoFzHfZot6XlwVLTCbakQF+SwhNNkgoFj16p9tRTdLTiGZUUzGqnW79iWkazkKkioCKJn9TmrqOG&#10;T1qg1M5ci+5ej5Z9Pn21SDQwCRgpKqHhl58/Lr/+XH5/RwA13DEoV1HHlMTLIkWRtwXJszwpSJER&#10;kgYfKeo1IyR/n2fhm9KUpOs0hkXSJM3TnLCAF9lDRLAnrCEkpkUT09CPwbgS0rozkJgfP+gx5Lbg&#10;DsBQ5rG1MnyhgAj80M3ztZt89IgBmGdpQjbgYuAjm5yswQCe6OG6sc5/5FqicKiwhXGZukhPn5yf&#10;Q/+FhNeUvhV9Dzgte/UfAJwzwqeZW24HJXPG4eTHelxk1Lo5g7qjseLQwcOTvigEQZunDJeRDHP0&#10;2Ibz499w9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Bdss/e2AAAAAoBAAAPAAAAAAAAAAEAIAAA&#10;ADgAAABkcnMvZG93bnJldi54bWxQSwECFAAUAAAACACHTuJAo1r38fYBAADOAwAADgAAAAAAAAAB&#10;ACAAAAA9AQAAZHJzL2Uyb0RvYy54bWxQSwUGAAAAAAYABgBZAQAApQUAAAAA&#10;">
                <v:fill on="f" focussize="0,0"/>
                <v:stroke on="f"/>
                <v:imagedata o:title=""/>
                <o:lock v:ext="edit" aspectratio="f"/>
                <v:textbox>
                  <w:txbxContent>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2024年度</w:t>
                      </w:r>
                    </w:p>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部门决算公开文本</w:t>
                      </w:r>
                    </w:p>
                  </w:txbxContent>
                </v:textbox>
              </v:shape>
            </w:pict>
          </mc:Fallback>
        </mc:AlternateContent>
      </w: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left"/>
        <w:rPr>
          <w:rFonts w:hint="eastAsia" w:ascii="楷体_GB2312" w:hAnsi="楷体_GB2312" w:eastAsia="楷体_GB2312" w:cs="楷体_GB2312"/>
          <w:color w:val="000000"/>
          <w:sz w:val="40"/>
          <w:szCs w:val="40"/>
          <w:lang w:val="en-US" w:eastAsia="zh-CN"/>
        </w:rPr>
      </w:pPr>
      <w:r>
        <w:rPr>
          <w:rFonts w:hint="eastAsia" w:ascii="黑体" w:hAnsi="黑体" w:eastAsia="黑体" w:cs="黑体"/>
          <w:color w:val="000000"/>
          <w:sz w:val="40"/>
          <w:szCs w:val="40"/>
        </w:rPr>
        <w:t>预算代码</w:t>
      </w:r>
      <w:r>
        <w:rPr>
          <w:rFonts w:hint="eastAsia" w:ascii="楷体_GB2312" w:hAnsi="楷体_GB2312" w:eastAsia="楷体_GB2312" w:cs="楷体_GB2312"/>
          <w:color w:val="000000"/>
          <w:sz w:val="40"/>
          <w:szCs w:val="40"/>
        </w:rPr>
        <w:t>：</w:t>
      </w:r>
      <w:r>
        <w:rPr>
          <w:rFonts w:hint="eastAsia" w:ascii="楷体_GB2312" w:hAnsi="楷体_GB2312" w:eastAsia="楷体_GB2312" w:cs="楷体_GB2312"/>
          <w:color w:val="000000"/>
          <w:sz w:val="40"/>
          <w:szCs w:val="40"/>
          <w:lang w:val="en-US" w:eastAsia="zh-CN"/>
        </w:rPr>
        <w:t>361</w:t>
      </w:r>
    </w:p>
    <w:p>
      <w:pPr>
        <w:spacing w:line="600" w:lineRule="auto"/>
        <w:jc w:val="left"/>
        <w:rPr>
          <w:rFonts w:hint="eastAsia" w:ascii="楷体_GB2312" w:hAnsi="楷体_GB2312" w:eastAsia="楷体_GB2312" w:cs="楷体_GB2312"/>
          <w:color w:val="000000"/>
          <w:sz w:val="40"/>
          <w:szCs w:val="40"/>
        </w:rPr>
      </w:pPr>
      <w:r>
        <w:rPr>
          <w:rFonts w:hint="eastAsia" w:ascii="黑体" w:hAnsi="黑体" w:eastAsia="黑体" w:cs="黑体"/>
          <w:color w:val="000000"/>
          <w:sz w:val="40"/>
          <w:szCs w:val="40"/>
        </w:rPr>
        <w:t>单位名称</w:t>
      </w:r>
      <w:r>
        <w:rPr>
          <w:rFonts w:hint="eastAsia" w:ascii="楷体_GB2312" w:hAnsi="楷体_GB2312" w:eastAsia="楷体_GB2312" w:cs="楷体_GB2312"/>
          <w:color w:val="000000"/>
          <w:sz w:val="40"/>
          <w:szCs w:val="40"/>
        </w:rPr>
        <w:t>：遵化市卫生健康局（汇总）</w:t>
      </w:r>
    </w:p>
    <w:p>
      <w:pPr>
        <w:spacing w:line="600" w:lineRule="auto"/>
        <w:jc w:val="both"/>
        <w:rPr>
          <w:rFonts w:hint="eastAsia" w:ascii="楷体_GB2312" w:hAnsi="楷体_GB2312" w:eastAsia="楷体_GB2312" w:cs="楷体_GB2312"/>
          <w:color w:val="000000"/>
          <w:sz w:val="40"/>
          <w:szCs w:val="40"/>
        </w:rPr>
        <w:sectPr>
          <w:footerReference r:id="rId3" w:type="default"/>
          <w:pgSz w:w="11906" w:h="16838"/>
          <w:pgMar w:top="2098" w:right="1417" w:bottom="1871" w:left="1417" w:header="851" w:footer="992" w:gutter="0"/>
          <w:pgBorders>
            <w:top w:val="none" w:sz="0" w:space="0"/>
            <w:left w:val="none" w:sz="0" w:space="0"/>
            <w:bottom w:val="none" w:sz="0" w:space="0"/>
            <w:right w:val="none" w:sz="0" w:space="0"/>
          </w:pgBorders>
          <w:cols w:space="720" w:num="1"/>
          <w:docGrid w:type="lines" w:linePitch="312" w:charSpace="0"/>
        </w:sectPr>
      </w:pPr>
    </w:p>
    <w:p>
      <w:pPr>
        <w:spacing w:line="600" w:lineRule="auto"/>
        <w:jc w:val="center"/>
        <w:rPr>
          <w:rFonts w:hint="eastAsia" w:ascii="楷体_GB2312" w:hAnsi="楷体_GB2312" w:eastAsia="楷体_GB2312" w:cs="楷体_GB2312"/>
          <w:color w:val="000000"/>
          <w:sz w:val="40"/>
          <w:szCs w:val="40"/>
        </w:rPr>
      </w:pPr>
    </w:p>
    <w:p>
      <w:pPr>
        <w:rPr>
          <w:rFonts w:hint="eastAsia" w:ascii="黑体" w:hAnsi="黑体" w:eastAsia="黑体" w:cs="黑体"/>
          <w:b/>
          <w:bCs/>
          <w:sz w:val="32"/>
          <w:szCs w:val="36"/>
          <w:highlight w:val="yellow"/>
        </w:rPr>
      </w:pPr>
    </w:p>
    <w:p>
      <w:pPr>
        <w:widowControl/>
        <w:spacing w:before="0" w:beforeLines="0" w:beforeAutospacing="0" w:after="0" w:afterLines="0" w:afterAutospacing="0" w:line="360" w:lineRule="auto"/>
        <w:jc w:val="center"/>
        <w:rPr>
          <w:rFonts w:ascii="Times New Roman" w:eastAsia="方正小标宋_GBK"/>
          <w:sz w:val="72"/>
          <w:szCs w:val="72"/>
        </w:rPr>
      </w:pPr>
      <w:r>
        <w:rPr>
          <w:rFonts w:ascii="Times New Roman" w:eastAsia="方正小标宋_GBK"/>
          <w:b w:val="0"/>
          <w:sz w:val="72"/>
          <w:szCs w:val="72"/>
        </w:rPr>
        <w:t>遵化市卫生健康局（汇总）</w:t>
      </w:r>
    </w:p>
    <w:p>
      <w:pPr>
        <w:widowControl/>
        <w:spacing w:before="0" w:beforeLines="0" w:beforeAutospacing="0" w:after="0" w:afterLines="0" w:afterAutospacing="0" w:line="360" w:lineRule="auto"/>
        <w:jc w:val="center"/>
        <w:rPr>
          <w:rFonts w:ascii="Times New Roman" w:eastAsia="方正小标宋_GBK"/>
          <w:sz w:val="72"/>
          <w:szCs w:val="72"/>
        </w:rPr>
      </w:pPr>
      <w:r>
        <w:rPr>
          <w:rFonts w:ascii="Times New Roman" w:eastAsia="仿宋_GB2312"/>
          <w:b w:val="0"/>
          <w:sz w:val="72"/>
          <w:szCs w:val="72"/>
        </w:rPr>
        <w:t>2024</w:t>
      </w:r>
      <w:r>
        <w:rPr>
          <w:rFonts w:ascii="Times New Roman" w:eastAsia="方正小标宋_GBK"/>
          <w:b w:val="0"/>
          <w:sz w:val="72"/>
          <w:szCs w:val="72"/>
        </w:rPr>
        <w:t>年度部门决算公开文本</w:t>
      </w:r>
    </w:p>
    <w:p>
      <w:pPr>
        <w:spacing w:line="360" w:lineRule="auto"/>
        <w:jc w:val="center"/>
        <w:rPr>
          <w:rFonts w:ascii="黑体" w:hAnsi="黑体" w:eastAsia="黑体" w:cs="黑体"/>
          <w:sz w:val="56"/>
          <w:szCs w:val="72"/>
        </w:rPr>
      </w:pPr>
    </w:p>
    <w:p>
      <w:pPr>
        <w:spacing w:line="600" w:lineRule="auto"/>
        <w:jc w:val="center"/>
        <w:rPr>
          <w:rFonts w:ascii="黑体" w:hAnsi="黑体" w:eastAsia="黑体" w:cs="黑体"/>
          <w:sz w:val="56"/>
          <w:szCs w:val="72"/>
        </w:rPr>
      </w:pPr>
    </w:p>
    <w:p>
      <w:pPr>
        <w:spacing w:line="600" w:lineRule="auto"/>
        <w:jc w:val="center"/>
        <w:rPr>
          <w:rFonts w:ascii="黑体" w:hAnsi="黑体" w:eastAsia="黑体" w:cs="黑体"/>
          <w:sz w:val="56"/>
          <w:szCs w:val="72"/>
        </w:rPr>
      </w:pPr>
    </w:p>
    <w:p>
      <w:pPr>
        <w:spacing w:line="480" w:lineRule="auto"/>
        <w:jc w:val="both"/>
        <w:rPr>
          <w:rFonts w:ascii="黑体" w:hAnsi="黑体" w:eastAsia="黑体" w:cs="黑体"/>
          <w:sz w:val="56"/>
          <w:szCs w:val="72"/>
        </w:rPr>
      </w:pPr>
    </w:p>
    <w:p>
      <w:pPr>
        <w:widowControl/>
        <w:spacing w:before="0" w:beforeLines="0" w:beforeAutospacing="0" w:after="0" w:afterLines="0" w:afterAutospacing="0" w:line="360" w:lineRule="auto"/>
        <w:jc w:val="center"/>
        <w:rPr>
          <w:rFonts w:ascii="Times New Roman" w:eastAsia="楷体_GB2312"/>
          <w:b w:val="0"/>
          <w:sz w:val="44"/>
          <w:szCs w:val="44"/>
        </w:rPr>
      </w:pPr>
      <w:r>
        <w:rPr>
          <w:rFonts w:ascii="Times New Roman" w:eastAsia="楷体_GB2312"/>
          <w:b w:val="0"/>
          <w:sz w:val="44"/>
          <w:szCs w:val="44"/>
        </w:rPr>
        <w:t>遵化市卫生健康局（汇总）</w:t>
      </w:r>
    </w:p>
    <w:p>
      <w:pPr>
        <w:widowControl/>
        <w:spacing w:before="0" w:beforeLines="0" w:beforeAutospacing="0" w:after="0" w:afterLines="0" w:afterAutospacing="0" w:line="360" w:lineRule="auto"/>
        <w:jc w:val="center"/>
        <w:rPr>
          <w:rFonts w:ascii="Times New Roman" w:eastAsia="楷体_GB2312"/>
          <w:sz w:val="44"/>
          <w:szCs w:val="44"/>
        </w:rPr>
      </w:pPr>
      <w:r>
        <w:rPr>
          <w:rFonts w:ascii="Times New Roman" w:eastAsia="楷体_GB2312"/>
          <w:b w:val="0"/>
          <w:sz w:val="44"/>
          <w:szCs w:val="44"/>
        </w:rPr>
        <w:t>二〇二五年八月</w:t>
      </w:r>
    </w:p>
    <w:p>
      <w:pPr>
        <w:snapToGrid w:val="0"/>
        <w:jc w:val="left"/>
        <w:rPr>
          <w:rFonts w:hint="eastAsia" w:ascii="楷体_GB2312" w:hAnsi="楷体_GB2312" w:eastAsia="楷体_GB2312" w:cs="楷体_GB2312"/>
          <w:color w:val="000000" w:themeColor="text1"/>
          <w:kern w:val="0"/>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pPr>
        <w:snapToGrid w:val="0"/>
        <w:jc w:val="left"/>
        <w:rPr>
          <w:rFonts w:hint="default" w:ascii="楷体_GB2312" w:hAnsi="楷体_GB2312" w:eastAsia="楷体_GB2312" w:cs="楷体_GB2312"/>
          <w:color w:val="000000" w:themeColor="text1"/>
          <w:kern w:val="0"/>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4"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spacing w:line="600" w:lineRule="exact"/>
        <w:jc w:val="left"/>
        <w:rPr>
          <w:rFonts w:ascii="黑体" w:hAnsi="黑体" w:eastAsia="黑体" w:cs="黑体"/>
          <w:bCs/>
          <w:sz w:val="32"/>
          <w:szCs w:val="32"/>
        </w:rPr>
      </w:pPr>
    </w:p>
    <w:p>
      <w:pPr>
        <w:tabs>
          <w:tab w:val="left" w:pos="2728"/>
        </w:tabs>
        <w:jc w:val="center"/>
        <w:rPr>
          <w:rFonts w:ascii="黑体" w:hAnsi="Times New Roman" w:eastAsia="黑体" w:cs="Times New Roman"/>
          <w:sz w:val="48"/>
          <w:szCs w:val="48"/>
        </w:rPr>
      </w:pPr>
    </w:p>
    <w:p>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目    录</w:t>
      </w:r>
    </w:p>
    <w:p>
      <w:pPr>
        <w:widowControl/>
        <w:spacing w:after="160" w:line="580" w:lineRule="exact"/>
        <w:ind w:firstLine="640" w:firstLineChars="200"/>
        <w:rPr>
          <w:rFonts w:ascii="Times New Roman" w:hAnsi="Times New Roman" w:eastAsia="黑体" w:cs="Times New Roman"/>
          <w:sz w:val="32"/>
          <w:szCs w:val="32"/>
        </w:rPr>
      </w:pPr>
    </w:p>
    <w:p>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第一部分   部门概况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一、部门职责</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二、机构设置</w:t>
      </w:r>
    </w:p>
    <w:p>
      <w:pPr>
        <w:widowControl/>
        <w:spacing w:before="0" w:beforeLines="0" w:beforeAutospacing="0" w:after="0" w:afterLines="0" w:afterAutospacing="0" w:line="360" w:lineRule="auto"/>
        <w:jc w:val="left"/>
        <w:outlineLvl w:val="0"/>
        <w:rPr>
          <w:rFonts w:ascii="Times New Roman" w:eastAsia="黑体"/>
          <w:sz w:val="32"/>
          <w:szCs w:val="32"/>
        </w:rPr>
      </w:pPr>
      <w:r>
        <w:rPr>
          <w:rFonts w:ascii="Times New Roman" w:eastAsia="黑体"/>
          <w:b w:val="0"/>
          <w:sz w:val="32"/>
          <w:szCs w:val="32"/>
        </w:rPr>
        <w:t>第二部分   2024年度部门决算报表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一、收入支出决算总表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二、收入决算表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三、支出决算表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四、财政拨款收入支出决算总表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五、一般公共预算财政拨款支出决算表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六、一般公共预算财政拨款基本支出决算明细表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七、政府性基金预算财政拨款收入支出决算表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八、国有资本经营预算财政拨款支出决算表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九、财政拨款“三公”经费支出决算表</w:t>
      </w:r>
    </w:p>
    <w:p>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第三部分   2024年度部门决算情况说明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一、收入支出决算总体情况说明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二、收入决算情况说明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三、支出决算情况说明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四、财政拨款收入支出决算总体情况说明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五、财政拨款“三公”经费支出决算情况说明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六、机关运行经费支出说明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七、政府采购支出说明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八、国有资产占用情况说明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九、关于2024年度绩效评价情况的说明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十、其他需要说明的情况</w:t>
      </w:r>
    </w:p>
    <w:p>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第四部分   名词解释</w:t>
      </w:r>
    </w:p>
    <w:p>
      <w:pPr>
        <w:widowControl/>
        <w:spacing w:after="160" w:line="580" w:lineRule="exact"/>
        <w:rPr>
          <w:rFonts w:hint="eastAsia" w:ascii="Times New Roman" w:hAnsi="Times New Roman" w:eastAsia="黑体" w:cs="Times New Roman"/>
          <w:sz w:val="32"/>
          <w:szCs w:val="32"/>
          <w:lang w:val="en-US" w:eastAsia="zh-CN"/>
        </w:rPr>
        <w:sectPr>
          <w:headerReference r:id="rId6" w:type="first"/>
          <w:footerReference r:id="rId8" w:type="first"/>
          <w:headerReference r:id="rId5" w:type="default"/>
          <w:footerReference r:id="rId7" w:type="default"/>
          <w:pgSz w:w="11906" w:h="16838"/>
          <w:pgMar w:top="1474" w:right="1531" w:bottom="1474" w:left="1531" w:header="851" w:footer="992" w:gutter="0"/>
          <w:pgBorders>
            <w:top w:val="none" w:sz="0" w:space="0"/>
            <w:left w:val="none" w:sz="0" w:space="0"/>
            <w:bottom w:val="none" w:sz="0" w:space="0"/>
            <w:right w:val="none" w:sz="0" w:space="0"/>
          </w:pgBorders>
          <w:cols w:space="0" w:num="1"/>
          <w:titlePg/>
          <w:docGrid w:type="lines" w:linePitch="312" w:charSpace="0"/>
        </w:sectPr>
      </w:pPr>
    </w:p>
    <w:p>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第一部分   部门概况</w:t>
      </w:r>
    </w:p>
    <w:p>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一、部门职责</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1）组织拟订全市国民健康政策，拟订全市卫生健康事业发展相关规范性文件，拟订全市卫生健康规划和政策措施，依法制定地方有关标准和技术规范并组织实施。统筹规划卫生健康资源配置，指导区域卫生健康规划编制和实施。制定并组织实施推进卫生健康基本公共服务均等化、普惠化、便捷化和公共资源向基层延伸等政策措施。 （2）协调推进全市深化医药卫生体制改革，研究提出全市深化医药卫生体制改革政策、措施的建议。组织深化公立医院综合改革，推进管办分离，健全现代医院管理制度，制定并组织实施推动卫生健康公共服务提供主体多元化、提供方式多样化的政策措施，提出医疗服务和药品价格政策的建议。 （3）制定并组织落实疾病预防控制规划、国家免疫规划以及危害人民健康公共卫生问题的干预措施。负责卫生应急工作，组织指导突发公共卫生事件的预防控制和各类突发公共事件的医疗卫生救援。负责法定传染病疫情信息的管理工作，依法发布突发公共卫生事件应急处置信息。 （4）组织拟订并协调落实应对人口老龄化政策措施，负责推进老年健康服务体系建设和医养结合工作。 （5）组织实施国家基本药物政策和国家基本药物制度，开展药品使用监测、临床综合评价和短缺药品预警，提出全市基本药物价格政策的建议，参与拟订药品相关规范性文件。组织开展食品安全风险监测和食品安全地方标准的跟踪评价工作。 （6）负责职责范围内的职业卫生、放射卫生、环境卫生、学校卫生、公共场所卫生、饮用水卫生等公共卫生的监督管理，负责传染病防治监督，健全卫生健康综合监督体系。牵头《烟草控制框架公约》履约工作。 （7）制定医疗机构、医疗服务行业管理办法并监督实施，建立医疗服务评价和监督管理体系。制定并组织实施全市医疗服务规范、标准和卫生健康专业技术人员执业规则、服务规范。 （8）负责计划生育管理和服务工作，开展人口监测预警，研究提出人口与家庭发展相关政策建议，完善全市计划生育政策。 （9）指导全市卫生健康工作，指导基层医疗卫生、妇幼健康服务体系和全科医生队伍建设。推进卫生健康科技创新发展。 （10）拟订全市中医药事业发展规划、政策，起草相关规范性文件。参与中医药人才发展、重大中医药项目的规划和组织实施。承担中医医疗、预防、保健、康复及临床用药等监督管理职责。组织实施各类中医、中西医结合医疗机构管理规范和技术标准，指导监督其执业行为。组织实施中医药专业技术人员继续教育和相关人员培训工作。指导中医药科研能力建设，组织开展对中医古籍的整理研究和中医药文化的继承发展，提出保护中医非物质文化遗产的建议，推动中医药防病治病知识普及。 （11）负责市保健对象的医疗保健及服务工作。负责市直部门有关干部医疗管理工作。负责重要会议与重大活动的医疗卫生保障工作。 （12）指导市计划生育协会的业务工作。 （13）完成市委、市政府交办的其他任务</w:t>
      </w:r>
    </w:p>
    <w:p>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二、机构设置</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从决算编报单位构成看，纳入2024年度本部门决算汇编范围的独立核算单位（以下简称“单位”）共7个，具体情况如下：</w:t>
      </w:r>
    </w:p>
    <w:tbl>
      <w:tblPr>
        <w:tblStyle w:val="11"/>
        <w:tblpPr w:leftFromText="180" w:rightFromText="180" w:vertAnchor="text" w:horzAnchor="page" w:tblpXSpec="center" w:tblpY="10"/>
        <w:tblOverlap w:val="never"/>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485"/>
        <w:gridCol w:w="2445"/>
        <w:gridCol w:w="2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8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序号</w:t>
            </w:r>
          </w:p>
        </w:tc>
        <w:tc>
          <w:tcPr>
            <w:tcW w:w="348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单位名称</w:t>
            </w:r>
          </w:p>
        </w:tc>
        <w:tc>
          <w:tcPr>
            <w:tcW w:w="244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单位基本性质</w:t>
            </w:r>
          </w:p>
        </w:tc>
        <w:tc>
          <w:tcPr>
            <w:tcW w:w="266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经费形式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1</w:t>
            </w:r>
          </w:p>
        </w:tc>
        <w:tc>
          <w:tcPr>
            <w:tcW w:w="348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遵化市卫生健康局（本级）</w:t>
            </w:r>
          </w:p>
        </w:tc>
        <w:tc>
          <w:tcPr>
            <w:tcW w:w="2445" w:type="dxa"/>
          </w:tcPr>
          <w:p>
            <w:pPr>
              <w:spacing w:line="560" w:lineRule="exact"/>
              <w:jc w:val="center"/>
              <w:rPr>
                <w:rFonts w:ascii="仿宋_GB2312" w:hAnsi="Calibri" w:eastAsia="仿宋_GB2312" w:cs="ArialUnicodeMS"/>
                <w:kern w:val="0"/>
                <w:sz w:val="28"/>
                <w:szCs w:val="28"/>
              </w:rPr>
            </w:pPr>
          </w:p>
        </w:tc>
        <w:tc>
          <w:tcPr>
            <w:tcW w:w="266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全额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2</w:t>
            </w:r>
          </w:p>
        </w:tc>
        <w:tc>
          <w:tcPr>
            <w:tcW w:w="348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遵化市疾病预防控制中心</w:t>
            </w:r>
          </w:p>
        </w:tc>
        <w:tc>
          <w:tcPr>
            <w:tcW w:w="2445" w:type="dxa"/>
          </w:tcPr>
          <w:p>
            <w:pPr>
              <w:spacing w:line="560" w:lineRule="exact"/>
              <w:jc w:val="center"/>
              <w:rPr>
                <w:rFonts w:ascii="仿宋_GB2312" w:hAnsi="Calibri" w:eastAsia="仿宋_GB2312" w:cs="ArialUnicodeMS"/>
                <w:kern w:val="0"/>
                <w:sz w:val="28"/>
                <w:szCs w:val="28"/>
              </w:rPr>
            </w:pPr>
          </w:p>
        </w:tc>
        <w:tc>
          <w:tcPr>
            <w:tcW w:w="266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全额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3</w:t>
            </w:r>
          </w:p>
        </w:tc>
        <w:tc>
          <w:tcPr>
            <w:tcW w:w="348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遵化市卫生和计划生育局卫生计生监督所</w:t>
            </w:r>
          </w:p>
        </w:tc>
        <w:tc>
          <w:tcPr>
            <w:tcW w:w="2445" w:type="dxa"/>
          </w:tcPr>
          <w:p>
            <w:pPr>
              <w:spacing w:line="560" w:lineRule="exact"/>
              <w:jc w:val="center"/>
              <w:rPr>
                <w:rFonts w:ascii="仿宋_GB2312" w:hAnsi="Calibri" w:eastAsia="仿宋_GB2312" w:cs="ArialUnicodeMS"/>
                <w:kern w:val="0"/>
                <w:sz w:val="28"/>
                <w:szCs w:val="28"/>
              </w:rPr>
            </w:pPr>
          </w:p>
        </w:tc>
        <w:tc>
          <w:tcPr>
            <w:tcW w:w="266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全额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4</w:t>
            </w:r>
          </w:p>
        </w:tc>
        <w:tc>
          <w:tcPr>
            <w:tcW w:w="348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遵化市妇幼保健院</w:t>
            </w:r>
          </w:p>
        </w:tc>
        <w:tc>
          <w:tcPr>
            <w:tcW w:w="2445" w:type="dxa"/>
          </w:tcPr>
          <w:p>
            <w:pPr>
              <w:spacing w:line="560" w:lineRule="exact"/>
              <w:jc w:val="center"/>
              <w:rPr>
                <w:rFonts w:ascii="仿宋_GB2312" w:hAnsi="Calibri" w:eastAsia="仿宋_GB2312" w:cs="ArialUnicodeMS"/>
                <w:kern w:val="0"/>
                <w:sz w:val="28"/>
                <w:szCs w:val="28"/>
              </w:rPr>
            </w:pPr>
          </w:p>
        </w:tc>
        <w:tc>
          <w:tcPr>
            <w:tcW w:w="266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全额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5</w:t>
            </w:r>
          </w:p>
        </w:tc>
        <w:tc>
          <w:tcPr>
            <w:tcW w:w="348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遵化市卫生学校</w:t>
            </w:r>
          </w:p>
        </w:tc>
        <w:tc>
          <w:tcPr>
            <w:tcW w:w="2445" w:type="dxa"/>
          </w:tcPr>
          <w:p>
            <w:pPr>
              <w:spacing w:line="560" w:lineRule="exact"/>
              <w:jc w:val="center"/>
              <w:rPr>
                <w:rFonts w:ascii="仿宋_GB2312" w:hAnsi="Calibri" w:eastAsia="仿宋_GB2312" w:cs="ArialUnicodeMS"/>
                <w:kern w:val="0"/>
                <w:sz w:val="28"/>
                <w:szCs w:val="28"/>
              </w:rPr>
            </w:pPr>
          </w:p>
        </w:tc>
        <w:tc>
          <w:tcPr>
            <w:tcW w:w="266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全额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6</w:t>
            </w:r>
          </w:p>
        </w:tc>
        <w:tc>
          <w:tcPr>
            <w:tcW w:w="348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遵化市人民医院</w:t>
            </w:r>
          </w:p>
        </w:tc>
        <w:tc>
          <w:tcPr>
            <w:tcW w:w="2445" w:type="dxa"/>
          </w:tcPr>
          <w:p>
            <w:pPr>
              <w:spacing w:line="560" w:lineRule="exact"/>
              <w:jc w:val="center"/>
              <w:rPr>
                <w:rFonts w:ascii="仿宋_GB2312" w:hAnsi="Calibri" w:eastAsia="仿宋_GB2312" w:cs="ArialUnicodeMS"/>
                <w:kern w:val="0"/>
                <w:sz w:val="28"/>
                <w:szCs w:val="28"/>
              </w:rPr>
            </w:pPr>
          </w:p>
        </w:tc>
        <w:tc>
          <w:tcPr>
            <w:tcW w:w="266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自收自支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7</w:t>
            </w:r>
          </w:p>
        </w:tc>
        <w:tc>
          <w:tcPr>
            <w:tcW w:w="348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遵化市中医医院</w:t>
            </w:r>
          </w:p>
        </w:tc>
        <w:tc>
          <w:tcPr>
            <w:tcW w:w="2445" w:type="dxa"/>
          </w:tcPr>
          <w:p>
            <w:pPr>
              <w:spacing w:line="560" w:lineRule="exact"/>
              <w:jc w:val="center"/>
              <w:rPr>
                <w:rFonts w:ascii="仿宋_GB2312" w:hAnsi="Calibri" w:eastAsia="仿宋_GB2312" w:cs="ArialUnicodeMS"/>
                <w:kern w:val="0"/>
                <w:sz w:val="28"/>
                <w:szCs w:val="28"/>
              </w:rPr>
            </w:pPr>
          </w:p>
        </w:tc>
        <w:tc>
          <w:tcPr>
            <w:tcW w:w="266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自收自支</w:t>
            </w:r>
          </w:p>
        </w:tc>
      </w:tr>
    </w:tbl>
    <w:p>
      <w:pPr>
        <w:rPr>
          <w:rFonts w:hint="eastAsia" w:ascii="Times New Roman" w:hAnsi="Times New Roman" w:eastAsia="黑体" w:cs="Times New Roman"/>
          <w:sz w:val="32"/>
          <w:szCs w:val="32"/>
          <w:highlight w:val="yellow"/>
        </w:rPr>
      </w:pPr>
      <w:r>
        <w:rPr>
          <w:rFonts w:hint="eastAsia" w:ascii="Times New Roman" w:hAnsi="Times New Roman" w:eastAsia="黑体" w:cs="Times New Roman"/>
          <w:sz w:val="32"/>
          <w:szCs w:val="32"/>
          <w:highlight w:val="yellow"/>
        </w:rPr>
        <w:br w:type="page"/>
      </w:r>
    </w:p>
    <w:p>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第二部分   </w:t>
      </w:r>
      <w:r>
        <w:rPr>
          <w:rFonts w:ascii="Times New Roman" w:eastAsia="仿宋_GB2312"/>
          <w:b w:val="0"/>
          <w:sz w:val="44"/>
          <w:szCs w:val="44"/>
        </w:rPr>
        <w:t>2024</w:t>
      </w:r>
      <w:r>
        <w:rPr>
          <w:rFonts w:ascii="Times New Roman" w:eastAsia="黑体"/>
          <w:b w:val="0"/>
          <w:sz w:val="44"/>
          <w:szCs w:val="44"/>
        </w:rPr>
        <w:t>年度部门决算表</w:t>
      </w:r>
    </w:p>
    <w:tbl>
      <w:tblPr>
        <w:tblStyle w:val="11"/>
        <w:tblW w:w="7250" w:type="pct"/>
        <w:tblInd w:w="-18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46"/>
        <w:gridCol w:w="624"/>
        <w:gridCol w:w="611"/>
        <w:gridCol w:w="1317"/>
        <w:gridCol w:w="1628"/>
        <w:gridCol w:w="1547"/>
        <w:gridCol w:w="624"/>
        <w:gridCol w:w="1928"/>
        <w:gridCol w:w="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61" w:hRule="atLeast"/>
        </w:trPr>
        <w:tc>
          <w:tcPr>
            <w:tcW w:w="4985" w:type="pct"/>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57" w:hRule="atLeast"/>
        </w:trPr>
        <w:tc>
          <w:tcPr>
            <w:tcW w:w="4985" w:type="pct"/>
            <w:gridSpan w:val="8"/>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公开</w:t>
            </w:r>
            <w:r>
              <w:rPr>
                <w:rFonts w:hint="eastAsia" w:ascii="Times New Roman" w:hAnsi="Times New Roman" w:eastAsia="宋体" w:cs="Times New Roman"/>
                <w:i w:val="0"/>
                <w:iCs w:val="0"/>
                <w:color w:val="000000"/>
                <w:sz w:val="20"/>
                <w:szCs w:val="20"/>
                <w:highlight w:val="none"/>
                <w:u w:val="none"/>
                <w:lang w:val="en-US" w:eastAsia="zh-CN"/>
              </w:rPr>
              <w:t>01</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51" w:hRule="atLeast"/>
        </w:trPr>
        <w:tc>
          <w:tcPr>
            <w:tcW w:w="1964" w:type="pct"/>
            <w:gridSpan w:val="3"/>
            <w:tcBorders>
              <w:top w:val="nil"/>
              <w:left w:val="nil"/>
              <w:bottom w:val="single" w:color="auto" w:sz="4" w:space="0"/>
              <w:right w:val="nil"/>
            </w:tcBorders>
            <w:noWrap/>
            <w:vAlign w:val="bottom"/>
          </w:tcPr>
          <w:p>
            <w:pPr>
              <w:jc w:val="both"/>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部门（单位）：遵化市卫生健康局（汇总）</w:t>
            </w:r>
          </w:p>
        </w:tc>
        <w:tc>
          <w:tcPr>
            <w:tcW w:w="1262" w:type="pct"/>
            <w:gridSpan w:val="2"/>
            <w:tcBorders>
              <w:top w:val="nil"/>
              <w:left w:val="nil"/>
              <w:bottom w:val="single" w:color="auto" w:sz="4" w:space="0"/>
              <w:right w:val="nil"/>
            </w:tcBorders>
            <w:noWrap/>
            <w:vAlign w:val="bottom"/>
          </w:tcPr>
          <w:p>
            <w:pPr>
              <w:jc w:val="center"/>
              <w:rPr>
                <w:rFonts w:hint="default" w:ascii="宋体" w:hAnsi="宋体" w:eastAsia="宋体" w:cs="宋体"/>
                <w:i w:val="0"/>
                <w:iCs w:val="0"/>
                <w:color w:val="000000"/>
                <w:kern w:val="0"/>
                <w:sz w:val="20"/>
                <w:szCs w:val="20"/>
                <w:highlight w:val="none"/>
                <w:u w:val="none"/>
                <w:lang w:val="en-US" w:eastAsia="zh-CN" w:bidi="ar"/>
              </w:rPr>
            </w:pPr>
            <w:r>
              <w:rPr>
                <w:rFonts w:hint="eastAsia" w:ascii="Times New Roman" w:hAnsi="Times New Roman" w:eastAsia="宋体" w:cs="Times New Roman"/>
                <w:i w:val="0"/>
                <w:iCs w:val="0"/>
                <w:color w:val="000000"/>
                <w:sz w:val="20"/>
                <w:szCs w:val="20"/>
                <w:highlight w:val="none"/>
                <w:u w:val="none"/>
                <w:lang w:val="en-US" w:eastAsia="zh-CN"/>
              </w:rPr>
              <w:t>2024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757" w:type="pct"/>
            <w:gridSpan w:val="3"/>
            <w:tcBorders>
              <w:top w:val="nil"/>
              <w:left w:val="nil"/>
              <w:bottom w:val="single" w:color="auto" w:sz="4" w:space="0"/>
              <w:right w:val="nil"/>
            </w:tcBorders>
            <w:noWrap/>
            <w:vAlign w:val="bottom"/>
          </w:tcPr>
          <w:p>
            <w:pPr>
              <w:jc w:val="right"/>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544" w:hRule="atLeast"/>
        </w:trPr>
        <w:tc>
          <w:tcPr>
            <w:tcW w:w="2529" w:type="pct"/>
            <w:gridSpan w:val="4"/>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收入</w:t>
            </w:r>
          </w:p>
        </w:tc>
        <w:tc>
          <w:tcPr>
            <w:tcW w:w="2456" w:type="pct"/>
            <w:gridSpan w:val="4"/>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08"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82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决算数</w:t>
            </w: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82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26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82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Times New Roman" w:hAnsi="Times New Roman" w:eastAsia="宋体" w:cs="Times New Roman"/>
                <w:i w:val="0"/>
                <w:iCs w:val="0"/>
                <w:color w:val="000000"/>
                <w:sz w:val="20"/>
                <w:szCs w:val="20"/>
                <w:highlight w:val="none"/>
                <w:u w:val="none"/>
                <w:lang w:val="en-US" w:eastAsia="zh-CN"/>
              </w:rPr>
              <w:t>1</w:t>
            </w: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26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82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Times New Roman" w:hAnsi="Times New Roman" w:eastAsia="宋体" w:cs="Times New Roman"/>
                <w:i w:val="0"/>
                <w:iCs w:val="0"/>
                <w:color w:val="000000"/>
                <w:sz w:val="20"/>
                <w:szCs w:val="20"/>
                <w:highlight w:val="none"/>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宋体" w:hAnsi="宋体" w:eastAsia="宋体" w:cs="宋体"/>
                <w:i w:val="0"/>
                <w:iCs w:val="0"/>
                <w:color w:val="000000"/>
                <w:sz w:val="20"/>
                <w:szCs w:val="20"/>
                <w:highlight w:val="none"/>
                <w:u w:val="none"/>
                <w:lang w:val="en-US" w:eastAsia="zh-CN"/>
              </w:rPr>
              <w:t>1</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17,996.51</w:t>
            </w: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一、一般公共服务支出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32</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8,500.00</w:t>
            </w: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二、外交支出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33</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三、国防支出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34</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四、上级补助收入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四、公共安全支出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35</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五、事业收入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75,204.72</w:t>
            </w: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五、教育支出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36</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六、经营收入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六、科学技术支出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37</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七、附属单位上缴收入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七、文化旅游体育与传媒支出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38</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八、其他收入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72.87</w:t>
            </w: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八、社会保障和就业支出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39</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613.37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九、卫生健康支出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40</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93,319.52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十、节能环保支出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41</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十一、城乡社区支出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42</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十二、农林水支出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43</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13</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十三、交通运输支出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44</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auto"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14</w:t>
            </w:r>
          </w:p>
        </w:tc>
        <w:tc>
          <w:tcPr>
            <w:tcW w:w="826" w:type="pct"/>
            <w:gridSpan w:val="2"/>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auto"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十四、资源勘探工业信息等支出</w:t>
            </w:r>
          </w:p>
        </w:tc>
        <w:tc>
          <w:tcPr>
            <w:tcW w:w="267" w:type="pct"/>
            <w:tcBorders>
              <w:top w:val="nil"/>
              <w:left w:val="nil"/>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45</w:t>
            </w:r>
          </w:p>
        </w:tc>
        <w:tc>
          <w:tcPr>
            <w:tcW w:w="826" w:type="pct"/>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15</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十五、商业服务业等支出</w:t>
            </w: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46</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16</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十六、金融支出</w:t>
            </w: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47</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17</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十七、援助其他地区支出</w:t>
            </w: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48</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18</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十八、自然资源海洋气象等支出</w:t>
            </w: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49</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19</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十九、住房保障支出</w:t>
            </w: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50</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179.99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二十、粮油物资储备支出</w:t>
            </w: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51</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21</w:t>
            </w:r>
          </w:p>
        </w:tc>
        <w:tc>
          <w:tcPr>
            <w:tcW w:w="826" w:type="pct"/>
            <w:gridSpan w:val="2"/>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二十一、国有资本经营预算支出</w:t>
            </w:r>
          </w:p>
        </w:tc>
        <w:tc>
          <w:tcPr>
            <w:tcW w:w="267" w:type="pct"/>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52</w:t>
            </w:r>
          </w:p>
        </w:tc>
        <w:tc>
          <w:tcPr>
            <w:tcW w:w="826" w:type="pct"/>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22</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二十二、灾害防治及应急管理支出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53</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23</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二十三、其他支出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54</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8,500.00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24</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二十四、债务还本支出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55</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25</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二十五、债务付息支出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56</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26</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二十六、抗疫特别国债安排的支出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57</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本年收入合计</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27</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101,774.10</w:t>
            </w: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本年支出合计</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58</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102,612.88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使用非财政拨款结余（含专用结余）</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28</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结余分配</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59</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68.79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年初结转和结余</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29</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978.77</w:t>
            </w: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年末结转和结余</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60</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71.20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30</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61</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08"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31</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102,752.87</w:t>
            </w: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62</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102,752.87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注：1.本表反映部门本年度的总收支和年末结转结余情况。</w:t>
            </w:r>
          </w:p>
          <w:p>
            <w:pPr>
              <w:keepNext w:val="0"/>
              <w:keepLines w:val="0"/>
              <w:widowControl/>
              <w:suppressLineNumbers w:val="0"/>
              <w:ind w:firstLine="400" w:firstLineChars="20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2.本套报表金额转换时可能存在尾数误差。</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92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0"/>
        <w:gridCol w:w="1160"/>
        <w:gridCol w:w="1037"/>
        <w:gridCol w:w="1037"/>
        <w:gridCol w:w="1037"/>
        <w:gridCol w:w="964"/>
        <w:gridCol w:w="367"/>
        <w:gridCol w:w="597"/>
        <w:gridCol w:w="1027"/>
        <w:gridCol w:w="9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9230"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230" w:type="dxa"/>
            <w:gridSpan w:val="10"/>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eastAsia" w:ascii="Times New Roman" w:hAnsi="Times New Roman" w:eastAsia="宋体" w:cs="Times New Roman"/>
                <w:i w:val="0"/>
                <w:iCs w:val="0"/>
                <w:color w:val="000000"/>
                <w:sz w:val="20"/>
                <w:szCs w:val="20"/>
                <w:highlight w:val="none"/>
                <w:u w:val="none"/>
                <w:lang w:val="en-US" w:eastAsia="zh-CN"/>
              </w:rPr>
              <w:t>02</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237" w:type="dxa"/>
            <w:gridSpan w:val="3"/>
            <w:tcBorders>
              <w:top w:val="nil"/>
              <w:left w:val="nil"/>
              <w:bottom w:val="single" w:color="auto" w:sz="4" w:space="0"/>
              <w:right w:val="nil"/>
            </w:tcBorders>
            <w:noWrap/>
            <w:vAlign w:val="bottom"/>
          </w:tcPr>
          <w:p>
            <w:pP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部门（单位）：遵化市卫生健康局（汇总）                                                                                                         </w:t>
            </w:r>
          </w:p>
        </w:tc>
        <w:tc>
          <w:tcPr>
            <w:tcW w:w="3405" w:type="dxa"/>
            <w:gridSpan w:val="4"/>
            <w:tcBorders>
              <w:top w:val="nil"/>
              <w:left w:val="nil"/>
              <w:bottom w:val="single" w:color="auto" w:sz="4" w:space="0"/>
              <w:right w:val="nil"/>
            </w:tcBorders>
            <w:noWrap/>
            <w:vAlign w:val="bottom"/>
          </w:tcPr>
          <w:p>
            <w:pPr>
              <w:jc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default" w:ascii="Times New Roman" w:hAnsi="Times New Roman" w:eastAsia="方正仿宋_GB2312" w:cs="Times New Roman"/>
                <w:i w:val="0"/>
                <w:iCs w:val="0"/>
                <w:color w:val="000000"/>
                <w:sz w:val="20"/>
                <w:szCs w:val="20"/>
                <w:highlight w:val="none"/>
                <w:u w:val="none"/>
                <w:lang w:val="en-US" w:eastAsia="zh-CN"/>
              </w:rPr>
              <w:t>202</w:t>
            </w:r>
            <w:r>
              <w:rPr>
                <w:rFonts w:hint="eastAsia" w:ascii="Times New Roman" w:hAnsi="Times New Roman" w:eastAsia="方正仿宋_GB2312" w:cs="Times New Roman"/>
                <w:i w:val="0"/>
                <w:iCs w:val="0"/>
                <w:color w:val="000000"/>
                <w:sz w:val="20"/>
                <w:szCs w:val="20"/>
                <w:highlight w:val="none"/>
                <w:u w:val="none"/>
                <w:lang w:val="en-US" w:eastAsia="zh-CN"/>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2588" w:type="dxa"/>
            <w:gridSpan w:val="3"/>
            <w:tcBorders>
              <w:top w:val="nil"/>
              <w:left w:val="nil"/>
              <w:bottom w:val="single" w:color="auto" w:sz="4" w:space="0"/>
              <w:right w:val="nil"/>
            </w:tcBorders>
            <w:noWrap/>
            <w:vAlign w:val="bottom"/>
          </w:tcPr>
          <w:p>
            <w:pPr>
              <w:jc w:val="right"/>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200" w:type="dxa"/>
            <w:gridSpan w:val="2"/>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1037"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本年收入合计</w:t>
            </w:r>
          </w:p>
        </w:tc>
        <w:tc>
          <w:tcPr>
            <w:tcW w:w="1037"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财政拨款收入</w:t>
            </w:r>
          </w:p>
        </w:tc>
        <w:tc>
          <w:tcPr>
            <w:tcW w:w="1037"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上级补助收入</w:t>
            </w:r>
          </w:p>
        </w:tc>
        <w:tc>
          <w:tcPr>
            <w:tcW w:w="964" w:type="dxa"/>
            <w:vMerge w:val="restart"/>
            <w:tcBorders>
              <w:top w:val="single" w:color="auto" w:sz="4" w:space="0"/>
              <w:left w:val="nil"/>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事业收入</w:t>
            </w:r>
          </w:p>
        </w:tc>
        <w:tc>
          <w:tcPr>
            <w:tcW w:w="964" w:type="dxa"/>
            <w:gridSpan w:val="2"/>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经营收入</w:t>
            </w:r>
          </w:p>
        </w:tc>
        <w:tc>
          <w:tcPr>
            <w:tcW w:w="1027"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附属单位上缴收入</w:t>
            </w:r>
          </w:p>
        </w:tc>
        <w:tc>
          <w:tcPr>
            <w:tcW w:w="964"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1160"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60" w:type="dxa"/>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60" w:type="dxa"/>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0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10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9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4</w:t>
            </w:r>
          </w:p>
        </w:tc>
        <w:tc>
          <w:tcPr>
            <w:tcW w:w="964"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2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9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0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101,774.10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26,496.51</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75,204.72</w:t>
            </w: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72.87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社会保障和就业支出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613.37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613.37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行政事业单位养老支出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613.37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613.37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行政单位离退休</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125.09</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125.09</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2080502</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事业单位离退休</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110.29</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110.29</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2080505</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机关事业单位基本养老保险缴费支出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276.93</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276.93</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2080506</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机关事业单位职业年金缴费支出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101.05</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101.05</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卫生健康支出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92,480.74</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17,203.15</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75,204.72</w:t>
            </w: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72.87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卫生健康管理事务</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1,321.86</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1,321.86</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2100101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行政运行</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649.65</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649.65</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2100102</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一般行政管理事务</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92.29</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92.29</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2100199</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其他卫生健康管理事务支出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579.92</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579.92</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21002</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公立医院</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76,570.79</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1,293.20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75,204.72</w:t>
            </w: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72.87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2100201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综合医院</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72,565.72</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72,565.72</w:t>
            </w: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2100202</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中医（民族）医院</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2,711.87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2,639.00</w:t>
            </w: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72.87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2100206</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妇幼保健医院</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89.00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89.00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2100299</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其他公立医院支出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1,204.20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1,204.20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21003</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基层医疗卫生机构</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2,399.19</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2,399.19</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2100302</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乡镇卫生院</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7.50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7.50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2100399</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其他基层医疗卫生机构支出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2,391.69</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2,391.69</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21004</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公共卫生</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9,158.56</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9,158.56</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2100401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疾病预防控制机构</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809.20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809.20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2100402</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卫生监督机构</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284.93</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284.93</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2100403</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妇幼保健机构</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114.22</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114.22</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2100408</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基本公共卫生服务</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6,487.85</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6,487.85</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2100409</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重大公共卫生服务</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402.81</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402.81</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2100410</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突发公共卫生事件应急处置</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862.60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862.60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2100499</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其他公共卫生支出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196.94</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196.94</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21007</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计划生育事务</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2,609.58</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2,609.58</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2100717</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计划生育服务</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2,608.98</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2,608.98</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2100799</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其他计划生育事务支出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0.60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0.60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21011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行政事业单位医疗</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380.77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380.77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2101101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行政单位医疗</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124.31</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124.31</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2101102</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事业单位医疗</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154.37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154.37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2101103</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公务员医疗补助</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102.09</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102.09</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21017</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中医药事务</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40.00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40.00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2101799</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其他中医药事务支出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40.00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40.00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住房保障支出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179.99</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179.99</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22102</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住房改革支出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179.99</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179.99</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2210201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住房公积金</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179.99</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179.99</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229</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其他支出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8,500.00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8,500.00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22904</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其他政府性基金及对应专项债务收入安排的支出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8,500.00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8,500.00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2290402</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其他地方自行试点项目收益专项债券收入安排的支出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8,500.00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8,500.00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230" w:type="dxa"/>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注：本表反映部门本年度取得的各项收入情况。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黑体" w:hAnsi="黑体" w:eastAsia="黑体" w:cs="宋体"/>
          <w:bCs/>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581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0"/>
        <w:gridCol w:w="1187"/>
        <w:gridCol w:w="1128"/>
        <w:gridCol w:w="126"/>
        <w:gridCol w:w="1000"/>
        <w:gridCol w:w="1126"/>
        <w:gridCol w:w="497"/>
        <w:gridCol w:w="629"/>
        <w:gridCol w:w="1126"/>
        <w:gridCol w:w="14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5000" w:type="pct"/>
            <w:gridSpan w:val="10"/>
            <w:tcBorders>
              <w:top w:val="nil"/>
              <w:left w:val="nil"/>
              <w:bottom w:val="nil"/>
              <w:right w:val="nil"/>
            </w:tcBorders>
            <w:noWrap/>
            <w:vAlign w:val="bottom"/>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br w:type="page"/>
            </w:r>
            <w:r>
              <w:rPr>
                <w:rFonts w:hint="eastAsia" w:ascii="方正仿宋_GB2312" w:hAnsi="方正仿宋_GB2312" w:eastAsia="方正仿宋_GB2312" w:cs="方正仿宋_GB2312"/>
                <w:b w:val="0"/>
                <w:bCs/>
                <w:color w:val="auto"/>
                <w:kern w:val="0"/>
                <w:sz w:val="32"/>
                <w:szCs w:val="32"/>
                <w:highlight w:val="none"/>
                <w:lang w:val="en-US" w:eastAsia="zh-CN"/>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000" w:type="pct"/>
            <w:gridSpan w:val="10"/>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宋体" w:cs="Times New Roman"/>
                <w:i w:val="0"/>
                <w:iCs w:val="0"/>
                <w:color w:val="000000"/>
                <w:kern w:val="0"/>
                <w:sz w:val="20"/>
                <w:szCs w:val="20"/>
                <w:highlight w:val="none"/>
                <w:u w:val="none"/>
                <w:lang w:val="en-US" w:eastAsia="zh-CN" w:bidi="ar"/>
              </w:rPr>
              <w:t>03</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862" w:type="pct"/>
            <w:gridSpan w:val="4"/>
            <w:tcBorders>
              <w:top w:val="nil"/>
              <w:left w:val="nil"/>
              <w:bottom w:val="single" w:color="auto" w:sz="4" w:space="0"/>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部门（单位）：遵化市卫生健康局（汇总）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c>
          <w:tcPr>
            <w:tcW w:w="1403" w:type="pct"/>
            <w:gridSpan w:val="3"/>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eastAsiaTheme="minorEastAsia"/>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734" w:type="pct"/>
            <w:gridSpan w:val="3"/>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91" w:type="pct"/>
            <w:gridSpan w:val="2"/>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603"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本年支出合计</w:t>
            </w:r>
          </w:p>
        </w:tc>
        <w:tc>
          <w:tcPr>
            <w:tcW w:w="602" w:type="pct"/>
            <w:gridSpan w:val="2"/>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602"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c>
          <w:tcPr>
            <w:tcW w:w="602" w:type="pct"/>
            <w:gridSpan w:val="2"/>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上缴上级支出</w:t>
            </w:r>
          </w:p>
        </w:tc>
        <w:tc>
          <w:tcPr>
            <w:tcW w:w="602"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经营支出</w:t>
            </w:r>
          </w:p>
        </w:tc>
        <w:tc>
          <w:tcPr>
            <w:tcW w:w="795"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635"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60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79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35"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60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79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35"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60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79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60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602" w:type="pct"/>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60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602" w:type="pct"/>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60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795"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91"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102,612.88</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79,040.74</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23,572.14</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社会保障和就业支出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613.37</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613.37</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行政事业单位养老支出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613.37</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613.37</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行政单位离退休</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125.09</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125.09</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2080502</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事业单位离退休</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110.29</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110.29</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2080505</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机关事业单位基本养老保险缴费支出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276.93</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276.93</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2080506</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机关事业单位职业年金缴费支出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101.05</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101.05</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卫生健康支出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93,319.52</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78,247.38</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15,072.14</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卫生健康管理事务</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1,321.86</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649.65</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672.21</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2100101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行政运行</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649.65</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649.65</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2100102</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一般行政管理事务</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92.29</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92.29</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2100199</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其他卫生健康管理事务支出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579.92</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579.92</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21002</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公立医院</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77,409.57</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76,116.37</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1,293.20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2100201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综合医院</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72,496.93</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72,496.93</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2100202</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中医（民族）医院</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3,619.44</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3,619.44</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2100206</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妇幼保健医院</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89.00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89.00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2100299</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其他公立医院支出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1,204.20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1,204.20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21003</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基层医疗卫生机构</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2,399.19</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2,399.19</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2100302</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乡镇卫生院</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7.50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7.50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2100399</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其他基层医疗卫生机构支出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2,391.69</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2,391.69</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21004</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公共卫生</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9,158.56</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1,100.60</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8,057.96</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2100401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疾病预防控制机构</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809.20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701.45</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107.76</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2100402</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卫生监督机构</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284.93</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284.93</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2100403</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妇幼保健机构</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114.22</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114.22</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2100408</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基本公共卫生服务</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6,487.85</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6,487.85</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2100409</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重大公共卫生服务</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402.81</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402.81</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2100410</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突发公共卫生事件应急处置</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862.60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862.60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2100499</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其他公共卫生支出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196.94</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196.94</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21007</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计划生育事务</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2,609.58</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2,609.58</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2100717</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计划生育服务</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2,608.98</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2,608.98</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2100799</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其他计划生育事务支出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0.60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0.60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行政事业单位医疗</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380.77</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380.77</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行政单位医疗</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124.31</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124.31</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2101102</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事业单位医疗</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154.37</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154.37</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2101103</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公务员医疗补助</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102.09</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102.09</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21017</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中医药事务</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40.00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40.00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2101799</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其他中医药事务支出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40.00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40.00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住房保障支出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179.99</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179.99</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住房改革支出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179.99</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179.99</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2210201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住房公积金</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179.99</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179.99</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229</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8,500.00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8,500.00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22904</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其他政府性基金及对应专项债务收入安排的支出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8,500.00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8,500.00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2290402</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其他地方自行试点项目收益专项债券收入安排的支出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8,500.00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8,500.00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000" w:type="pct"/>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注：本表反映部门本年度各项支出情况。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7281" w:type="pct"/>
        <w:tblInd w:w="-18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84"/>
        <w:gridCol w:w="624"/>
        <w:gridCol w:w="1427"/>
        <w:gridCol w:w="1659"/>
        <w:gridCol w:w="439"/>
        <w:gridCol w:w="624"/>
        <w:gridCol w:w="458"/>
        <w:gridCol w:w="837"/>
        <w:gridCol w:w="1219"/>
        <w:gridCol w:w="1219"/>
        <w:gridCol w:w="12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31" w:type="pct"/>
            <w:gridSpan w:val="4"/>
            <w:tcBorders>
              <w:top w:val="nil"/>
              <w:left w:val="nil"/>
              <w:bottom w:val="single" w:color="auto" w:sz="4" w:space="0"/>
              <w:right w:val="nil"/>
            </w:tcBorders>
            <w:noWrap/>
            <w:vAlign w:val="bottom"/>
          </w:tcPr>
          <w:p>
            <w:pPr>
              <w:rPr>
                <w:rFonts w:hint="eastAsia" w:ascii="仿宋" w:hAnsi="仿宋" w:eastAsia="仿宋" w:cs="仿宋"/>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部门（单位）：遵化市卫生健康局（汇总）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c>
          <w:tcPr>
            <w:tcW w:w="649" w:type="pct"/>
            <w:gridSpan w:val="3"/>
            <w:tcBorders>
              <w:top w:val="nil"/>
              <w:left w:val="nil"/>
              <w:bottom w:val="single" w:color="auto" w:sz="4" w:space="0"/>
              <w:right w:val="nil"/>
            </w:tcBorders>
            <w:noWrap/>
            <w:vAlign w:val="bottom"/>
          </w:tcPr>
          <w:p>
            <w:pPr>
              <w:jc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919" w:type="pct"/>
            <w:gridSpan w:val="4"/>
            <w:tcBorders>
              <w:top w:val="nil"/>
              <w:left w:val="nil"/>
              <w:bottom w:val="single" w:color="auto" w:sz="4" w:space="0"/>
              <w:right w:val="nil"/>
            </w:tcBorders>
            <w:noWrap/>
            <w:vAlign w:val="bottom"/>
          </w:tcPr>
          <w:p>
            <w:pPr>
              <w:jc w:val="right"/>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23" w:type="pct"/>
            <w:gridSpan w:val="3"/>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收入</w:t>
            </w:r>
          </w:p>
        </w:tc>
        <w:tc>
          <w:tcPr>
            <w:tcW w:w="3276" w:type="pct"/>
            <w:gridSpan w:val="8"/>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47"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    目</w:t>
            </w:r>
          </w:p>
        </w:tc>
        <w:tc>
          <w:tcPr>
            <w:tcW w:w="26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609"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金额</w:t>
            </w:r>
          </w:p>
        </w:tc>
        <w:tc>
          <w:tcPr>
            <w:tcW w:w="895" w:type="pct"/>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26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552" w:type="pct"/>
            <w:gridSpan w:val="2"/>
            <w:vMerge w:val="restart"/>
            <w:tcBorders>
              <w:top w:val="nil"/>
              <w:left w:val="nil"/>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合计</w:t>
            </w:r>
          </w:p>
        </w:tc>
        <w:tc>
          <w:tcPr>
            <w:tcW w:w="520" w:type="pct"/>
            <w:vMerge w:val="restart"/>
            <w:tcBorders>
              <w:top w:val="nil"/>
              <w:left w:val="nil"/>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一般公共预算财政拨款</w:t>
            </w:r>
          </w:p>
        </w:tc>
        <w:tc>
          <w:tcPr>
            <w:tcW w:w="520" w:type="pct"/>
            <w:vMerge w:val="restart"/>
            <w:tcBorders>
              <w:top w:val="nil"/>
              <w:left w:val="nil"/>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政府性基金预算财政拨款</w:t>
            </w:r>
          </w:p>
        </w:tc>
        <w:tc>
          <w:tcPr>
            <w:tcW w:w="520" w:type="pct"/>
            <w:vMerge w:val="restart"/>
            <w:tcBorders>
              <w:top w:val="nil"/>
              <w:left w:val="nil"/>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47"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66"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09"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895" w:type="pct"/>
            <w:gridSpan w:val="2"/>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66"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52" w:type="pct"/>
            <w:gridSpan w:val="2"/>
            <w:vMerge w:val="continue"/>
            <w:tcBorders>
              <w:left w:val="nil"/>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520" w:type="pct"/>
            <w:vMerge w:val="continue"/>
            <w:tcBorders>
              <w:left w:val="nil"/>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520" w:type="pct"/>
            <w:vMerge w:val="continue"/>
            <w:tcBorders>
              <w:left w:val="nil"/>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520" w:type="pct"/>
            <w:vMerge w:val="continue"/>
            <w:tcBorders>
              <w:left w:val="nil"/>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    次</w:t>
            </w:r>
          </w:p>
        </w:tc>
        <w:tc>
          <w:tcPr>
            <w:tcW w:w="266"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60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    次</w:t>
            </w:r>
          </w:p>
        </w:tc>
        <w:tc>
          <w:tcPr>
            <w:tcW w:w="266"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552"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2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2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520" w:type="pct"/>
            <w:tcBorders>
              <w:top w:val="nil"/>
              <w:left w:val="nil"/>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17,996.51</w:t>
            </w: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一、一般公共服务支出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33</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8,500.00</w:t>
            </w: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二、外交支出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34</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三、国防支出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35</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四、公共安全支出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36</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五、教育支出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37</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六、科学技术支出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38</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七、文化旅游体育与传媒支出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39</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八、社会保障和就业支出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40</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613.37</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613.37</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九、卫生健康支出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41</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17,203.15</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17,203.15</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十、节能环保支出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42</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十一、城乡社区支出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43</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auto"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w:t>
            </w:r>
          </w:p>
        </w:tc>
        <w:tc>
          <w:tcPr>
            <w:tcW w:w="609" w:type="pct"/>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auto"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十二、农林水支出</w:t>
            </w:r>
          </w:p>
        </w:tc>
        <w:tc>
          <w:tcPr>
            <w:tcW w:w="266" w:type="pct"/>
            <w:tcBorders>
              <w:top w:val="nil"/>
              <w:left w:val="nil"/>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44</w:t>
            </w:r>
          </w:p>
        </w:tc>
        <w:tc>
          <w:tcPr>
            <w:tcW w:w="552" w:type="pct"/>
            <w:gridSpan w:val="2"/>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auto"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13</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十三、交通运输支出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45</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14</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十四、资源勘探工业信息等支出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46</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15</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十五、商业服务业等支出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47</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16</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十六、金融支出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48</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17</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十七、援助其他地区支出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49</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18</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十八、自然资源海洋气象等支出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50</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19</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十九、住房保障支出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51</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179.99</w:t>
            </w: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179.99</w:t>
            </w: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二十、粮油物资储备支出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52</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21</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二十一、国有资本经营预算支出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53</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22</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二十二、灾害防治及应急管理支出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54</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23</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二十三、其他支出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55</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8,500.00</w:t>
            </w: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8,500.00</w:t>
            </w: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24</w:t>
            </w:r>
          </w:p>
        </w:tc>
        <w:tc>
          <w:tcPr>
            <w:tcW w:w="609" w:type="pct"/>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二十四、债务还本支出</w:t>
            </w:r>
          </w:p>
        </w:tc>
        <w:tc>
          <w:tcPr>
            <w:tcW w:w="266" w:type="pct"/>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56</w:t>
            </w:r>
          </w:p>
        </w:tc>
        <w:tc>
          <w:tcPr>
            <w:tcW w:w="552" w:type="pct"/>
            <w:gridSpan w:val="2"/>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25</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二十五、债务付息支出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57</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26</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二十六、抗疫特别国债安排的支出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58</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本年收入合计</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27</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26,496.51</w:t>
            </w: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本年支出合计</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59</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26,496.51</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17,996.51</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8,500.00</w:t>
            </w: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年初财政拨款结转和结余</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28</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年末财政拨款结转和结余</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60</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both"/>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29</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61</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30</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62</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31</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63</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6" w:type="pct"/>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32</w:t>
            </w:r>
          </w:p>
        </w:tc>
        <w:tc>
          <w:tcPr>
            <w:tcW w:w="609" w:type="pct"/>
            <w:tcBorders>
              <w:top w:val="nil"/>
              <w:left w:val="nil"/>
              <w:bottom w:val="single" w:color="000000" w:sz="8"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26,496.51</w:t>
            </w:r>
          </w:p>
        </w:tc>
        <w:tc>
          <w:tcPr>
            <w:tcW w:w="895" w:type="pct"/>
            <w:gridSpan w:val="2"/>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6" w:type="pct"/>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64</w:t>
            </w:r>
          </w:p>
        </w:tc>
        <w:tc>
          <w:tcPr>
            <w:tcW w:w="552" w:type="pct"/>
            <w:gridSpan w:val="2"/>
            <w:tcBorders>
              <w:top w:val="nil"/>
              <w:left w:val="nil"/>
              <w:bottom w:val="single" w:color="000000" w:sz="8"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26,496.51</w:t>
            </w:r>
          </w:p>
        </w:tc>
        <w:tc>
          <w:tcPr>
            <w:tcW w:w="520" w:type="pct"/>
            <w:tcBorders>
              <w:top w:val="nil"/>
              <w:left w:val="nil"/>
              <w:bottom w:val="single" w:color="000000" w:sz="8" w:space="0"/>
              <w:right w:val="single" w:color="000000" w:sz="4" w:space="0"/>
            </w:tcBorders>
            <w:noWrap/>
            <w:vAlign w:val="center"/>
          </w:tcPr>
          <w:p>
            <w:pPr>
              <w:jc w:val="right"/>
              <w:rPr>
                <w:rFonts w:hint="default" w:ascii="Times New Roman" w:hAnsi="Times New Roman" w:cs="Times New Roman"/>
                <w:sz w:val="20"/>
                <w:szCs w:val="20"/>
                <w:highlight w:val="none"/>
              </w:rPr>
            </w:pPr>
          </w:p>
          <w:p>
            <w:pPr>
              <w:jc w:val="right"/>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17,996.51</w:t>
            </w:r>
          </w:p>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8"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8,500.00</w:t>
            </w:r>
          </w:p>
        </w:tc>
        <w:tc>
          <w:tcPr>
            <w:tcW w:w="520" w:type="pct"/>
            <w:tcBorders>
              <w:top w:val="nil"/>
              <w:left w:val="nil"/>
              <w:bottom w:val="single" w:color="000000" w:sz="8"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注：本表反映部门本年度一般公共预算财政拨款、政府性基金预算财政拨款和国有资本经营预算财政拨款的总收支和年末结转结余情况。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5348" w:type="pct"/>
        <w:tblInd w:w="-6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11"/>
        <w:gridCol w:w="3300"/>
        <w:gridCol w:w="930"/>
        <w:gridCol w:w="558"/>
        <w:gridCol w:w="730"/>
        <w:gridCol w:w="367"/>
        <w:gridCol w:w="12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5000" w:type="pct"/>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000" w:type="pct"/>
            <w:gridSpan w:val="7"/>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方正仿宋_GB2312" w:cs="Times New Roman"/>
                <w:i w:val="0"/>
                <w:iCs w:val="0"/>
                <w:color w:val="000000"/>
                <w:kern w:val="0"/>
                <w:sz w:val="20"/>
                <w:szCs w:val="20"/>
                <w:highlight w:val="none"/>
                <w:u w:val="none"/>
                <w:lang w:val="en-US" w:eastAsia="zh-CN" w:bidi="ar"/>
              </w:rPr>
              <w:t>05</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868" w:type="pct"/>
            <w:gridSpan w:val="3"/>
            <w:tcBorders>
              <w:top w:val="nil"/>
              <w:left w:val="nil"/>
              <w:bottom w:val="single" w:color="auto" w:sz="4" w:space="0"/>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编制部门（单位）：遵化市卫生健康局（汇总）</w:t>
            </w:r>
          </w:p>
        </w:tc>
        <w:tc>
          <w:tcPr>
            <w:tcW w:w="1541" w:type="pct"/>
            <w:gridSpan w:val="2"/>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590" w:type="pct"/>
            <w:gridSpan w:val="2"/>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3538"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04"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科目代码</w:t>
            </w:r>
          </w:p>
        </w:tc>
        <w:tc>
          <w:tcPr>
            <w:tcW w:w="756"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1160" w:type="pct"/>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小计</w:t>
            </w:r>
          </w:p>
        </w:tc>
        <w:tc>
          <w:tcPr>
            <w:tcW w:w="1160" w:type="pct"/>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1218"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704"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756"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218"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04"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756"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218"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w:t>
            </w:r>
          </w:p>
        </w:tc>
        <w:tc>
          <w:tcPr>
            <w:tcW w:w="121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17,996.51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2,924.37</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15,072.14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社会保障和就业支出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613.37</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613.37</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行政事业单位养老支出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613.37</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613.37</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行政单位离退休</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125.09</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125.09</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2080502</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事业单位离退休</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110.29</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110.29</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2080505</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机关事业单位基本养老保险缴费支出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276.93</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276.93</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2080506</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机关事业单位职业年金缴费支出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101.05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101.05</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卫生健康支出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17,203.15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2,131.01</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15,072.14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卫生健康管理事务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1,321.86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649.65</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672.21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2100101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行政运行</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649.65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649.65</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2100102</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一般行政管理事务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92.29</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92.29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2100199</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其他卫生健康管理事务支出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579.92</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579.92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21002</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公立医院</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1,293.20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1,293.20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2100206</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妇幼保健医院</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89.00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2100299</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其他公立医院支出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1,204.20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1,204.20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21003</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基层医疗卫生机构</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2,399.19</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2,399.19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2100302</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乡镇卫生院</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7.50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2100399</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其他基层医疗卫生机构支出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2,391.69</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2,391.69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21004</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公共卫生</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9,158.56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1,100.60</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8,057.96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2100401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疾病预防控制机构</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809.20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701.45</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107.76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2100402</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卫生监督机构</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284.93</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284.93</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2100403</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妇幼保健机构</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114.22</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114.22</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2100408</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基本公共卫生服务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6,487.85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6,487.85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2100409</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重大公共卫生服务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402.81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402.81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2100410</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突发公共卫生事件应急处置</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862.60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862.60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2100499</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其他公共卫生支出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196.94</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196.94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21007</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计划生育事务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2,609.58</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2,609.58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2100717</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计划生育服务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2,608.98</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2,608.98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2100799</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其他计划生育事务支出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0.60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行政事业单位医疗</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380.77</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380.77</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行政单位医疗</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124.31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124.31</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2101102</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事业单位医疗</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154.37</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154.37</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2101103</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公务员医疗补助</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102.09</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102.09</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21017</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中医药事务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40.00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2101799</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其他中医药事务支出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40.00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住房保障支出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179.99</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179.99</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住房改革支出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179.99</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179.99</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住房公积金</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179.99</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179.99</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5000" w:type="pct"/>
            <w:gridSpan w:val="7"/>
            <w:tcBorders>
              <w:top w:val="single" w:color="auto" w:sz="4" w:space="0"/>
              <w:left w:val="nil"/>
              <w:bottom w:val="nil"/>
              <w:right w:val="nil"/>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注：本表反映部门本年度一般公共预算财政拨款支出情况。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7050" w:type="pct"/>
        <w:tblInd w:w="-16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4"/>
        <w:gridCol w:w="1814"/>
        <w:gridCol w:w="1020"/>
        <w:gridCol w:w="964"/>
        <w:gridCol w:w="438"/>
        <w:gridCol w:w="1376"/>
        <w:gridCol w:w="587"/>
        <w:gridCol w:w="377"/>
        <w:gridCol w:w="964"/>
        <w:gridCol w:w="1814"/>
        <w:gridCol w:w="1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000" w:type="pct"/>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nil"/>
              <w:left w:val="nil"/>
              <w:bottom w:val="nil"/>
              <w:right w:val="nil"/>
            </w:tcBorders>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公开</w:t>
            </w:r>
            <w:r>
              <w:rPr>
                <w:rFonts w:hint="default" w:ascii="Times New Roman" w:hAnsi="Times New Roman" w:eastAsia="方正仿宋_GB2312" w:cs="Times New Roman"/>
                <w:i w:val="0"/>
                <w:iCs w:val="0"/>
                <w:color w:val="000000"/>
                <w:kern w:val="0"/>
                <w:sz w:val="18"/>
                <w:szCs w:val="18"/>
                <w:highlight w:val="none"/>
                <w:u w:val="none"/>
                <w:lang w:val="en-US" w:eastAsia="zh-CN" w:bidi="ar"/>
              </w:rPr>
              <w:t>06</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293" w:type="pct"/>
            <w:gridSpan w:val="5"/>
            <w:tcBorders>
              <w:top w:val="nil"/>
              <w:left w:val="nil"/>
              <w:bottom w:val="single" w:color="auto" w:sz="4" w:space="0"/>
              <w:right w:val="nil"/>
            </w:tcBorders>
            <w:noWrap/>
            <w:vAlign w:val="bottom"/>
          </w:tcPr>
          <w:p>
            <w:pP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部门（单位）：遵化市卫生健康局（汇总） </w:t>
            </w:r>
            <w:r>
              <w:rPr>
                <w:rFonts w:hint="eastAsia" w:asciiTheme="minorEastAsia" w:hAnsiTheme="minorEastAsia" w:cstheme="minorEastAsia"/>
                <w:i w:val="0"/>
                <w:iCs w:val="0"/>
                <w:color w:val="000000"/>
                <w:kern w:val="0"/>
                <w:sz w:val="18"/>
                <w:szCs w:val="18"/>
                <w:highlight w:val="none"/>
                <w:u w:val="none"/>
                <w:lang w:val="en-US" w:eastAsia="zh-CN" w:bidi="ar"/>
              </w:rPr>
              <w:t xml:space="preserve">                                                                   </w:t>
            </w:r>
          </w:p>
        </w:tc>
        <w:tc>
          <w:tcPr>
            <w:tcW w:w="865" w:type="pct"/>
            <w:gridSpan w:val="2"/>
            <w:tcBorders>
              <w:top w:val="nil"/>
              <w:left w:val="nil"/>
              <w:bottom w:val="single" w:color="auto" w:sz="4" w:space="0"/>
              <w:right w:val="nil"/>
            </w:tcBorders>
            <w:noWrap/>
            <w:vAlign w:val="bottom"/>
          </w:tcPr>
          <w:p>
            <w:pPr>
              <w:jc w:val="center"/>
              <w:rPr>
                <w:rFonts w:hint="default"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cstheme="minorEastAsia"/>
                <w:i w:val="0"/>
                <w:iCs w:val="0"/>
                <w:color w:val="000000"/>
                <w:kern w:val="0"/>
                <w:sz w:val="18"/>
                <w:szCs w:val="18"/>
                <w:highlight w:val="none"/>
                <w:u w:val="none"/>
                <w:lang w:val="en-US" w:eastAsia="zh-CN" w:bidi="ar"/>
              </w:rPr>
              <w:t>2024</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年度</w:t>
            </w:r>
          </w:p>
        </w:tc>
        <w:tc>
          <w:tcPr>
            <w:tcW w:w="1841" w:type="pct"/>
            <w:gridSpan w:val="4"/>
            <w:tcBorders>
              <w:top w:val="nil"/>
              <w:left w:val="nil"/>
              <w:bottom w:val="single" w:color="auto" w:sz="4" w:space="0"/>
              <w:right w:val="nil"/>
            </w:tcBorders>
            <w:noWrap/>
            <w:vAlign w:val="bottom"/>
          </w:tcPr>
          <w:p>
            <w:pPr>
              <w:jc w:val="right"/>
              <w:rPr>
                <w:rFonts w:hint="default"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674" w:type="pct"/>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人员经费</w:t>
            </w:r>
          </w:p>
        </w:tc>
        <w:tc>
          <w:tcPr>
            <w:tcW w:w="3325" w:type="pct"/>
            <w:gridSpan w:val="8"/>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科目代码</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4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c>
          <w:tcPr>
            <w:tcW w:w="4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eastAsia="zh-CN"/>
              </w:rPr>
            </w:pPr>
            <w:r>
              <w:rPr>
                <w:rFonts w:hint="eastAsia" w:ascii="方正仿宋_GB2312" w:hAnsi="方正仿宋_GB2312" w:eastAsia="方正仿宋_GB2312" w:cs="方正仿宋_GB2312"/>
                <w:i w:val="0"/>
                <w:iCs w:val="0"/>
                <w:color w:val="000000"/>
                <w:sz w:val="18"/>
                <w:szCs w:val="18"/>
                <w:highlight w:val="none"/>
                <w:u w:val="none"/>
                <w:lang w:val="en-US" w:eastAsia="zh-CN"/>
              </w:rPr>
              <w:t>科目代码</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c>
          <w:tcPr>
            <w:tcW w:w="4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eastAsia="zh-CN"/>
              </w:rPr>
            </w:pPr>
            <w:r>
              <w:rPr>
                <w:rFonts w:hint="eastAsia" w:ascii="方正仿宋_GB2312" w:hAnsi="方正仿宋_GB2312" w:eastAsia="方正仿宋_GB2312" w:cs="方正仿宋_GB2312"/>
                <w:i w:val="0"/>
                <w:iCs w:val="0"/>
                <w:color w:val="000000"/>
                <w:sz w:val="18"/>
                <w:szCs w:val="18"/>
                <w:highlight w:val="none"/>
                <w:u w:val="none"/>
                <w:lang w:val="en-US" w:eastAsia="zh-CN"/>
              </w:rPr>
              <w:t>科目代码</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4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工资福利支出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2,648.53</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商品和服务支出</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31.00</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债务利息及费用支出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基本工资</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917.18</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办公费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1.94</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国内债务付息</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津贴补贴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137.70</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印刷费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30702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国外债务付息</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奖金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26.71</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30203</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咨询费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资本性支出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30106</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伙食补助费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手续费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房屋建筑物购建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30107</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绩效工资</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354.06</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水费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办公设备购置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30108</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机关事业单位基本养老保险缴费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276.93</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电费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1.28</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专用设备购置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职业年金缴费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101.05</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邮电费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0.51</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31005</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基础设施建设</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30110</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职工基本医疗保险缴费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275.42</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取暖费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3.45</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31006</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大型修缮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公务员医疗补助缴费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102.09</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物业管理费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31007</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信息网络及软件购置更新</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其他社会保障缴费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8.69</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差旅费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1.15</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31008</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物资储备</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住房公积金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179.99</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土地补偿</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30114</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医疗费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30213</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维修（护）费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31010</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安置补助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其他工资福利支出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268.71</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租赁费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地上附着物和青苗补偿</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对个人和家庭的补助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244.83</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会议费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拆迁补偿</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离休费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培训费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退休费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235.38</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其他交通工具购置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退职（役）费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专用材料费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31021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文物和陈列品购置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30304</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抚恤金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被装购置费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31022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无形资产购置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30305</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生活补助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2.83</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专用燃料费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其他资本性支出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30306</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救济费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劳务费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对企业补助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30307</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医疗费补助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1.95</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委托业务费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资本金注入</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30308</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助学金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工会经费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9.51</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政府投资基金股权投资</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奖励金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4.06</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福利费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7.64</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31204</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费用补贴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30310</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个人农业生产补贴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30231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4.25</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31205</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利息补贴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30311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代缴社会保险费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30239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其他交通费用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其他对企业补助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其他对个人和家庭的补助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0.61</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30240</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税金及附加费用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30299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其他商品和服务支出</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1.26</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39907</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国家赔偿费用支出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39908</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对民间非营利组织和群众性自治组织补贴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经常性赠与</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39910</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资本性赠与</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25" w:type="pct"/>
            <w:gridSpan w:val="2"/>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eastAsiaTheme="minorEastAsia"/>
                <w:sz w:val="18"/>
                <w:szCs w:val="18"/>
                <w:highlight w:val="none"/>
                <w:lang w:val="en-US" w:eastAsia="zh-CN"/>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人员经费合计</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2,893.36</w:t>
            </w:r>
          </w:p>
        </w:tc>
        <w:tc>
          <w:tcPr>
            <w:tcW w:w="2875" w:type="pct"/>
            <w:gridSpan w:val="7"/>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公用经费合计</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31.00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00" w:type="pct"/>
            <w:gridSpan w:val="11"/>
            <w:tcBorders>
              <w:top w:val="single" w:color="auto" w:sz="4" w:space="0"/>
              <w:left w:val="nil"/>
              <w:bottom w:val="nil"/>
              <w:right w:val="nil"/>
            </w:tcBorders>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注：本表反映部门本年度一般公共预算财政拨款基本支出明细情况。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6517" w:type="pct"/>
        <w:tblInd w:w="-14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0"/>
        <w:gridCol w:w="1474"/>
        <w:gridCol w:w="1306"/>
        <w:gridCol w:w="1027"/>
        <w:gridCol w:w="1107"/>
        <w:gridCol w:w="418"/>
        <w:gridCol w:w="702"/>
        <w:gridCol w:w="1146"/>
        <w:gridCol w:w="2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9"/>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宋体" w:cs="Times New Roman"/>
                <w:i w:val="0"/>
                <w:iCs w:val="0"/>
                <w:color w:val="000000"/>
                <w:kern w:val="0"/>
                <w:sz w:val="20"/>
                <w:szCs w:val="20"/>
                <w:highlight w:val="none"/>
                <w:u w:val="none"/>
                <w:lang w:val="en-US" w:eastAsia="zh-CN" w:bidi="ar"/>
              </w:rPr>
              <w:t>07</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27" w:type="pct"/>
            <w:gridSpan w:val="3"/>
            <w:tcBorders>
              <w:top w:val="nil"/>
              <w:left w:val="nil"/>
              <w:bottom w:val="single" w:color="auto" w:sz="4" w:space="0"/>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部门（单位）：遵化市卫生健康局（汇总） </w:t>
            </w: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1217" w:type="pct"/>
            <w:gridSpan w:val="3"/>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202</w:t>
            </w:r>
            <w:r>
              <w:rPr>
                <w:rFonts w:hint="eastAsia" w:ascii="Times New Roman" w:hAnsi="Times New Roman" w:eastAsia="宋体"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854" w:type="pct"/>
            <w:gridSpan w:val="3"/>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4" w:type="pct"/>
            <w:gridSpan w:val="2"/>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623"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年初结转和结余</w:t>
            </w:r>
          </w:p>
        </w:tc>
        <w:tc>
          <w:tcPr>
            <w:tcW w:w="489"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本年收入</w:t>
            </w:r>
          </w:p>
        </w:tc>
        <w:tc>
          <w:tcPr>
            <w:tcW w:w="1609" w:type="pct"/>
            <w:gridSpan w:val="4"/>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w:t>
            </w:r>
          </w:p>
        </w:tc>
        <w:tc>
          <w:tcPr>
            <w:tcW w:w="973" w:type="pct"/>
            <w:vMerge w:val="restart"/>
            <w:tcBorders>
              <w:top w:val="single" w:color="auto" w:sz="4" w:space="0"/>
              <w:left w:val="nil"/>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01"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703"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62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8"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小计</w:t>
            </w:r>
          </w:p>
        </w:tc>
        <w:tc>
          <w:tcPr>
            <w:tcW w:w="534" w:type="pct"/>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54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c>
          <w:tcPr>
            <w:tcW w:w="973" w:type="pct"/>
            <w:vMerge w:val="continue"/>
            <w:tcBorders>
              <w:left w:val="nil"/>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结转</w:t>
            </w:r>
          </w:p>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01"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3"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2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8"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34" w:type="pct"/>
            <w:gridSpan w:val="2"/>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46"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73" w:type="pct"/>
            <w:vMerge w:val="continue"/>
            <w:tcBorders>
              <w:left w:val="nil"/>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01" w:type="pct"/>
            <w:vMerge w:val="continue"/>
            <w:tcBorders>
              <w:top w:val="nil"/>
              <w:left w:val="single" w:color="000000" w:sz="4" w:space="0"/>
              <w:bottom w:val="single" w:color="auto"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3" w:type="pct"/>
            <w:vMerge w:val="continue"/>
            <w:tcBorders>
              <w:top w:val="nil"/>
              <w:left w:val="nil"/>
              <w:bottom w:val="single" w:color="auto"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2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8"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34" w:type="pct"/>
            <w:gridSpan w:val="2"/>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46"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73" w:type="pct"/>
            <w:vMerge w:val="continue"/>
            <w:tcBorders>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623" w:type="pct"/>
            <w:tcBorders>
              <w:top w:val="nil"/>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1</w:t>
            </w:r>
          </w:p>
        </w:tc>
        <w:tc>
          <w:tcPr>
            <w:tcW w:w="48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2</w:t>
            </w:r>
          </w:p>
        </w:tc>
        <w:tc>
          <w:tcPr>
            <w:tcW w:w="52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3</w:t>
            </w:r>
          </w:p>
        </w:tc>
        <w:tc>
          <w:tcPr>
            <w:tcW w:w="534"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4</w:t>
            </w:r>
          </w:p>
        </w:tc>
        <w:tc>
          <w:tcPr>
            <w:tcW w:w="54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5</w:t>
            </w:r>
          </w:p>
        </w:tc>
        <w:tc>
          <w:tcPr>
            <w:tcW w:w="9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lang w:val="en-US" w:eastAsia="zh-CN"/>
              </w:rPr>
            </w:pPr>
            <w:r>
              <w:rPr>
                <w:rFonts w:hint="default" w:ascii="Times New Roman" w:hAnsi="Times New Roman" w:eastAsia="方正仿宋_GB2312" w:cs="Times New Roman"/>
                <w:i w:val="0"/>
                <w:iCs w:val="0"/>
                <w:color w:val="000000"/>
                <w:sz w:val="20"/>
                <w:szCs w:val="20"/>
                <w:highlight w:val="none"/>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130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623" w:type="pct"/>
            <w:tcBorders>
              <w:top w:val="nil"/>
              <w:left w:val="single" w:color="auto" w:sz="4" w:space="0"/>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48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8,500.00</w:t>
            </w:r>
          </w:p>
        </w:tc>
        <w:tc>
          <w:tcPr>
            <w:tcW w:w="528"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8,500.00</w:t>
            </w:r>
          </w:p>
        </w:tc>
        <w:tc>
          <w:tcPr>
            <w:tcW w:w="534"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4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8,500.00</w:t>
            </w:r>
          </w:p>
        </w:tc>
        <w:tc>
          <w:tcPr>
            <w:tcW w:w="97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1"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229</w:t>
            </w:r>
          </w:p>
        </w:tc>
        <w:tc>
          <w:tcPr>
            <w:tcW w:w="703"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其他支出</w:t>
            </w:r>
          </w:p>
        </w:tc>
        <w:tc>
          <w:tcPr>
            <w:tcW w:w="62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48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8,500.00</w:t>
            </w:r>
          </w:p>
        </w:tc>
        <w:tc>
          <w:tcPr>
            <w:tcW w:w="528"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8,500.00</w:t>
            </w:r>
          </w:p>
        </w:tc>
        <w:tc>
          <w:tcPr>
            <w:tcW w:w="534"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4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8,500.00</w:t>
            </w:r>
          </w:p>
        </w:tc>
        <w:tc>
          <w:tcPr>
            <w:tcW w:w="97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1"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22904</w:t>
            </w:r>
          </w:p>
        </w:tc>
        <w:tc>
          <w:tcPr>
            <w:tcW w:w="703"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其他政府性基金及对应专项债务收入安排的支出</w:t>
            </w:r>
          </w:p>
        </w:tc>
        <w:tc>
          <w:tcPr>
            <w:tcW w:w="62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48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8,500.00</w:t>
            </w:r>
          </w:p>
        </w:tc>
        <w:tc>
          <w:tcPr>
            <w:tcW w:w="528"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8,500.00</w:t>
            </w:r>
          </w:p>
        </w:tc>
        <w:tc>
          <w:tcPr>
            <w:tcW w:w="534"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4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8,500.00</w:t>
            </w:r>
          </w:p>
        </w:tc>
        <w:tc>
          <w:tcPr>
            <w:tcW w:w="97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1"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2290402</w:t>
            </w:r>
          </w:p>
        </w:tc>
        <w:tc>
          <w:tcPr>
            <w:tcW w:w="703"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其他地方自行试点项目收益专项债券收入安排的支出</w:t>
            </w:r>
          </w:p>
        </w:tc>
        <w:tc>
          <w:tcPr>
            <w:tcW w:w="62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48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8,500.00</w:t>
            </w:r>
          </w:p>
        </w:tc>
        <w:tc>
          <w:tcPr>
            <w:tcW w:w="528"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8,500.00</w:t>
            </w:r>
          </w:p>
        </w:tc>
        <w:tc>
          <w:tcPr>
            <w:tcW w:w="534"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4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8,500.00</w:t>
            </w:r>
          </w:p>
        </w:tc>
        <w:tc>
          <w:tcPr>
            <w:tcW w:w="97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pP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注：本表反映部门本年度政府性基金预算财政拨款收入、支出及结转和结余情况。</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page"/>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5863" w:type="pct"/>
        <w:tblInd w:w="-9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93"/>
        <w:gridCol w:w="731"/>
        <w:gridCol w:w="1296"/>
        <w:gridCol w:w="1332"/>
        <w:gridCol w:w="5"/>
        <w:gridCol w:w="47"/>
        <w:gridCol w:w="1281"/>
        <w:gridCol w:w="10"/>
        <w:gridCol w:w="17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9"/>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方正仿宋_GB2312" w:cs="Times New Roman"/>
                <w:i w:val="0"/>
                <w:iCs w:val="0"/>
                <w:color w:val="000000"/>
                <w:kern w:val="0"/>
                <w:sz w:val="20"/>
                <w:szCs w:val="20"/>
                <w:highlight w:val="none"/>
                <w:u w:val="none"/>
                <w:lang w:val="en-US" w:eastAsia="zh-CN" w:bidi="ar"/>
              </w:rPr>
              <w:t>08</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74" w:type="pct"/>
            <w:gridSpan w:val="2"/>
            <w:tcBorders>
              <w:top w:val="nil"/>
              <w:left w:val="nil"/>
              <w:bottom w:val="single" w:color="auto" w:sz="4" w:space="0"/>
              <w:right w:val="nil"/>
            </w:tcBorders>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部门（单位）：遵化市卫生健康局（汇总）</w:t>
            </w:r>
          </w:p>
        </w:tc>
        <w:tc>
          <w:tcPr>
            <w:tcW w:w="1421" w:type="pct"/>
            <w:gridSpan w:val="4"/>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202</w:t>
            </w:r>
            <w:r>
              <w:rPr>
                <w:rFonts w:hint="eastAsia" w:ascii="Times New Roman" w:hAnsi="Times New Roman" w:eastAsia="宋体"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603" w:type="pct"/>
            <w:gridSpan w:val="3"/>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62" w:type="pct"/>
            <w:gridSpan w:val="3"/>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项目</w:t>
            </w:r>
          </w:p>
        </w:tc>
        <w:tc>
          <w:tcPr>
            <w:tcW w:w="2337" w:type="pct"/>
            <w:gridSpan w:val="6"/>
            <w:vMerge w:val="restart"/>
            <w:tcBorders>
              <w:top w:val="single" w:color="auto"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62" w:type="pct"/>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2337" w:type="pct"/>
            <w:gridSpan w:val="6"/>
            <w:vMerge w:val="continue"/>
            <w:tcBorders>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87" w:type="pct"/>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1074" w:type="pct"/>
            <w:gridSpan w:val="2"/>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科目名称</w:t>
            </w:r>
          </w:p>
        </w:tc>
        <w:tc>
          <w:tcPr>
            <w:tcW w:w="709" w:type="pct"/>
            <w:gridSpan w:val="2"/>
            <w:vMerge w:val="restart"/>
            <w:tcBorders>
              <w:top w:val="nil"/>
              <w:left w:val="single" w:color="auto"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合计</w:t>
            </w:r>
          </w:p>
        </w:tc>
        <w:tc>
          <w:tcPr>
            <w:tcW w:w="709" w:type="pct"/>
            <w:gridSpan w:val="3"/>
            <w:vMerge w:val="restart"/>
            <w:tcBorders>
              <w:top w:val="nil"/>
              <w:left w:val="nil"/>
              <w:right w:val="single" w:color="000000" w:sz="4" w:space="0"/>
            </w:tcBorders>
            <w:noWrap w:val="0"/>
            <w:vAlign w:val="center"/>
          </w:tcPr>
          <w:p>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基本支出</w:t>
            </w:r>
          </w:p>
        </w:tc>
        <w:tc>
          <w:tcPr>
            <w:tcW w:w="919" w:type="pct"/>
            <w:vMerge w:val="restart"/>
            <w:tcBorders>
              <w:top w:val="nil"/>
              <w:left w:val="nil"/>
              <w:right w:val="single" w:color="000000" w:sz="4" w:space="0"/>
            </w:tcBorders>
            <w:noWrap w:val="0"/>
            <w:vAlign w:val="center"/>
          </w:tcPr>
          <w:p>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87" w:type="pct"/>
            <w:vMerge w:val="continue"/>
            <w:tcBorders>
              <w:top w:val="single" w:color="auto" w:sz="4" w:space="0"/>
              <w:left w:val="single" w:color="auto" w:sz="4" w:space="0"/>
              <w:bottom w:val="single" w:color="auto"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74" w:type="pct"/>
            <w:gridSpan w:val="2"/>
            <w:vMerge w:val="continue"/>
            <w:tcBorders>
              <w:top w:val="single" w:color="auto" w:sz="4" w:space="0"/>
              <w:left w:val="nil"/>
              <w:bottom w:val="single" w:color="auto" w:sz="4" w:space="0"/>
              <w:right w:val="single" w:color="auto"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9" w:type="pct"/>
            <w:gridSpan w:val="2"/>
            <w:vMerge w:val="continue"/>
            <w:tcBorders>
              <w:left w:val="single" w:color="auto"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9" w:type="pct"/>
            <w:gridSpan w:val="3"/>
            <w:vMerge w:val="continue"/>
            <w:tcBorders>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19" w:type="pct"/>
            <w:vMerge w:val="continue"/>
            <w:tcBorders>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62" w:type="pct"/>
            <w:gridSpan w:val="3"/>
            <w:tcBorders>
              <w:top w:val="single" w:color="auto" w:sz="4" w:space="0"/>
              <w:left w:val="single" w:color="auto"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栏次</w:t>
            </w:r>
          </w:p>
        </w:tc>
        <w:tc>
          <w:tcPr>
            <w:tcW w:w="706" w:type="pct"/>
            <w:tcBorders>
              <w:top w:val="nil"/>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1</w:t>
            </w:r>
          </w:p>
        </w:tc>
        <w:tc>
          <w:tcPr>
            <w:tcW w:w="70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2</w:t>
            </w:r>
          </w:p>
        </w:tc>
        <w:tc>
          <w:tcPr>
            <w:tcW w:w="924"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62" w:type="pct"/>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合计</w:t>
            </w:r>
          </w:p>
        </w:tc>
        <w:tc>
          <w:tcPr>
            <w:tcW w:w="706" w:type="pct"/>
            <w:tcBorders>
              <w:top w:val="single" w:color="000000" w:sz="4" w:space="0"/>
              <w:left w:val="single" w:color="000000" w:sz="4" w:space="0"/>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06" w:type="pct"/>
            <w:gridSpan w:val="3"/>
            <w:tcBorders>
              <w:top w:val="single" w:color="000000" w:sz="4" w:space="0"/>
              <w:left w:val="single" w:color="000000" w:sz="4" w:space="0"/>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924" w:type="pct"/>
            <w:gridSpan w:val="2"/>
            <w:tcBorders>
              <w:top w:val="single" w:color="000000" w:sz="4" w:space="0"/>
              <w:left w:val="single" w:color="000000" w:sz="4" w:space="0"/>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注：本表反映部门本年度国有资本经营预算财政拨款支出情况。（如无相关数据，则需注明空表列示）</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pPr w:leftFromText="180" w:rightFromText="180" w:vertAnchor="text" w:horzAnchor="page" w:tblpX="282" w:tblpY="39"/>
        <w:tblOverlap w:val="never"/>
        <w:tblW w:w="721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7"/>
        <w:gridCol w:w="1226"/>
        <w:gridCol w:w="814"/>
        <w:gridCol w:w="946"/>
        <w:gridCol w:w="519"/>
        <w:gridCol w:w="544"/>
        <w:gridCol w:w="777"/>
        <w:gridCol w:w="845"/>
        <w:gridCol w:w="5"/>
        <w:gridCol w:w="1133"/>
        <w:gridCol w:w="640"/>
        <w:gridCol w:w="1027"/>
        <w:gridCol w:w="946"/>
        <w:gridCol w:w="11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14"/>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000" w:type="pct"/>
            <w:gridSpan w:val="1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公开</w:t>
            </w:r>
            <w:r>
              <w:rPr>
                <w:rFonts w:hint="default" w:ascii="Times New Roman" w:hAnsi="Times New Roman" w:eastAsia="方正仿宋_GB2312" w:cs="Times New Roman"/>
                <w:i w:val="0"/>
                <w:iCs w:val="0"/>
                <w:color w:val="000000"/>
                <w:kern w:val="0"/>
                <w:sz w:val="18"/>
                <w:szCs w:val="18"/>
                <w:highlight w:val="none"/>
                <w:u w:val="none"/>
                <w:lang w:val="en-US" w:eastAsia="zh-CN" w:bidi="ar"/>
              </w:rPr>
              <w:t>09</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936" w:type="pct"/>
            <w:gridSpan w:val="5"/>
            <w:tcBorders>
              <w:top w:val="nil"/>
              <w:left w:val="nil"/>
              <w:bottom w:val="single" w:color="auto" w:sz="4" w:space="0"/>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部门（单位）：遵化市卫生健康局（汇总）</w:t>
            </w:r>
          </w:p>
        </w:tc>
        <w:tc>
          <w:tcPr>
            <w:tcW w:w="933" w:type="pct"/>
            <w:gridSpan w:val="3"/>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202</w:t>
            </w:r>
            <w:r>
              <w:rPr>
                <w:rFonts w:hint="eastAsia" w:ascii="Times New Roman" w:hAnsi="Times New Roman" w:eastAsia="宋体" w:cs="Times New Roman"/>
                <w:i w:val="0"/>
                <w:iCs w:val="0"/>
                <w:color w:val="000000"/>
                <w:kern w:val="0"/>
                <w:sz w:val="18"/>
                <w:szCs w:val="18"/>
                <w:highlight w:val="none"/>
                <w:u w:val="none"/>
                <w:lang w:val="en-US" w:eastAsia="zh-CN" w:bidi="ar"/>
              </w:rPr>
              <w:t>4</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年度</w:t>
            </w:r>
          </w:p>
        </w:tc>
        <w:tc>
          <w:tcPr>
            <w:tcW w:w="2129" w:type="pct"/>
            <w:gridSpan w:val="6"/>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default" w:ascii="宋体" w:hAnsi="宋体" w:eastAsia="宋体" w:cs="宋体"/>
                <w:i w:val="0"/>
                <w:iCs w:val="0"/>
                <w:color w:val="000000"/>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2506" w:type="pct"/>
            <w:gridSpan w:val="7"/>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预算数</w:t>
            </w:r>
          </w:p>
        </w:tc>
        <w:tc>
          <w:tcPr>
            <w:tcW w:w="2493" w:type="pct"/>
            <w:gridSpan w:val="7"/>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vMerge w:val="restar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合计</w:t>
            </w:r>
          </w:p>
        </w:tc>
        <w:tc>
          <w:tcPr>
            <w:tcW w:w="528"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w:t>
            </w:r>
          </w:p>
        </w:tc>
        <w:tc>
          <w:tcPr>
            <w:tcW w:w="1217"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公务用车购置及运行维护费</w:t>
            </w:r>
          </w:p>
        </w:tc>
        <w:tc>
          <w:tcPr>
            <w:tcW w:w="335"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c>
          <w:tcPr>
            <w:tcW w:w="366" w:type="pct"/>
            <w:gridSpan w:val="2"/>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合计</w:t>
            </w:r>
          </w:p>
        </w:tc>
        <w:tc>
          <w:tcPr>
            <w:tcW w:w="488"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w:t>
            </w:r>
          </w:p>
        </w:tc>
        <w:tc>
          <w:tcPr>
            <w:tcW w:w="112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公务用车购置及运行维护费</w:t>
            </w:r>
          </w:p>
        </w:tc>
        <w:tc>
          <w:tcPr>
            <w:tcW w:w="511"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vMerge w:val="continue"/>
            <w:tcBorders>
              <w:top w:val="nil"/>
              <w:left w:val="single" w:color="000000" w:sz="4"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528" w:type="pct"/>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35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小计</w:t>
            </w:r>
          </w:p>
        </w:tc>
        <w:tc>
          <w:tcPr>
            <w:tcW w:w="4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公务用车购置费</w:t>
            </w:r>
          </w:p>
        </w:tc>
        <w:tc>
          <w:tcPr>
            <w:tcW w:w="45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335" w:type="pct"/>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366" w:type="pct"/>
            <w:gridSpan w:val="2"/>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488" w:type="pct"/>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27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小计</w:t>
            </w:r>
          </w:p>
        </w:tc>
        <w:tc>
          <w:tcPr>
            <w:tcW w:w="44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公务用车购置费</w:t>
            </w:r>
          </w:p>
        </w:tc>
        <w:tc>
          <w:tcPr>
            <w:tcW w:w="4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511" w:type="pct"/>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w:t>
            </w:r>
          </w:p>
        </w:tc>
        <w:tc>
          <w:tcPr>
            <w:tcW w:w="52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2</w:t>
            </w:r>
          </w:p>
        </w:tc>
        <w:tc>
          <w:tcPr>
            <w:tcW w:w="35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3</w:t>
            </w:r>
          </w:p>
        </w:tc>
        <w:tc>
          <w:tcPr>
            <w:tcW w:w="4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4</w:t>
            </w:r>
          </w:p>
        </w:tc>
        <w:tc>
          <w:tcPr>
            <w:tcW w:w="45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5</w:t>
            </w:r>
          </w:p>
        </w:tc>
        <w:tc>
          <w:tcPr>
            <w:tcW w:w="33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6</w:t>
            </w:r>
          </w:p>
        </w:tc>
        <w:tc>
          <w:tcPr>
            <w:tcW w:w="36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7</w:t>
            </w:r>
          </w:p>
        </w:tc>
        <w:tc>
          <w:tcPr>
            <w:tcW w:w="48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8</w:t>
            </w:r>
          </w:p>
        </w:tc>
        <w:tc>
          <w:tcPr>
            <w:tcW w:w="27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9</w:t>
            </w:r>
          </w:p>
        </w:tc>
        <w:tc>
          <w:tcPr>
            <w:tcW w:w="44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10</w:t>
            </w:r>
          </w:p>
        </w:tc>
        <w:tc>
          <w:tcPr>
            <w:tcW w:w="4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11</w:t>
            </w:r>
          </w:p>
        </w:tc>
        <w:tc>
          <w:tcPr>
            <w:tcW w:w="51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tcBorders>
              <w:top w:val="nil"/>
              <w:left w:val="single" w:color="000000" w:sz="4" w:space="0"/>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6.25</w:t>
            </w:r>
          </w:p>
        </w:tc>
        <w:tc>
          <w:tcPr>
            <w:tcW w:w="528"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35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6.15</w:t>
            </w:r>
          </w:p>
        </w:tc>
        <w:tc>
          <w:tcPr>
            <w:tcW w:w="407"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458"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6.15</w:t>
            </w:r>
          </w:p>
        </w:tc>
        <w:tc>
          <w:tcPr>
            <w:tcW w:w="33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0.10</w:t>
            </w:r>
          </w:p>
        </w:tc>
        <w:tc>
          <w:tcPr>
            <w:tcW w:w="36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4.25</w:t>
            </w:r>
          </w:p>
        </w:tc>
        <w:tc>
          <w:tcPr>
            <w:tcW w:w="488"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27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4.25</w:t>
            </w:r>
          </w:p>
        </w:tc>
        <w:tc>
          <w:tcPr>
            <w:tcW w:w="44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407"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4.25</w:t>
            </w:r>
          </w:p>
        </w:tc>
        <w:tc>
          <w:tcPr>
            <w:tcW w:w="511"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5000" w:type="pct"/>
            <w:gridSpan w:val="14"/>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sectPr>
          <w:headerReference r:id="rId9" w:type="default"/>
          <w:footerReference r:id="rId10"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第三部分   </w:t>
      </w:r>
      <w:r>
        <w:rPr>
          <w:rFonts w:ascii="Times New Roman" w:eastAsia="仿宋_GB2312"/>
          <w:b w:val="0"/>
          <w:sz w:val="44"/>
          <w:szCs w:val="44"/>
        </w:rPr>
        <w:t>2024</w:t>
      </w:r>
      <w:r>
        <w:rPr>
          <w:rFonts w:ascii="Times New Roman" w:eastAsia="黑体"/>
          <w:b w:val="0"/>
          <w:sz w:val="44"/>
          <w:szCs w:val="44"/>
        </w:rPr>
        <w:t>年度部门决算情况说明</w:t>
      </w:r>
    </w:p>
    <w:p>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一、收入支出决算总体情况说明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本部门2024年度收、支总计（含结转和结余）均为102,752.87万元。与2023年度决算相比，收支各增加76,264.85万元，增长287.9%，主要原因是2024年市医院及 医院纳入决算。</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Arial" w:cs="Times New Roman"/>
          <w:highlight w:val="none"/>
        </w:rPr>
      </w:pPr>
      <w:r>
        <w:rPr>
          <w:rFonts w:hint="eastAsia" w:ascii="Times New Roman" w:hAnsi="Times New Roman" w:eastAsia="宋体"/>
        </w:rPr>
        <w:drawing>
          <wp:inline distT="0" distB="0" distL="114300" distR="114300">
            <wp:extent cx="5256530" cy="2988310"/>
            <wp:effectExtent l="5080" t="4445" r="8890" b="1714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rFonts w:hint="default" w:ascii="Times New Roman" w:hAnsi="Times New Roman" w:eastAsia="Arial" w:cs="Times New Roman"/>
          <w:i w:val="0"/>
          <w:iCs w:val="0"/>
          <w:caps w:val="0"/>
          <w:color w:val="000000"/>
          <w:spacing w:val="0"/>
          <w:sz w:val="18"/>
          <w:szCs w:val="18"/>
          <w:highlight w:val="none"/>
          <w:shd w:val="clear" w:fill="FFFFFF"/>
        </w:rPr>
        <w:t> </w:t>
      </w:r>
    </w:p>
    <w:p>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二、收入决算情况说明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部门2024年度本年收入合计101,774.10万元，其中：财政拨款收入26,496.51万元，占26.0%​；上级补助收入0.00万元，占0.0%；事业收入75,204.72万元，占73.9%；经营收入0.00万元，占0.0%；附属单位上缴收入0.00万元，占0.0%；其他收入72.87万元，占0.1%。</w:t>
      </w:r>
    </w:p>
    <w:p>
      <w:pPr>
        <w:adjustRightInd w:val="0"/>
        <w:snapToGrid w:val="0"/>
        <w:spacing w:line="580" w:lineRule="exact"/>
        <w:jc w:val="both"/>
        <w:rPr>
          <w:rFonts w:hint="default" w:ascii="Times New Roman" w:hAnsi="Times New Roman" w:eastAsia="仿宋_GB2312" w:cs="Times New Roman"/>
          <w:kern w:val="2"/>
          <w:sz w:val="32"/>
          <w:szCs w:val="32"/>
          <w:highlight w:val="yellow"/>
          <w:lang w:val="zh-CN"/>
        </w:rPr>
      </w:pPr>
      <w:r>
        <w:rPr>
          <w:rFonts w:ascii="Times New Roman" w:hAnsi="Times New Roman" w:eastAsia="仿宋_GB2312"/>
          <w:kern w:val="2"/>
          <w:sz w:val="32"/>
          <w:szCs w:val="32"/>
          <w:highlight w:val="yellow"/>
          <w:lang w:val="zh-CN"/>
        </w:rPr>
        <w:drawing>
          <wp:anchor distT="0" distB="0" distL="114300" distR="114300" simplePos="0" relativeHeight="251661312" behindDoc="0" locked="0" layoutInCell="1" allowOverlap="1">
            <wp:simplePos x="0" y="0"/>
            <wp:positionH relativeFrom="column">
              <wp:posOffset>-16510</wp:posOffset>
            </wp:positionH>
            <wp:positionV relativeFrom="paragraph">
              <wp:posOffset>201930</wp:posOffset>
            </wp:positionV>
            <wp:extent cx="5256530" cy="2988310"/>
            <wp:effectExtent l="5080" t="4445" r="8890" b="17145"/>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三、支出决算情况说明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本部门2024年度本年支出合计102,612.88万元，其中：基本支出79,040.74万元，占77.0%；项目支出23,572.14万元，占23.0%；上缴上级支出0.00万元，占0.0%；经营支出0.00万元，占0.0%；对附属单位补助支出0.00万元，占0.0%。</w:t>
      </w:r>
    </w:p>
    <w:p>
      <w:pPr>
        <w:autoSpaceDE w:val="0"/>
        <w:autoSpaceDN w:val="0"/>
        <w:adjustRightInd w:val="0"/>
        <w:jc w:val="center"/>
        <w:rPr>
          <w:rFonts w:hint="default" w:ascii="Times New Roman" w:hAnsi="Times New Roman" w:eastAsia="仿宋_GB2312" w:cs="Times New Roman"/>
          <w:color w:val="auto"/>
          <w:kern w:val="0"/>
          <w:sz w:val="32"/>
          <w:szCs w:val="32"/>
          <w:highlight w:val="none"/>
          <w:lang w:val="en-US" w:eastAsia="zh-CN" w:bidi="ar-SA"/>
        </w:rPr>
      </w:pPr>
      <w:r>
        <w:rPr>
          <w:rFonts w:ascii="Times New Roman" w:hAnsi="Times New Roman" w:eastAsia="仿宋_GB2312" w:cs="Times New Roman"/>
          <w:sz w:val="32"/>
          <w:szCs w:val="32"/>
          <w:highlight w:val="none"/>
        </w:rPr>
        <w:drawing>
          <wp:inline distT="0" distB="0" distL="114300" distR="114300">
            <wp:extent cx="5256530" cy="2988310"/>
            <wp:effectExtent l="5080" t="4445" r="11430" b="952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四、财政拨款收入支出决算总体情况说明</w:t>
      </w:r>
    </w:p>
    <w:p>
      <w:pPr>
        <w:widowControl/>
        <w:spacing w:before="0" w:beforeLines="0" w:beforeAutospacing="0" w:after="0" w:afterLines="0" w:afterAutospacing="0" w:line="360" w:lineRule="auto"/>
        <w:ind w:firstLine="642" w:firstLineChars="200"/>
        <w:jc w:val="left"/>
        <w:rPr>
          <w:rFonts w:ascii="Times New Roman" w:eastAsia="楷体_GB2312"/>
          <w:sz w:val="32"/>
          <w:szCs w:val="32"/>
        </w:rPr>
      </w:pPr>
      <w:r>
        <w:rPr>
          <w:rFonts w:ascii="Times New Roman" w:eastAsia="楷体_GB2312"/>
          <w:b/>
          <w:sz w:val="32"/>
          <w:szCs w:val="32"/>
        </w:rPr>
        <w:t>（一）财政拨款收支与</w:t>
      </w:r>
      <w:r>
        <w:rPr>
          <w:rFonts w:ascii="Times New Roman" w:eastAsia="仿宋_GB2312"/>
          <w:b/>
          <w:sz w:val="32"/>
          <w:szCs w:val="32"/>
        </w:rPr>
        <w:t>2023</w:t>
      </w:r>
      <w:r>
        <w:rPr>
          <w:rFonts w:ascii="Times New Roman" w:eastAsia="楷体_GB2312"/>
          <w:b/>
          <w:sz w:val="32"/>
          <w:szCs w:val="32"/>
        </w:rPr>
        <w:t>年度决算对比情况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本部门2024年度财政拨款收、支总计（含结转和结余）均为26,496.51万元。与2023年度相比，财政拨款收支各增加8.49万元，增长0.0%，主要原因是。</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本部门2024年度财政拨款本年收入26,496.51万元,比上年增加8.49万元，增长0.0%，主要原因是；本年支出26,496.51万元，比上年增加8.49万元，增长0.0%，主要原因是。具体情况如下：</w:t>
      </w:r>
    </w:p>
    <w:p>
      <w:pPr>
        <w:widowControl/>
        <w:spacing w:before="0" w:beforeLines="0" w:beforeAutospacing="0" w:after="0" w:afterLines="0" w:afterAutospacing="0" w:line="360" w:lineRule="auto"/>
        <w:ind w:firstLine="640" w:firstLineChars="200"/>
        <w:jc w:val="left"/>
        <w:outlineLvl w:val="1"/>
        <w:rPr>
          <w:rFonts w:ascii="Times New Roman" w:eastAsia="仿宋_GB2312"/>
          <w:sz w:val="32"/>
          <w:szCs w:val="32"/>
        </w:rPr>
      </w:pPr>
      <w:r>
        <w:rPr>
          <w:rFonts w:ascii="Times New Roman" w:eastAsia="仿宋_GB2312"/>
          <w:b w:val="0"/>
          <w:sz w:val="32"/>
          <w:szCs w:val="32"/>
        </w:rPr>
        <w:t>1. 一般公共预算财政拨款本年收入17,996.51​​万元,比上年减少6,291.51万元，降低25.9%，主要原因是；本年支出17,996.51​​ 万元，比上年减少6,291.51万元，降低25.9%，主要原因是。</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 政府性基金预算财政拨款本年收入8,500.00万元，比上年增加6,300.00万元，增长286.4%，主要原因是；本年支出8,500.00万元，比上年增加6,300.00万元，增长286.4%，主要原因是。</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3. 国有资本经营预算财政拨款本年收入0.00万元，比上年增加0.00万元，增长0.00%，主要原因是；本年支出0.00万元，比上年增加0.00万元，增长0.00%，主要原因是。</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highlight w:val="none"/>
          <w:lang w:val="en-US" w:eastAsia="zh-CN"/>
        </w:rPr>
      </w:pPr>
      <w:r>
        <w:rPr>
          <w:rFonts w:ascii="Times New Roman" w:hAnsi="Times New Roman" w:eastAsia="仿宋_GB2312"/>
          <w:sz w:val="32"/>
          <w:szCs w:val="32"/>
        </w:rPr>
        <w:drawing>
          <wp:inline distT="0" distB="0" distL="114300" distR="114300">
            <wp:extent cx="5256530" cy="2988310"/>
            <wp:effectExtent l="5080" t="4445" r="8890" b="1714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widowControl/>
        <w:spacing w:before="0" w:beforeLines="0" w:beforeAutospacing="0" w:after="0" w:afterLines="0" w:afterAutospacing="0" w:line="360" w:lineRule="auto"/>
        <w:ind w:firstLine="642" w:firstLineChars="200"/>
        <w:jc w:val="left"/>
        <w:rPr>
          <w:rFonts w:ascii="Times New Roman" w:eastAsia="楷体_GB2312"/>
          <w:sz w:val="32"/>
          <w:szCs w:val="32"/>
        </w:rPr>
      </w:pPr>
      <w:r>
        <w:rPr>
          <w:rFonts w:ascii="Times New Roman" w:eastAsia="楷体_GB2312"/>
          <w:b/>
          <w:sz w:val="32"/>
          <w:szCs w:val="32"/>
        </w:rPr>
        <w:t>（二）财政拨款收支与年初预算数对比情况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本部门2024年度财政拨款本年收入26,496.51万元，完成年初预算的91.8%，比年初预算减少2,377.60万元，决算数小于预算数主要原因是项目支出减少 ；本年支出26,496.51万元，完成年初预算的91.8%，比年初预算减少2,377.60万元，决算数小于预算数主要原因是项目支出减少 。具体情况如下：</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1. 一般公共预算财政拨款本年收入完成年初预算的88.3%，比年初预算减少2,377.60万元，主要原因是项目支出减少；支出完成年初预算的88.3%，比年初预算减少2,377.60万元，主要原因是项目支出减少。</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 政府性基金预算财政拨款本年收入完成年初预算的100.0%，比年初预算增加0.00万元，主要原因是无政府性基金预算；支出完成年初预算的100.0%，比年初预算增加0.00万元，主要原因是无政府性基金预算。</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3. 国有资本经营预算财政拨款本年收入完成年初预算的0.0 %，比年初预算增加0.00万元，主要原因是无国有资本经营预算及支出；支出完成年初预算的0.0%，比年初预算增加0.00万元，主要原因是无国有资本经营预算及支出。</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Arial" w:cs="Times New Roman"/>
          <w:highlight w:val="none"/>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color w:val="auto"/>
          <w:kern w:val="0"/>
          <w:sz w:val="32"/>
          <w:szCs w:val="32"/>
          <w:highlight w:val="none"/>
          <w:lang w:val="en-US" w:eastAsia="zh-CN" w:bidi="ar-SA"/>
        </w:rPr>
      </w:pPr>
      <w:r>
        <w:rPr>
          <w:rFonts w:ascii="Times New Roman" w:hAnsi="Times New Roman" w:eastAsia="仿宋_GB2312"/>
          <w:sz w:val="32"/>
          <w:szCs w:val="32"/>
          <w:highlight w:val="none"/>
        </w:rPr>
        <w:drawing>
          <wp:inline distT="0" distB="0" distL="114300" distR="114300">
            <wp:extent cx="5256530" cy="2988310"/>
            <wp:effectExtent l="5080" t="4445" r="8890" b="1714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widowControl/>
        <w:spacing w:before="0" w:beforeLines="0" w:beforeAutospacing="0" w:after="0" w:afterLines="0" w:afterAutospacing="0" w:line="360" w:lineRule="auto"/>
        <w:ind w:firstLine="642" w:firstLineChars="200"/>
        <w:jc w:val="left"/>
        <w:rPr>
          <w:rFonts w:ascii="Times New Roman" w:eastAsia="楷体_GB2312"/>
          <w:sz w:val="32"/>
          <w:szCs w:val="32"/>
        </w:rPr>
      </w:pPr>
      <w:r>
        <w:rPr>
          <w:rFonts w:ascii="Times New Roman" w:eastAsia="楷体_GB2312"/>
          <w:b/>
          <w:sz w:val="32"/>
          <w:szCs w:val="32"/>
        </w:rPr>
        <w:t>（三）财政拨款支出决算结构情况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  2024年度财政拨款支出26,496.51万元，主要用于以下方面：</w:t>
      </w:r>
    </w:p>
    <w:p>
      <w:pPr>
        <w:widowControl/>
        <w:spacing w:before="0" w:beforeLines="0" w:beforeAutospacing="0" w:after="0" w:afterLines="0" w:afterAutospacing="0" w:line="360" w:lineRule="auto"/>
        <w:ind w:firstLine="642" w:firstLineChars="200"/>
        <w:jc w:val="left"/>
        <w:rPr>
          <w:rFonts w:ascii="Times New Roman" w:eastAsia="仿宋_GB2312"/>
          <w:sz w:val="32"/>
          <w:szCs w:val="32"/>
        </w:rPr>
      </w:pPr>
      <w:r>
        <w:rPr>
          <w:rFonts w:ascii="Times New Roman" w:eastAsia="仿宋_GB2312"/>
          <w:b/>
          <w:sz w:val="32"/>
          <w:szCs w:val="32"/>
        </w:rPr>
        <w:t>一般公共预算财政拨款支出：</w:t>
      </w:r>
    </w:p>
    <w:p>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lang w:eastAsia="zh-CN"/>
        </w:rPr>
      </w:pPr>
      <w:r>
        <w:rPr>
          <w:rFonts w:ascii="Times New Roman" w:eastAsia="仿宋_GB2312"/>
          <w:b w:val="0"/>
          <w:sz w:val="32"/>
          <w:szCs w:val="32"/>
        </w:rPr>
        <w:t>社会保障和就业 （类）支出613.37​​​万元，占​​2.3​%，主要用于人员保险及奖励金等等支出；卫生健康（类）支出​​17,203.15万元，占​​64.9%，主要用于人员经费以及项目如基本公共卫生等支出</w:t>
      </w:r>
      <w:r>
        <w:rPr>
          <w:rFonts w:hint="eastAsia" w:ascii="Times New Roman" w:eastAsia="仿宋_GB2312"/>
          <w:b w:val="0"/>
          <w:sz w:val="32"/>
          <w:szCs w:val="32"/>
          <w:lang w:eastAsia="zh-CN"/>
        </w:rPr>
        <w:t>。</w:t>
      </w:r>
    </w:p>
    <w:p>
      <w:pPr>
        <w:widowControl/>
        <w:spacing w:before="0" w:beforeLines="0" w:beforeAutospacing="0" w:after="0" w:afterLines="0" w:afterAutospacing="0" w:line="360" w:lineRule="auto"/>
        <w:ind w:firstLine="642" w:firstLineChars="200"/>
        <w:jc w:val="left"/>
        <w:rPr>
          <w:rFonts w:ascii="Times New Roman" w:eastAsia="仿宋_GB2312"/>
          <w:sz w:val="32"/>
          <w:szCs w:val="32"/>
        </w:rPr>
      </w:pPr>
      <w:r>
        <w:rPr>
          <w:rFonts w:ascii="Times New Roman" w:eastAsia="仿宋_GB2312"/>
          <w:b/>
          <w:sz w:val="32"/>
          <w:szCs w:val="32"/>
        </w:rPr>
        <w:t>政府性基金预算财政拨款支出：</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其他（类）支出​​​​8,500.00​​万元，占​​​32.1​​%，主要用于项目等支出。</w:t>
      </w:r>
    </w:p>
    <w:p>
      <w:pPr>
        <w:widowControl/>
        <w:spacing w:before="0" w:beforeLines="0" w:beforeAutospacing="0" w:after="0" w:afterLines="0" w:afterAutospacing="0" w:line="360" w:lineRule="auto"/>
        <w:ind w:firstLine="642" w:firstLineChars="200"/>
        <w:jc w:val="left"/>
        <w:rPr>
          <w:rFonts w:ascii="Times New Roman" w:eastAsia="仿宋_GB2312"/>
          <w:sz w:val="32"/>
          <w:szCs w:val="32"/>
        </w:rPr>
      </w:pPr>
      <w:r>
        <w:rPr>
          <w:rFonts w:ascii="Times New Roman" w:eastAsia="仿宋_GB2312"/>
          <w:b/>
          <w:sz w:val="32"/>
          <w:szCs w:val="32"/>
        </w:rPr>
        <w:t>国有资本经营预算财政拨款支出：</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无</w:t>
      </w:r>
      <w:r>
        <w:rPr>
          <w:rFonts w:hint="eastAsia" w:ascii="Times New Roman" w:eastAsia="仿宋_GB2312"/>
          <w:b w:val="0"/>
          <w:sz w:val="32"/>
          <w:szCs w:val="32"/>
          <w:lang w:eastAsia="zh-CN"/>
        </w:rPr>
        <w:t>国有资本经营预算支出</w:t>
      </w:r>
      <w:r>
        <w:rPr>
          <w:rFonts w:ascii="Times New Roman" w:eastAsia="仿宋_GB2312"/>
          <w:b w:val="0"/>
          <w:sz w:val="32"/>
          <w:szCs w:val="32"/>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ind w:left="0" w:right="0"/>
        <w:jc w:val="left"/>
        <w:textAlignment w:val="auto"/>
        <w:rPr>
          <w:rFonts w:hint="default" w:ascii="Times New Roman" w:hAnsi="Times New Roman" w:eastAsia="仿宋_GB2312" w:cs="Times New Roman"/>
          <w:color w:val="auto"/>
          <w:kern w:val="2"/>
          <w:sz w:val="32"/>
          <w:szCs w:val="32"/>
          <w:lang w:val="zh-CN" w:eastAsia="zh-CN" w:bidi="ar-SA"/>
        </w:rPr>
      </w:pPr>
      <w:r>
        <w:rPr>
          <w:rFonts w:ascii="Times New Roman" w:hAnsi="Times New Roman" w:eastAsia="仿宋_GB2312"/>
          <w:kern w:val="2"/>
          <w:sz w:val="32"/>
          <w:szCs w:val="32"/>
          <w:lang w:val="zh-CN"/>
        </w:rPr>
        <w:drawing>
          <wp:inline distT="0" distB="0" distL="114300" distR="114300">
            <wp:extent cx="5859145" cy="2988310"/>
            <wp:effectExtent l="5080" t="4445" r="15875" b="1714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widowControl/>
        <w:spacing w:before="0" w:beforeLines="0" w:beforeAutospacing="0" w:after="0" w:afterLines="0" w:afterAutospacing="0" w:line="360" w:lineRule="auto"/>
        <w:ind w:firstLine="642" w:firstLineChars="200"/>
        <w:jc w:val="left"/>
        <w:rPr>
          <w:rFonts w:ascii="Times New Roman" w:eastAsia="楷体_GB2312"/>
          <w:sz w:val="32"/>
          <w:szCs w:val="32"/>
        </w:rPr>
      </w:pPr>
      <w:r>
        <w:rPr>
          <w:rFonts w:ascii="Times New Roman" w:eastAsia="楷体_GB2312"/>
          <w:b/>
          <w:sz w:val="32"/>
          <w:szCs w:val="32"/>
        </w:rPr>
        <w:t>（四）一般公共预算基本支出决算情况说明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  2024年度财政拨款基本支出2,924.37万元，其中：</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人员经费​2,893.36​万元，主要包括基本工资、津贴补贴、奖金、伙食补助费、绩效工资、机关事业部门基本养老保险缴费、职业年金缴费、职工基本医疗保险缴费、公务员医疗补助缴费、住房公积金、医疗费、其他社会保障缴费、其他工资福利支出、离休费、 退休费、 抚恤金、生活补助、医疗费补助、奖励金、其他对个人和家庭的补助支出。</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公用经费​​31.00​万元，主要包括办公费、印刷费、咨询费、手续费、水费、电费、邮电费、取 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w:t>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五、财政拨款“三公” 经费支出决算情况说明</w:t>
      </w:r>
    </w:p>
    <w:p>
      <w:pPr>
        <w:widowControl/>
        <w:spacing w:before="0" w:beforeLines="0" w:beforeAutospacing="0" w:after="0" w:afterLines="0" w:afterAutospacing="0" w:line="360" w:lineRule="auto"/>
        <w:ind w:firstLine="642" w:firstLineChars="200"/>
        <w:jc w:val="left"/>
        <w:rPr>
          <w:rFonts w:ascii="Times New Roman" w:eastAsia="楷体_GB2312"/>
          <w:sz w:val="32"/>
          <w:szCs w:val="32"/>
        </w:rPr>
      </w:pPr>
      <w:r>
        <w:rPr>
          <w:rFonts w:ascii="Times New Roman" w:eastAsia="楷体_GB2312"/>
          <w:b/>
          <w:sz w:val="32"/>
          <w:szCs w:val="32"/>
        </w:rPr>
        <w:t>（一）“三公”经费财政拨款支出决算总体情况说明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部门2024年度“三公”经费财政拨款支出预算为6.25万元，支出决算为4.25万元，完成预算的68.0%，较预算减少2.00万元，降低32.0%，主要原因是缩减三公经费；较2023年度决算减少0.61万元，降低12.6%，主要原因是缩减三公经费。</w:t>
      </w:r>
    </w:p>
    <w:p>
      <w:pPr>
        <w:widowControl/>
        <w:spacing w:before="0" w:beforeLines="0" w:beforeAutospacing="0" w:after="0" w:afterLines="0" w:afterAutospacing="0" w:line="360" w:lineRule="auto"/>
        <w:ind w:firstLine="642" w:firstLineChars="200"/>
        <w:jc w:val="left"/>
        <w:rPr>
          <w:rFonts w:ascii="Times New Roman" w:eastAsia="楷体_GB2312"/>
          <w:sz w:val="32"/>
          <w:szCs w:val="32"/>
        </w:rPr>
      </w:pPr>
      <w:r>
        <w:rPr>
          <w:rFonts w:ascii="Times New Roman" w:eastAsia="楷体_GB2312"/>
          <w:b/>
          <w:sz w:val="32"/>
          <w:szCs w:val="32"/>
        </w:rPr>
        <w:t>（二）“三公”经费财政拨款支出决算具体情况说明</w:t>
      </w:r>
    </w:p>
    <w:p>
      <w:pPr>
        <w:widowControl/>
        <w:spacing w:before="0" w:beforeLines="0" w:beforeAutospacing="0" w:after="0" w:afterLines="0" w:afterAutospacing="0" w:line="360" w:lineRule="auto"/>
        <w:ind w:firstLine="642" w:firstLineChars="200"/>
        <w:jc w:val="left"/>
        <w:rPr>
          <w:rFonts w:ascii="Times New Roman" w:eastAsia="仿宋_GB2312"/>
          <w:sz w:val="32"/>
          <w:szCs w:val="32"/>
        </w:rPr>
      </w:pPr>
      <w:r>
        <w:rPr>
          <w:rFonts w:ascii="Times New Roman" w:eastAsia="楷体_GB2312"/>
          <w:b/>
          <w:sz w:val="32"/>
          <w:szCs w:val="32"/>
        </w:rPr>
        <w:t> 1.因公出国（境）费支出情况。</w:t>
      </w:r>
      <w:r>
        <w:rPr>
          <w:rFonts w:ascii="Times New Roman" w:eastAsia="仿宋_GB2312"/>
          <w:b w:val="0"/>
          <w:sz w:val="32"/>
          <w:szCs w:val="32"/>
        </w:rPr>
        <w:t>本部门2024年度因公出国（境）费支出预算为0.00万元,支出决算0.00万元。完成预算的0.0%。因公出国（境）费支出较预算增加0.00万元，增长0.0%,主要原因是无；较上年增加0.00万元，增长0.00%,主要原因是无。因公出国（境）团组0个、共0人、参加其他单位组织的因公出国（境）团组0个、共0人/无本部门组织的出国（境）团组。</w:t>
      </w:r>
    </w:p>
    <w:p>
      <w:pPr>
        <w:widowControl/>
        <w:spacing w:before="0" w:beforeLines="0" w:beforeAutospacing="0" w:after="0" w:afterLines="0" w:afterAutospacing="0" w:line="360" w:lineRule="auto"/>
        <w:ind w:firstLine="642" w:firstLineChars="200"/>
        <w:jc w:val="left"/>
        <w:rPr>
          <w:rFonts w:ascii="Times New Roman" w:eastAsia="仿宋_GB2312"/>
          <w:sz w:val="32"/>
          <w:szCs w:val="32"/>
        </w:rPr>
      </w:pPr>
      <w:r>
        <w:rPr>
          <w:rFonts w:ascii="Times New Roman" w:eastAsia="楷体_GB2312"/>
          <w:b/>
          <w:sz w:val="32"/>
          <w:szCs w:val="32"/>
        </w:rPr>
        <w:t> 2.公务用车购置及运行维护费支出情况。</w:t>
      </w:r>
      <w:r>
        <w:rPr>
          <w:rFonts w:ascii="Times New Roman" w:eastAsia="仿宋_GB2312"/>
          <w:b w:val="0"/>
          <w:sz w:val="32"/>
          <w:szCs w:val="32"/>
        </w:rPr>
        <w:t>本部门2024年度公务用车购置及运行维护费预算为6.15万元，支出决算4.25万元，完成预算的69.1%,较预算减少1.90万元，降低30.9%,主要原因是缩减三公经费；较上年减少0.61万元，降低12.6%,主要原因是缩减三公经费。其中：</w:t>
      </w:r>
    </w:p>
    <w:p>
      <w:pPr>
        <w:widowControl/>
        <w:spacing w:before="0" w:beforeLines="0" w:beforeAutospacing="0" w:after="0" w:afterLines="0" w:afterAutospacing="0" w:line="360" w:lineRule="auto"/>
        <w:ind w:firstLine="642" w:firstLineChars="200"/>
        <w:jc w:val="left"/>
        <w:rPr>
          <w:rFonts w:ascii="Times New Roman" w:eastAsia="仿宋_GB2312"/>
          <w:sz w:val="32"/>
          <w:szCs w:val="32"/>
        </w:rPr>
      </w:pPr>
      <w:r>
        <w:rPr>
          <w:rFonts w:ascii="Times New Roman" w:eastAsia="仿宋_GB2312"/>
          <w:b/>
          <w:sz w:val="32"/>
          <w:szCs w:val="32"/>
        </w:rPr>
        <w:t>公务用车购置费支出0.00万元：</w:t>
      </w:r>
      <w:r>
        <w:rPr>
          <w:rFonts w:ascii="Times New Roman" w:eastAsia="仿宋_GB2312"/>
          <w:b w:val="0"/>
          <w:sz w:val="32"/>
          <w:szCs w:val="32"/>
        </w:rPr>
        <w:t>本部门2024年度公务用车购置量0辆，发生“公务用车购置”经费支出0.00 万元。公务用车购置费支出较预算增加0.00万元，增长0.0%,主要原因是无；较上年增加0.00万元，增长0.00%,主要原因是无。</w:t>
      </w:r>
    </w:p>
    <w:p>
      <w:pPr>
        <w:widowControl/>
        <w:spacing w:before="0" w:beforeLines="0" w:beforeAutospacing="0" w:after="0" w:afterLines="0" w:afterAutospacing="0" w:line="360" w:lineRule="auto"/>
        <w:ind w:firstLine="642" w:firstLineChars="200"/>
        <w:jc w:val="left"/>
        <w:rPr>
          <w:rFonts w:ascii="Times New Roman" w:eastAsia="仿宋_GB2312"/>
          <w:sz w:val="32"/>
          <w:szCs w:val="32"/>
        </w:rPr>
      </w:pPr>
      <w:r>
        <w:rPr>
          <w:rFonts w:ascii="Times New Roman" w:eastAsia="仿宋_GB2312"/>
          <w:b/>
          <w:sz w:val="32"/>
          <w:szCs w:val="32"/>
        </w:rPr>
        <w:t>公务用车运行维护费支出4.25万元：</w:t>
      </w:r>
      <w:r>
        <w:rPr>
          <w:rFonts w:ascii="Times New Roman" w:eastAsia="仿宋_GB2312"/>
          <w:b w:val="0"/>
          <w:sz w:val="32"/>
          <w:szCs w:val="32"/>
        </w:rPr>
        <w:t>本部门2024年度单位公务用车保有量3辆，发生运行维护费支出4.25万元。公车运行维护费支出较预算减少1.90万元，降低30.9%,主要原因是缩减三公经费；较上年减少0.61万元，降低12.6%，主要原因是缩减三公经费。</w:t>
      </w:r>
    </w:p>
    <w:p>
      <w:pPr>
        <w:widowControl/>
        <w:spacing w:before="0" w:beforeLines="0" w:beforeAutospacing="0" w:after="0" w:afterLines="0" w:afterAutospacing="0" w:line="360" w:lineRule="auto"/>
        <w:ind w:firstLine="642" w:firstLineChars="200"/>
        <w:jc w:val="left"/>
        <w:rPr>
          <w:rFonts w:ascii="Times New Roman" w:eastAsia="仿宋_GB2312"/>
          <w:sz w:val="32"/>
          <w:szCs w:val="32"/>
        </w:rPr>
      </w:pPr>
      <w:r>
        <w:rPr>
          <w:rFonts w:ascii="Times New Roman" w:eastAsia="楷体_GB2312"/>
          <w:b/>
          <w:sz w:val="32"/>
          <w:szCs w:val="32"/>
        </w:rPr>
        <w:t>3.公务接待费支出情况。</w:t>
      </w:r>
      <w:r>
        <w:rPr>
          <w:rFonts w:ascii="Times New Roman" w:eastAsia="仿宋_GB2312"/>
          <w:b w:val="0"/>
          <w:sz w:val="32"/>
          <w:szCs w:val="32"/>
        </w:rPr>
        <w:t>本部门2024年度公务接待费支出预算为0.10万元，支出决算0.00万元，完成预算的0.0%。公务接待费支出较预算减少0.10万元，降低100.0%,主要原因是缩减三公经费支出；较上年度增加0.00万元，增长0.00%,主要原因是缩减三公经费。本年度共发生公务接待0批次、0人次。</w:t>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六、机关运行经费支出说明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本部门2024年度机关运行经费支出13.08万元，较2023年度增加0.39万元，增长3.2%。主要原因是人员增加，机关运行经费增加。</w:t>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七、政府采购支出说明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部门2024年度政府采购支出总额6,114.22万元，从采购类型来看，政府采购货物支出1,623.90万元、政府采购工程支出3,636.32万元、政府采购服务支出854.00万元。授予中小企业合同金额5,336.69万元，占政府采购支出总额的87.3%，其中授予小微企业合同金额4,891.79万元，占政府采购支出总额的80.0%。</w:t>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八、国有资产占用情况说明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截至2024年12月31日，本部门共有车辆38辆，比上年增加15辆，主要是医院车辆增加。其中，副部（省）级及以上领导用车0辆，主要负责人用车0辆，机要通信用车0辆，应急保障用车8辆，执法执勤用车0辆，特种专业技术用车25辆，离退休干部用车0辆，其他用车5辆，其他用车主要是医疗用车。单位价值100万元（含）以上设备（不含车辆）68台（套）。</w:t>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九、关于2024年度绩效评价情况的说明</w:t>
      </w:r>
    </w:p>
    <w:p>
      <w:pPr>
        <w:widowControl/>
        <w:spacing w:before="0" w:beforeLines="0" w:beforeAutospacing="0" w:after="0" w:afterLines="0" w:afterAutospacing="0" w:line="360" w:lineRule="auto"/>
        <w:ind w:firstLine="642" w:firstLineChars="200"/>
        <w:jc w:val="left"/>
        <w:rPr>
          <w:rFonts w:ascii="Times New Roman" w:eastAsia="仿宋_GB2312"/>
          <w:sz w:val="32"/>
          <w:szCs w:val="32"/>
        </w:rPr>
      </w:pPr>
      <w:r>
        <w:rPr>
          <w:rFonts w:ascii="Times New Roman" w:eastAsia="仿宋_GB2312"/>
          <w:b/>
          <w:sz w:val="32"/>
          <w:szCs w:val="32"/>
        </w:rPr>
        <w:t>（一）绩效评价工作开展情况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根据预算绩效管理要求，本部门组织对2024年度本级预算项目支出全面开展绩效自评，共涉及资金23,572.14万元（决算金额）。其中，一般公共预算项目45个，涉及资金15,072.14万元，占一般公共预算项目支出总额的63.94%；政府性基金预算项目2个，涉及资金8,500万元，占政府性基金预算项目支出总额的36.06%；国有资本经营预算项目0个，涉及资金0万元，占国有资本经营预算项目支出总额的0%。</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组织对基本公共卫生等5个项目开展了部门重点评价，涉及一般公共预算支出15,072.14万元，政府性基金预算支出8,500万元，国有资本经营预算支出0万元，从评价情况来看，完成情况较好。</w:t>
      </w:r>
    </w:p>
    <w:p>
      <w:pPr>
        <w:widowControl/>
        <w:spacing w:before="0" w:beforeLines="0" w:beforeAutospacing="0" w:after="0" w:afterLines="0" w:afterAutospacing="0" w:line="360" w:lineRule="auto"/>
        <w:ind w:firstLine="642" w:firstLineChars="200"/>
        <w:jc w:val="left"/>
        <w:rPr>
          <w:rFonts w:ascii="Times New Roman" w:eastAsia="仿宋_GB2312"/>
          <w:sz w:val="32"/>
          <w:szCs w:val="32"/>
        </w:rPr>
      </w:pPr>
      <w:r>
        <w:rPr>
          <w:rFonts w:ascii="Times New Roman" w:eastAsia="仿宋_GB2312"/>
          <w:b/>
          <w:sz w:val="32"/>
          <w:szCs w:val="32"/>
        </w:rPr>
        <w:t>（二）部门决算中项目绩效自评结果</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本部门在今年部门决算公开中反映基本公共卫生等45个项目绩效自评结果。</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基本公共卫生等项目绩效自评情况：根据年初设定的绩效目标，​​​基本公共卫生等项目绩效自评得分为​​​100分（绩效自评表附后）。全年预算数为​​​16,783.57万元，执行数为23,572.14​​​万元，完成预算的​​​140.45%。项目绩效目标完成情况：一是建立和完善医疗卫生服务要素的准入制度和退出机制，让群众享有价格合理、质量优良的医疗服务，人民群众的健康水平不断提高；二是建立比较完善的公共卫生服务体系和医疗服务体系，比较健全的医疗保障体系，比较规范的药品供应保障体系，比较科学的医疗卫生机构管理体制和运行机制，促进基本公共卫生服务逐步均等化，实现人人享有基本医疗卫生服务目标。发现的主要问题及原因是：一是是跟进不足；二是资金下达慢。下一步改进措施：一是完善制度建设。制定完善预算绩效管理制度、资金管理办法、工作保障制度等，为全年预算绩效目标的实现奠定制度基础；二是加强绩效运行监控。按要求开展绩效运行监控，发现问题及时采取措施，确保绩效目标如期保质实现</w:t>
      </w:r>
      <w:bookmarkStart w:id="0" w:name="_GoBack"/>
      <w:bookmarkEnd w:id="0"/>
      <w:r>
        <w:rPr>
          <w:rFonts w:ascii="Times New Roman" w:eastAsia="仿宋_GB2312"/>
          <w:b w:val="0"/>
          <w:sz w:val="32"/>
          <w:szCs w:val="32"/>
        </w:rPr>
        <w:t>。</w:t>
      </w:r>
    </w:p>
    <w:p>
      <w:pPr>
        <w:widowControl/>
        <w:spacing w:before="0" w:beforeLines="0" w:beforeAutospacing="0" w:after="0" w:afterLines="0" w:afterAutospacing="0" w:line="360" w:lineRule="auto"/>
        <w:ind w:firstLine="642" w:firstLineChars="200"/>
        <w:jc w:val="left"/>
        <w:rPr>
          <w:rFonts w:ascii="Times New Roman" w:eastAsia="仿宋_GB2312"/>
          <w:sz w:val="32"/>
          <w:szCs w:val="32"/>
        </w:rPr>
      </w:pPr>
      <w:r>
        <w:rPr>
          <w:rFonts w:ascii="Times New Roman" w:eastAsia="仿宋_GB2312"/>
          <w:b/>
          <w:sz w:val="32"/>
          <w:szCs w:val="32"/>
        </w:rPr>
        <w:t>（三）部门评价项目绩效评价结果（如有）</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无</w:t>
      </w:r>
    </w:p>
    <w:p>
      <w:pPr>
        <w:widowControl/>
        <w:spacing w:before="0" w:beforeLines="0" w:beforeAutospacing="0" w:after="0" w:afterLines="0" w:afterAutospacing="0" w:line="360" w:lineRule="auto"/>
        <w:ind w:firstLine="640" w:firstLineChars="200"/>
        <w:jc w:val="left"/>
        <w:rPr>
          <w:rFonts w:ascii="Times New Roman" w:eastAsia="黑体"/>
          <w:sz w:val="32"/>
          <w:szCs w:val="32"/>
        </w:rPr>
      </w:pPr>
      <w:r>
        <w:rPr>
          <w:rFonts w:ascii="Times New Roman" w:eastAsia="黑体"/>
          <w:b w:val="0"/>
          <w:sz w:val="32"/>
          <w:szCs w:val="32"/>
        </w:rPr>
        <w:t>十、其他需要说明的情况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1.本部门2024年度国有资本经营预算财政拨款支出决算表（公开08表）无相应收支，故空表列示。</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 由于决算公开表格中金额数值应当保留两位小数，公开数据为四舍五入计算结果，个别数据合计项与分项之和存在小数点后差额，特此说明。</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第四部分   名词解释</w:t>
      </w:r>
    </w:p>
    <w:p>
      <w:pPr>
        <w:widowControl/>
        <w:spacing w:before="0" w:beforeLines="0" w:beforeAutospacing="0" w:after="0" w:afterLines="0" w:afterAutospacing="0" w:line="360" w:lineRule="auto"/>
        <w:ind w:firstLine="642" w:firstLineChars="200"/>
        <w:jc w:val="left"/>
        <w:rPr>
          <w:rFonts w:ascii="Times New Roman" w:eastAsia="仿宋_GB2312"/>
          <w:sz w:val="32"/>
          <w:szCs w:val="32"/>
        </w:rPr>
      </w:pPr>
      <w:r>
        <w:rPr>
          <w:rFonts w:ascii="Times New Roman" w:eastAsia="仿宋_GB2312"/>
          <w:b/>
          <w:sz w:val="32"/>
          <w:szCs w:val="32"/>
        </w:rPr>
        <w:t>一、财政拨款收入：</w:t>
      </w:r>
      <w:r>
        <w:rPr>
          <w:rFonts w:ascii="Times New Roman" w:eastAsia="仿宋_GB2312"/>
          <w:b w:val="0"/>
          <w:sz w:val="32"/>
          <w:szCs w:val="32"/>
        </w:rPr>
        <w:t>指单位从同级财政部门取得的财政预算资金。</w:t>
      </w:r>
    </w:p>
    <w:p>
      <w:pPr>
        <w:widowControl/>
        <w:spacing w:before="0" w:beforeLines="0" w:beforeAutospacing="0" w:after="0" w:afterLines="0" w:afterAutospacing="0" w:line="360" w:lineRule="auto"/>
        <w:ind w:firstLine="642" w:firstLineChars="200"/>
        <w:jc w:val="left"/>
        <w:rPr>
          <w:rFonts w:ascii="Times New Roman" w:eastAsia="仿宋_GB2312"/>
          <w:sz w:val="32"/>
          <w:szCs w:val="32"/>
        </w:rPr>
      </w:pPr>
      <w:r>
        <w:rPr>
          <w:rFonts w:ascii="Times New Roman" w:eastAsia="仿宋_GB2312"/>
          <w:b/>
          <w:sz w:val="32"/>
          <w:szCs w:val="32"/>
        </w:rPr>
        <w:t>二、事业收入：</w:t>
      </w:r>
      <w:r>
        <w:rPr>
          <w:rFonts w:ascii="Times New Roman" w:eastAsia="仿宋_GB2312"/>
          <w:b w:val="0"/>
          <w:sz w:val="32"/>
          <w:szCs w:val="32"/>
        </w:rPr>
        <w:t>指事业单位开展专业业务活动及辅助活动取得的收入。</w:t>
      </w:r>
    </w:p>
    <w:p>
      <w:pPr>
        <w:widowControl/>
        <w:spacing w:before="0" w:beforeLines="0" w:beforeAutospacing="0" w:after="0" w:afterLines="0" w:afterAutospacing="0" w:line="360" w:lineRule="auto"/>
        <w:ind w:firstLine="642" w:firstLineChars="200"/>
        <w:jc w:val="left"/>
        <w:rPr>
          <w:rFonts w:ascii="Times New Roman" w:eastAsia="仿宋_GB2312"/>
          <w:sz w:val="32"/>
          <w:szCs w:val="32"/>
        </w:rPr>
      </w:pPr>
      <w:r>
        <w:rPr>
          <w:rFonts w:ascii="Times New Roman" w:eastAsia="仿宋_GB2312"/>
          <w:b/>
          <w:sz w:val="32"/>
          <w:szCs w:val="32"/>
        </w:rPr>
        <w:t>三、经营收入：</w:t>
      </w:r>
      <w:r>
        <w:rPr>
          <w:rFonts w:ascii="Times New Roman" w:eastAsia="仿宋_GB2312"/>
          <w:b w:val="0"/>
          <w:sz w:val="32"/>
          <w:szCs w:val="32"/>
        </w:rPr>
        <w:t>指事业单位在专业业务活动及其辅助活动之外开展非独立核算经营活动取得的收入。</w:t>
      </w:r>
    </w:p>
    <w:p>
      <w:pPr>
        <w:widowControl/>
        <w:spacing w:before="0" w:beforeLines="0" w:beforeAutospacing="0" w:after="0" w:afterLines="0" w:afterAutospacing="0" w:line="360" w:lineRule="auto"/>
        <w:ind w:firstLine="642" w:firstLineChars="200"/>
        <w:jc w:val="left"/>
        <w:rPr>
          <w:rFonts w:ascii="Times New Roman" w:eastAsia="仿宋_GB2312"/>
          <w:sz w:val="32"/>
          <w:szCs w:val="32"/>
        </w:rPr>
      </w:pPr>
      <w:r>
        <w:rPr>
          <w:rFonts w:ascii="Times New Roman" w:eastAsia="仿宋_GB2312"/>
          <w:b/>
          <w:sz w:val="32"/>
          <w:szCs w:val="32"/>
        </w:rPr>
        <w:t>四、其他收入：</w:t>
      </w:r>
      <w:r>
        <w:rPr>
          <w:rFonts w:ascii="Times New Roman" w:eastAsia="仿宋_GB2312"/>
          <w:b w:val="0"/>
          <w:sz w:val="32"/>
          <w:szCs w:val="32"/>
        </w:rPr>
        <w:t>指单位取得的除上述收入以外的各项收入。主要是事业单位固定资产出租收入、存款利息收入等。</w:t>
      </w:r>
    </w:p>
    <w:p>
      <w:pPr>
        <w:widowControl/>
        <w:spacing w:before="0" w:beforeLines="0" w:beforeAutospacing="0" w:after="0" w:afterLines="0" w:afterAutospacing="0" w:line="360" w:lineRule="auto"/>
        <w:ind w:firstLine="642" w:firstLineChars="200"/>
        <w:jc w:val="left"/>
        <w:rPr>
          <w:rFonts w:ascii="Times New Roman" w:eastAsia="仿宋_GB2312"/>
          <w:sz w:val="32"/>
          <w:szCs w:val="32"/>
        </w:rPr>
      </w:pPr>
      <w:r>
        <w:rPr>
          <w:rFonts w:ascii="Times New Roman" w:eastAsia="仿宋_GB2312"/>
          <w:b/>
          <w:sz w:val="32"/>
          <w:szCs w:val="32"/>
        </w:rPr>
        <w:t>五、使用非财政拨款结余（含专用结余）：</w:t>
      </w:r>
      <w:r>
        <w:rPr>
          <w:rFonts w:ascii="Times New Roman" w:eastAsia="仿宋_GB2312"/>
          <w:b w:val="0"/>
          <w:sz w:val="32"/>
          <w:szCs w:val="32"/>
        </w:rPr>
        <w:t>指事业单位按照预算管理要求使用非财政拨款结余弥补收支差额的金额，以及使用专用结余安排支出的金额。</w:t>
      </w:r>
    </w:p>
    <w:p>
      <w:pPr>
        <w:widowControl/>
        <w:spacing w:before="0" w:beforeLines="0" w:beforeAutospacing="0" w:after="0" w:afterLines="0" w:afterAutospacing="0" w:line="360" w:lineRule="auto"/>
        <w:ind w:firstLine="642" w:firstLineChars="200"/>
        <w:jc w:val="left"/>
        <w:rPr>
          <w:rFonts w:ascii="Times New Roman" w:eastAsia="仿宋_GB2312"/>
          <w:sz w:val="32"/>
          <w:szCs w:val="32"/>
        </w:rPr>
      </w:pPr>
      <w:r>
        <w:rPr>
          <w:rFonts w:ascii="Times New Roman" w:eastAsia="仿宋_GB2312"/>
          <w:b/>
          <w:sz w:val="32"/>
          <w:szCs w:val="32"/>
        </w:rPr>
        <w:t>六、年初结转和结余：</w:t>
      </w:r>
      <w:r>
        <w:rPr>
          <w:rFonts w:ascii="Times New Roman" w:eastAsia="仿宋_GB2312"/>
          <w:b w:val="0"/>
          <w:sz w:val="32"/>
          <w:szCs w:val="32"/>
        </w:rPr>
        <w:t>指单位以前年度尚未完成、结转到本年仍按原规定用途继续使用的资金，或项目已完成等产生的结余资金。</w:t>
      </w:r>
    </w:p>
    <w:p>
      <w:pPr>
        <w:widowControl/>
        <w:spacing w:before="0" w:beforeLines="0" w:beforeAutospacing="0" w:after="0" w:afterLines="0" w:afterAutospacing="0" w:line="360" w:lineRule="auto"/>
        <w:ind w:firstLine="642" w:firstLineChars="200"/>
        <w:jc w:val="left"/>
        <w:rPr>
          <w:rFonts w:ascii="Times New Roman" w:eastAsia="仿宋_GB2312"/>
          <w:sz w:val="32"/>
          <w:szCs w:val="32"/>
        </w:rPr>
      </w:pPr>
      <w:r>
        <w:rPr>
          <w:rFonts w:ascii="Times New Roman" w:eastAsia="仿宋_GB2312"/>
          <w:b/>
          <w:sz w:val="32"/>
          <w:szCs w:val="32"/>
        </w:rPr>
        <w:t>七、结余分配：</w:t>
      </w:r>
      <w:r>
        <w:rPr>
          <w:rFonts w:ascii="Times New Roman" w:eastAsia="仿宋_GB2312"/>
          <w:b w:val="0"/>
          <w:sz w:val="32"/>
          <w:szCs w:val="32"/>
        </w:rPr>
        <w:t>指事业单位按照会计制度规定缴纳的所得税、提取的专用结余以及转入非财政拨款结余的金额等。</w:t>
      </w:r>
    </w:p>
    <w:p>
      <w:pPr>
        <w:widowControl/>
        <w:spacing w:before="0" w:beforeLines="0" w:beforeAutospacing="0" w:after="0" w:afterLines="0" w:afterAutospacing="0" w:line="360" w:lineRule="auto"/>
        <w:ind w:firstLine="642" w:firstLineChars="200"/>
        <w:jc w:val="left"/>
        <w:rPr>
          <w:rFonts w:ascii="Times New Roman" w:eastAsia="仿宋_GB2312"/>
          <w:sz w:val="32"/>
          <w:szCs w:val="32"/>
        </w:rPr>
      </w:pPr>
      <w:r>
        <w:rPr>
          <w:rFonts w:ascii="Times New Roman" w:eastAsia="仿宋_GB2312"/>
          <w:b/>
          <w:sz w:val="32"/>
          <w:szCs w:val="32"/>
        </w:rPr>
        <w:t>八、年末结转和结余：</w:t>
      </w:r>
      <w:r>
        <w:rPr>
          <w:rFonts w:ascii="Times New Roman" w:eastAsia="仿宋_GB2312"/>
          <w:b w:val="0"/>
          <w:sz w:val="32"/>
          <w:szCs w:val="32"/>
        </w:rPr>
        <w:t>指单位按有关规定结转到下年或以后年度继续使用的资金，或项目已完成等产生的结余资金。</w:t>
      </w:r>
    </w:p>
    <w:p>
      <w:pPr>
        <w:widowControl/>
        <w:spacing w:before="0" w:beforeLines="0" w:beforeAutospacing="0" w:after="0" w:afterLines="0" w:afterAutospacing="0" w:line="360" w:lineRule="auto"/>
        <w:ind w:firstLine="642" w:firstLineChars="200"/>
        <w:jc w:val="left"/>
        <w:rPr>
          <w:rFonts w:ascii="Times New Roman" w:eastAsia="仿宋_GB2312"/>
          <w:sz w:val="32"/>
          <w:szCs w:val="32"/>
        </w:rPr>
      </w:pPr>
      <w:r>
        <w:rPr>
          <w:rFonts w:ascii="Times New Roman" w:eastAsia="仿宋_GB2312"/>
          <w:b/>
          <w:sz w:val="32"/>
          <w:szCs w:val="32"/>
        </w:rPr>
        <w:t>九、基本支出：</w:t>
      </w:r>
      <w:r>
        <w:rPr>
          <w:rFonts w:ascii="Times New Roman" w:eastAsia="仿宋_GB2312"/>
          <w:b w:val="0"/>
          <w:sz w:val="32"/>
          <w:szCs w:val="32"/>
        </w:rPr>
        <w:t>指为保障机构正常运转、完成日常工作任务而发生的人员支出和公用支出。</w:t>
      </w:r>
    </w:p>
    <w:p>
      <w:pPr>
        <w:widowControl/>
        <w:spacing w:before="0" w:beforeLines="0" w:beforeAutospacing="0" w:after="0" w:afterLines="0" w:afterAutospacing="0" w:line="360" w:lineRule="auto"/>
        <w:ind w:firstLine="642" w:firstLineChars="200"/>
        <w:jc w:val="left"/>
        <w:rPr>
          <w:rFonts w:ascii="Times New Roman" w:eastAsia="仿宋_GB2312"/>
          <w:sz w:val="32"/>
          <w:szCs w:val="32"/>
        </w:rPr>
      </w:pPr>
      <w:r>
        <w:rPr>
          <w:rFonts w:ascii="Times New Roman" w:eastAsia="仿宋_GB2312"/>
          <w:b/>
          <w:sz w:val="32"/>
          <w:szCs w:val="32"/>
        </w:rPr>
        <w:t>十、项目支出：</w:t>
      </w:r>
      <w:r>
        <w:rPr>
          <w:rFonts w:ascii="Times New Roman" w:eastAsia="仿宋_GB2312"/>
          <w:b w:val="0"/>
          <w:sz w:val="32"/>
          <w:szCs w:val="32"/>
        </w:rPr>
        <w:t>指在基本支出之外为完成特定行政任务和事业发展目标所发生的支出。</w:t>
      </w:r>
    </w:p>
    <w:p>
      <w:pPr>
        <w:widowControl/>
        <w:spacing w:before="0" w:beforeLines="0" w:beforeAutospacing="0" w:after="0" w:afterLines="0" w:afterAutospacing="0" w:line="360" w:lineRule="auto"/>
        <w:ind w:firstLine="642" w:firstLineChars="200"/>
        <w:jc w:val="left"/>
        <w:rPr>
          <w:rFonts w:ascii="Times New Roman" w:eastAsia="仿宋_GB2312"/>
          <w:sz w:val="32"/>
          <w:szCs w:val="32"/>
        </w:rPr>
      </w:pPr>
      <w:r>
        <w:rPr>
          <w:rFonts w:ascii="Times New Roman" w:eastAsia="仿宋_GB2312"/>
          <w:b/>
          <w:sz w:val="32"/>
          <w:szCs w:val="32"/>
        </w:rPr>
        <w:t>十一、经营支出 ：</w:t>
      </w:r>
      <w:r>
        <w:rPr>
          <w:rFonts w:ascii="Times New Roman" w:eastAsia="仿宋_GB2312"/>
          <w:b w:val="0"/>
          <w:sz w:val="32"/>
          <w:szCs w:val="32"/>
        </w:rPr>
        <w:t>指事业单位在专业业务活动及其辅助活动之外开展非独立核算经营活动发生的支出。</w:t>
      </w:r>
    </w:p>
    <w:p>
      <w:pPr>
        <w:widowControl/>
        <w:spacing w:before="0" w:beforeLines="0" w:beforeAutospacing="0" w:after="0" w:afterLines="0" w:afterAutospacing="0" w:line="360" w:lineRule="auto"/>
        <w:ind w:firstLine="642" w:firstLineChars="200"/>
        <w:jc w:val="left"/>
        <w:rPr>
          <w:rFonts w:ascii="Times New Roman" w:eastAsia="仿宋_GB2312"/>
          <w:sz w:val="32"/>
          <w:szCs w:val="32"/>
        </w:rPr>
      </w:pPr>
      <w:r>
        <w:rPr>
          <w:rFonts w:ascii="Times New Roman" w:eastAsia="仿宋_GB2312"/>
          <w:b/>
          <w:sz w:val="32"/>
          <w:szCs w:val="32"/>
        </w:rPr>
        <w:t>十二、基本建设支出：</w:t>
      </w:r>
      <w:r>
        <w:rPr>
          <w:rFonts w:ascii="Times New Roman" w:eastAsia="仿宋_GB2312"/>
          <w:b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pPr>
        <w:widowControl/>
        <w:spacing w:before="0" w:beforeLines="0" w:beforeAutospacing="0" w:after="0" w:afterLines="0" w:afterAutospacing="0" w:line="360" w:lineRule="auto"/>
        <w:ind w:firstLine="642" w:firstLineChars="200"/>
        <w:jc w:val="left"/>
        <w:rPr>
          <w:rFonts w:ascii="Times New Roman" w:eastAsia="仿宋_GB2312"/>
          <w:sz w:val="32"/>
          <w:szCs w:val="32"/>
        </w:rPr>
      </w:pPr>
      <w:r>
        <w:rPr>
          <w:rFonts w:ascii="Times New Roman" w:eastAsia="仿宋_GB2312"/>
          <w:b/>
          <w:sz w:val="32"/>
          <w:szCs w:val="32"/>
        </w:rPr>
        <w:t>十三、其他资本性支出：</w:t>
      </w:r>
      <w:r>
        <w:rPr>
          <w:rFonts w:ascii="Times New Roman" w:eastAsia="仿宋_GB2312"/>
          <w:b w:val="0"/>
          <w:sz w:val="32"/>
          <w:szCs w:val="32"/>
        </w:rPr>
        <w:t>填列由各级非发展与改革部门集中安排的用于购置固定资产、战备性和应急性储备、土地和无形资产，以及购建基础设施、大型修缮和财政支持企业更新改造所发生的支出。</w:t>
      </w:r>
    </w:p>
    <w:p>
      <w:pPr>
        <w:widowControl/>
        <w:spacing w:before="0" w:beforeLines="0" w:beforeAutospacing="0" w:after="0" w:afterLines="0" w:afterAutospacing="0" w:line="360" w:lineRule="auto"/>
        <w:ind w:firstLine="642" w:firstLineChars="200"/>
        <w:jc w:val="left"/>
        <w:rPr>
          <w:rFonts w:ascii="Times New Roman" w:eastAsia="仿宋_GB2312"/>
          <w:sz w:val="32"/>
          <w:szCs w:val="32"/>
        </w:rPr>
      </w:pPr>
      <w:r>
        <w:rPr>
          <w:rFonts w:ascii="Times New Roman" w:eastAsia="仿宋_GB2312"/>
          <w:b/>
          <w:sz w:val="32"/>
          <w:szCs w:val="32"/>
        </w:rPr>
        <w:t>十四、“三公”经费：</w:t>
      </w:r>
      <w:r>
        <w:rPr>
          <w:rFonts w:ascii="Times New Roman" w:eastAsia="仿宋_GB2312"/>
          <w:b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pPr>
        <w:widowControl/>
        <w:spacing w:before="0" w:beforeLines="0" w:beforeAutospacing="0" w:after="0" w:afterLines="0" w:afterAutospacing="0" w:line="360" w:lineRule="auto"/>
        <w:ind w:firstLine="642" w:firstLineChars="200"/>
        <w:jc w:val="left"/>
        <w:rPr>
          <w:rFonts w:ascii="Times New Roman" w:eastAsia="仿宋_GB2312"/>
          <w:sz w:val="32"/>
          <w:szCs w:val="32"/>
        </w:rPr>
      </w:pPr>
      <w:r>
        <w:rPr>
          <w:rFonts w:ascii="Times New Roman" w:eastAsia="仿宋_GB2312"/>
          <w:b/>
          <w:sz w:val="32"/>
          <w:szCs w:val="32"/>
        </w:rPr>
        <w:t>十五、其他交通费用：</w:t>
      </w:r>
      <w:r>
        <w:rPr>
          <w:rFonts w:ascii="Times New Roman" w:eastAsia="仿宋_GB2312"/>
          <w:b w:val="0"/>
          <w:sz w:val="32"/>
          <w:szCs w:val="32"/>
        </w:rPr>
        <w:t>填列单位除公务用车运行维护费以外的其他交通费用。如公务交通补贴、租车费用、出租车费用，飞机、船舶等燃料费、维修费、保险费等。</w:t>
      </w:r>
    </w:p>
    <w:p>
      <w:pPr>
        <w:widowControl/>
        <w:spacing w:before="0" w:beforeLines="0" w:beforeAutospacing="0" w:after="0" w:afterLines="0" w:afterAutospacing="0" w:line="360" w:lineRule="auto"/>
        <w:ind w:firstLine="642" w:firstLineChars="200"/>
        <w:jc w:val="left"/>
        <w:rPr>
          <w:rFonts w:ascii="Times New Roman" w:eastAsia="仿宋_GB2312"/>
          <w:sz w:val="32"/>
          <w:szCs w:val="32"/>
        </w:rPr>
      </w:pPr>
      <w:r>
        <w:rPr>
          <w:rFonts w:ascii="Times New Roman" w:eastAsia="仿宋_GB2312"/>
          <w:b/>
          <w:sz w:val="32"/>
          <w:szCs w:val="32"/>
        </w:rPr>
        <w:t>十六、公务用车购置：</w:t>
      </w:r>
      <w:r>
        <w:rPr>
          <w:rFonts w:ascii="Times New Roman" w:eastAsia="仿宋_GB2312"/>
          <w:b w:val="0"/>
          <w:sz w:val="32"/>
          <w:szCs w:val="32"/>
        </w:rPr>
        <w:t>填列单位公务用车车辆购置支出（含车辆购置税、牌照费）。</w:t>
      </w:r>
    </w:p>
    <w:p>
      <w:pPr>
        <w:widowControl/>
        <w:spacing w:before="0" w:beforeLines="0" w:beforeAutospacing="0" w:after="0" w:afterLines="0" w:afterAutospacing="0" w:line="360" w:lineRule="auto"/>
        <w:ind w:firstLine="642" w:firstLineChars="200"/>
        <w:jc w:val="left"/>
        <w:rPr>
          <w:rFonts w:ascii="Times New Roman" w:eastAsia="仿宋_GB2312"/>
          <w:sz w:val="32"/>
          <w:szCs w:val="32"/>
        </w:rPr>
      </w:pPr>
      <w:r>
        <w:rPr>
          <w:rFonts w:ascii="Times New Roman" w:eastAsia="仿宋_GB2312"/>
          <w:b/>
          <w:sz w:val="32"/>
          <w:szCs w:val="32"/>
        </w:rPr>
        <w:t>十七、其他交通工具购置：</w:t>
      </w:r>
      <w:r>
        <w:rPr>
          <w:rFonts w:ascii="Times New Roman" w:eastAsia="仿宋_GB2312"/>
          <w:b w:val="0"/>
          <w:sz w:val="32"/>
          <w:szCs w:val="32"/>
        </w:rPr>
        <w:t>填列单位除公务用车外的其他各类交通工具（如船舶、飞机等）购置支出（含车辆购置税、牌照费）。</w:t>
      </w:r>
    </w:p>
    <w:p>
      <w:pPr>
        <w:widowControl/>
        <w:spacing w:before="0" w:beforeLines="0" w:beforeAutospacing="0" w:after="0" w:afterLines="0" w:afterAutospacing="0" w:line="360" w:lineRule="auto"/>
        <w:ind w:firstLine="642" w:firstLineChars="200"/>
        <w:jc w:val="left"/>
        <w:rPr>
          <w:rFonts w:ascii="Times New Roman" w:eastAsia="仿宋_GB2312"/>
          <w:sz w:val="32"/>
          <w:szCs w:val="32"/>
        </w:rPr>
      </w:pPr>
      <w:r>
        <w:rPr>
          <w:rFonts w:ascii="Times New Roman" w:eastAsia="仿宋_GB2312"/>
          <w:b/>
          <w:sz w:val="32"/>
          <w:szCs w:val="32"/>
        </w:rPr>
        <w:t>十八、机关运行经费：</w:t>
      </w:r>
      <w:r>
        <w:rPr>
          <w:rFonts w:ascii="Times New Roman" w:eastAsia="仿宋_GB2312"/>
          <w:b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auto"/>
    <w:pitch w:val="default"/>
    <w:sig w:usb0="00000000" w:usb1="00000000"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ArialUnicodeMS">
    <w:altName w:val="DejaVu Sans"/>
    <w:panose1 w:val="00000000000000000000"/>
    <w:charset w:val="81"/>
    <w:family w:val="auto"/>
    <w:pitch w:val="default"/>
    <w:sig w:usb0="00000000" w:usb1="00000000" w:usb2="00000010" w:usb3="00000000" w:csb0="00080001" w:csb1="00000000"/>
  </w:font>
  <w:font w:name="方正仿宋_GB2312">
    <w:altName w:val="方正仿宋_GBK"/>
    <w:panose1 w:val="02000000000000000000"/>
    <w:charset w:val="86"/>
    <w:family w:val="auto"/>
    <w:pitch w:val="default"/>
    <w:sig w:usb0="00000000" w:usb1="00000000" w:usb2="00000012"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D21FF2"/>
    <w:rsid w:val="2A611B0F"/>
    <w:rsid w:val="2AC1762B"/>
    <w:rsid w:val="2AE845D0"/>
    <w:rsid w:val="2B4975FB"/>
    <w:rsid w:val="2B695031"/>
    <w:rsid w:val="2B735A8F"/>
    <w:rsid w:val="2BA7478D"/>
    <w:rsid w:val="2BB038DB"/>
    <w:rsid w:val="2BB761E0"/>
    <w:rsid w:val="2BB812F9"/>
    <w:rsid w:val="2BE35C27"/>
    <w:rsid w:val="2BFA504B"/>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330424"/>
    <w:rsid w:val="36FE3ABA"/>
    <w:rsid w:val="37072BDE"/>
    <w:rsid w:val="37455334"/>
    <w:rsid w:val="37527C32"/>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8626D0"/>
    <w:rsid w:val="3D953A6B"/>
    <w:rsid w:val="3DBB5979"/>
    <w:rsid w:val="3DD56F21"/>
    <w:rsid w:val="3DEF6699"/>
    <w:rsid w:val="3E1057AF"/>
    <w:rsid w:val="3E6C0DFA"/>
    <w:rsid w:val="3E740322"/>
    <w:rsid w:val="3E7F4380"/>
    <w:rsid w:val="3E8D171B"/>
    <w:rsid w:val="3EA5630D"/>
    <w:rsid w:val="3EBA731B"/>
    <w:rsid w:val="3EE33949"/>
    <w:rsid w:val="3EFB5800"/>
    <w:rsid w:val="3F3B4E59"/>
    <w:rsid w:val="3F6E677C"/>
    <w:rsid w:val="3F712F46"/>
    <w:rsid w:val="3FBC0EF7"/>
    <w:rsid w:val="3FCD2AB9"/>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6232437"/>
    <w:rsid w:val="56541A75"/>
    <w:rsid w:val="568832FC"/>
    <w:rsid w:val="568C4181"/>
    <w:rsid w:val="570725A9"/>
    <w:rsid w:val="5714693E"/>
    <w:rsid w:val="571D0C9C"/>
    <w:rsid w:val="573A16CE"/>
    <w:rsid w:val="579C7F80"/>
    <w:rsid w:val="57B30D7C"/>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6CB5E2D"/>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6A729D"/>
    <w:rsid w:val="73177841"/>
    <w:rsid w:val="733774FE"/>
    <w:rsid w:val="73617E1B"/>
    <w:rsid w:val="736D7653"/>
    <w:rsid w:val="738035CB"/>
    <w:rsid w:val="73852C46"/>
    <w:rsid w:val="7396335C"/>
    <w:rsid w:val="73F46595"/>
    <w:rsid w:val="73F47FAE"/>
    <w:rsid w:val="74283FA2"/>
    <w:rsid w:val="742C135B"/>
    <w:rsid w:val="74463733"/>
    <w:rsid w:val="748A2F40"/>
    <w:rsid w:val="74D84FF7"/>
    <w:rsid w:val="74F85778"/>
    <w:rsid w:val="75272439"/>
    <w:rsid w:val="758F1E9B"/>
    <w:rsid w:val="75CE266B"/>
    <w:rsid w:val="76120141"/>
    <w:rsid w:val="768216BE"/>
    <w:rsid w:val="76C23B43"/>
    <w:rsid w:val="76FD6F97"/>
    <w:rsid w:val="770218E8"/>
    <w:rsid w:val="779469CE"/>
    <w:rsid w:val="77C875A5"/>
    <w:rsid w:val="78A27DF6"/>
    <w:rsid w:val="79285B3A"/>
    <w:rsid w:val="79490B03"/>
    <w:rsid w:val="79625CA9"/>
    <w:rsid w:val="79A91196"/>
    <w:rsid w:val="7A0B32D3"/>
    <w:rsid w:val="7AC13CD3"/>
    <w:rsid w:val="7AE10264"/>
    <w:rsid w:val="7AE4248E"/>
    <w:rsid w:val="7B4A207F"/>
    <w:rsid w:val="7B936F45"/>
    <w:rsid w:val="7BA47419"/>
    <w:rsid w:val="7BB10D45"/>
    <w:rsid w:val="7BB44151"/>
    <w:rsid w:val="7C656A39"/>
    <w:rsid w:val="7CB93996"/>
    <w:rsid w:val="7CBE0F99"/>
    <w:rsid w:val="7D4E45F1"/>
    <w:rsid w:val="7DFB6D82"/>
    <w:rsid w:val="7E1D71D1"/>
    <w:rsid w:val="7E246254"/>
    <w:rsid w:val="7E553215"/>
    <w:rsid w:val="7E6D090F"/>
    <w:rsid w:val="7ECC66B2"/>
    <w:rsid w:val="7F2914C3"/>
    <w:rsid w:val="7F5F2ED6"/>
    <w:rsid w:val="7FA837EF"/>
    <w:rsid w:val="7FC36955"/>
    <w:rsid w:val="7FE903A0"/>
    <w:rsid w:val="7FF07065"/>
    <w:rsid w:val="7FF97946"/>
    <w:rsid w:val="7FFE7888"/>
    <w:rsid w:val="FA5FB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chart" Target="charts/chart6.xml"/><Relationship Id="rId17" Type="http://schemas.openxmlformats.org/officeDocument/2006/relationships/chart" Target="charts/chart5.xml"/><Relationship Id="rId16" Type="http://schemas.openxmlformats.org/officeDocument/2006/relationships/chart" Target="charts/chart4.xml"/><Relationship Id="rId15" Type="http://schemas.openxmlformats.org/officeDocument/2006/relationships/chart" Target="charts/chart3.xml"/><Relationship Id="rId14" Type="http://schemas.openxmlformats.org/officeDocument/2006/relationships/chart" Target="charts/chart2.xml"/><Relationship Id="rId13" Type="http://schemas.openxmlformats.org/officeDocument/2006/relationships/chart" Target="charts/chart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1 </a:t>
            </a:r>
            <a:r>
              <a:rPr lang="zh-CN" altLang="en-US"/>
              <a:t>： </a:t>
            </a:r>
            <a:r>
              <a:rPr lang="en-US" altLang="zh-CN"/>
              <a:t>2023-2024</a:t>
            </a:r>
            <a:r>
              <a:rPr lang="zh-CN" altLang="en-US"/>
              <a:t>年收支总计对比图（万元）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收支总计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26488.02</c:v>
                </c:pt>
                <c:pt idx="1">
                  <c:v>102752.87</c:v>
                </c:pt>
              </c:numCache>
            </c:numRef>
          </c:val>
        </c:ser>
        <c:dLbls>
          <c:showLegendKey val="0"/>
          <c:showVal val="1"/>
          <c:showCatName val="0"/>
          <c:showSerName val="0"/>
          <c:showPercent val="0"/>
          <c:showBubbleSize val="0"/>
        </c:dLbls>
        <c:gapWidth val="246"/>
        <c:overlap val="-28"/>
        <c:axId val="817088452"/>
        <c:axId val="587069473"/>
      </c:barChart>
      <c:catAx>
        <c:axId val="8170884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069473"/>
        <c:crosses val="autoZero"/>
        <c:auto val="1"/>
        <c:lblAlgn val="ctr"/>
        <c:lblOffset val="100"/>
        <c:noMultiLvlLbl val="0"/>
      </c:catAx>
      <c:valAx>
        <c:axId val="58706947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70884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2 </a:t>
            </a:r>
            <a:r>
              <a:rPr lang="zh-CN" altLang="en-US"/>
              <a:t>：收入决算构成情况图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dLbl>
              <c:idx val="0"/>
              <c:layout>
                <c:manualLayout>
                  <c:x val="0.320125539403024"/>
                  <c:y val="0.72690713982147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08045516407558"/>
                  <c:y val="0.63914683382912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405411836540074"/>
                  <c:y val="0.171855078623054"/>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37059073523162"/>
                    </c:manualLayout>
                  </c15:layout>
                </c:ext>
              </c:extLst>
            </c:dLbl>
            <c:dLbl>
              <c:idx val="3"/>
              <c:layout>
                <c:manualLayout>
                  <c:x val="-0.286905148238858"/>
                  <c:y val="0.270250743731381"/>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10709732256694"/>
                    </c:manualLayout>
                  </c15:layout>
                </c:ext>
              </c:extLst>
            </c:dLbl>
            <c:dLbl>
              <c:idx val="4"/>
              <c:layout>
                <c:manualLayout>
                  <c:x val="-0.298985360795255"/>
                  <c:y val="0.44916064598386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211403720706"/>
                      <c:h val="0.154908627284318"/>
                    </c:manualLayout>
                  </c15:layout>
                </c:ext>
              </c:extLst>
            </c:dLbl>
            <c:dLbl>
              <c:idx val="5"/>
              <c:layout>
                <c:manualLayout>
                  <c:x val="-0.288475575878384"/>
                  <c:y val="0.124165958351015"/>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10922226944326"/>
                    </c:manualLayout>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1"/>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财政拨款收入</c:v>
                </c:pt>
                <c:pt idx="1">
                  <c:v>上级补助收入</c:v>
                </c:pt>
                <c:pt idx="2">
                  <c:v>事业收入</c:v>
                </c:pt>
                <c:pt idx="3">
                  <c:v>经营收入</c:v>
                </c:pt>
                <c:pt idx="4">
                  <c:v>附属单位上缴收入</c:v>
                </c:pt>
                <c:pt idx="5">
                  <c:v>其他收入</c:v>
                </c:pt>
              </c:strCache>
            </c:strRef>
          </c:cat>
          <c:val>
            <c:numRef>
              <c:f>Sheet1!$B$2:$B$7</c:f>
              <c:numCache>
                <c:formatCode>General</c:formatCode>
                <c:ptCount val="6"/>
                <c:pt idx="0">
                  <c:v>264965102.25</c:v>
                </c:pt>
                <c:pt idx="1">
                  <c:v>0</c:v>
                </c:pt>
                <c:pt idx="2">
                  <c:v>752047165.01</c:v>
                </c:pt>
                <c:pt idx="3">
                  <c:v>0</c:v>
                </c:pt>
                <c:pt idx="4">
                  <c:v>0</c:v>
                </c:pt>
                <c:pt idx="5">
                  <c:v>728697.85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chemeClr val="tx1">
                    <a:lumMod val="75000"/>
                    <a:lumOff val="25000"/>
                  </a:schemeClr>
                </a:solidFill>
                <a:latin typeface="+mn-lt"/>
                <a:ea typeface="+mn-ea"/>
                <a:cs typeface="+mn-cs"/>
              </a:defRPr>
            </a:pPr>
            <a:r>
              <a:rPr lang="zh-CN" altLang="en-US" b="1"/>
              <a:t>图 </a:t>
            </a:r>
            <a:r>
              <a:rPr lang="en-US" altLang="zh-CN" b="1"/>
              <a:t>3 </a:t>
            </a:r>
            <a:r>
              <a:rPr lang="zh-CN" altLang="en-US" b="1"/>
              <a:t>：支出决算构成情况图</a:t>
            </a:r>
            <a:endParaRPr lang="zh-CN" altLang="en-US" b="1"/>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Lbl>
              <c:idx val="0"/>
              <c:layout>
                <c:manualLayout>
                  <c:x val="0.346218893452525"/>
                  <c:y val="0.71546961325966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57095916888137"/>
                  <c:y val="0.097938376540627"/>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292703551582508"/>
                  <c:y val="0.26689332766680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315235684561946"/>
                  <c:y val="0.468316617084613"/>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273558967655045"/>
                  <c:y val="0.71821036974079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1"/>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790407353.04</c:v>
                </c:pt>
                <c:pt idx="1">
                  <c:v>235721424.89</c:v>
                </c:pt>
                <c:pt idx="2">
                  <c:v>0</c:v>
                </c:pt>
                <c:pt idx="3">
                  <c:v>0</c:v>
                </c:pt>
                <c:pt idx="4">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4 </a:t>
            </a:r>
            <a:r>
              <a:rPr lang="zh-CN" altLang="en-US"/>
              <a:t>：</a:t>
            </a:r>
            <a:r>
              <a:rPr lang="en-US" altLang="zh-CN"/>
              <a:t>2023-2024</a:t>
            </a:r>
            <a:r>
              <a:rPr lang="zh-CN" altLang="en-US"/>
              <a:t>年财政拨款收支对比图（万元）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26488.02</c:v>
                </c:pt>
                <c:pt idx="1">
                  <c:v>26488.02</c:v>
                </c:pt>
                <c:pt idx="2">
                  <c:v>24288.02</c:v>
                </c:pt>
                <c:pt idx="3">
                  <c:v>24288.02</c:v>
                </c:pt>
                <c:pt idx="4">
                  <c:v>2200</c:v>
                </c:pt>
                <c:pt idx="5">
                  <c:v>2200</c:v>
                </c:pt>
                <c:pt idx="6">
                  <c:v>0</c:v>
                </c:pt>
                <c:pt idx="7">
                  <c:v>0</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26496.51</c:v>
                </c:pt>
                <c:pt idx="1">
                  <c:v>26496.51</c:v>
                </c:pt>
                <c:pt idx="2">
                  <c:v>17996.51</c:v>
                </c:pt>
                <c:pt idx="3">
                  <c:v>17996.51</c:v>
                </c:pt>
                <c:pt idx="4">
                  <c:v>8500</c:v>
                </c:pt>
                <c:pt idx="5">
                  <c:v>8500</c:v>
                </c:pt>
                <c:pt idx="6">
                  <c:v>0</c:v>
                </c:pt>
                <c:pt idx="7">
                  <c:v>0</c:v>
                </c:pt>
              </c:numCache>
            </c:numRef>
          </c:val>
        </c:ser>
        <c:dLbls>
          <c:showLegendKey val="0"/>
          <c:showVal val="1"/>
          <c:showCatName val="0"/>
          <c:showSerName val="0"/>
          <c:showPercent val="0"/>
          <c:showBubbleSize val="0"/>
        </c:dLbls>
        <c:gapWidth val="246"/>
        <c:overlap val="-28"/>
        <c:axId val="40225855"/>
        <c:axId val="660958640"/>
      </c:barChart>
      <c:catAx>
        <c:axId val="40225855"/>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0958640"/>
        <c:crosses val="autoZero"/>
        <c:auto val="1"/>
        <c:lblAlgn val="ctr"/>
        <c:lblOffset val="100"/>
        <c:noMultiLvlLbl val="0"/>
      </c:catAx>
      <c:valAx>
        <c:axId val="66095864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22585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5 :</a:t>
            </a:r>
            <a:r>
              <a:rPr lang="zh-CN" altLang="en-US"/>
              <a:t>财政拨款收支预算对比图（万元）</a:t>
            </a:r>
            <a:endParaRPr lang="zh-CN" altLang="en-US"/>
          </a:p>
        </c:rich>
      </c:tx>
      <c:layout/>
      <c:overlay val="0"/>
      <c:spPr>
        <a:noFill/>
        <a:ln>
          <a:noFill/>
        </a:ln>
        <a:effectLst/>
      </c:spPr>
    </c:title>
    <c:autoTitleDeleted val="0"/>
    <c:plotArea>
      <c:layout>
        <c:manualLayout>
          <c:layoutTarget val="inner"/>
          <c:xMode val="edge"/>
          <c:yMode val="edge"/>
          <c:x val="0.17641942498188"/>
          <c:y val="0.160433489162771"/>
          <c:w val="0.795796086011114"/>
          <c:h val="0.474330641733957"/>
        </c:manualLayout>
      </c:layout>
      <c:barChart>
        <c:barDir val="col"/>
        <c:grouping val="clustered"/>
        <c:varyColors val="0"/>
        <c:ser>
          <c:idx val="0"/>
          <c:order val="0"/>
          <c:tx>
            <c:strRef>
              <c:f>Sheet1!$B$1</c:f>
              <c:strCache>
                <c:ptCount val="1"/>
                <c:pt idx="0">
                  <c:v>年初预算数</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28874.11</c:v>
                </c:pt>
                <c:pt idx="1">
                  <c:v>28874.11</c:v>
                </c:pt>
                <c:pt idx="2">
                  <c:v>20374.11</c:v>
                </c:pt>
                <c:pt idx="3">
                  <c:v>20374.11</c:v>
                </c:pt>
                <c:pt idx="4">
                  <c:v>8500</c:v>
                </c:pt>
                <c:pt idx="5">
                  <c:v>8500</c:v>
                </c:pt>
                <c:pt idx="6">
                  <c:v>0</c:v>
                </c:pt>
                <c:pt idx="7">
                  <c:v>0</c:v>
                </c:pt>
              </c:numCache>
            </c:numRef>
          </c:val>
        </c:ser>
        <c:ser>
          <c:idx val="1"/>
          <c:order val="1"/>
          <c:tx>
            <c:strRef>
              <c:f>Sheet1!$C$1</c:f>
              <c:strCache>
                <c:ptCount val="1"/>
                <c:pt idx="0">
                  <c:v>决算数</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26496.51</c:v>
                </c:pt>
                <c:pt idx="1">
                  <c:v>26496.51</c:v>
                </c:pt>
                <c:pt idx="2">
                  <c:v>17996.51</c:v>
                </c:pt>
                <c:pt idx="3">
                  <c:v>17996.51</c:v>
                </c:pt>
                <c:pt idx="4">
                  <c:v>8500</c:v>
                </c:pt>
                <c:pt idx="5">
                  <c:v>8500</c:v>
                </c:pt>
                <c:pt idx="6">
                  <c:v>0</c:v>
                </c:pt>
                <c:pt idx="7">
                  <c:v>0</c:v>
                </c:pt>
              </c:numCache>
            </c:numRef>
          </c:val>
        </c:ser>
        <c:dLbls>
          <c:showLegendKey val="0"/>
          <c:showVal val="1"/>
          <c:showCatName val="0"/>
          <c:showSerName val="0"/>
          <c:showPercent val="0"/>
          <c:showBubbleSize val="0"/>
        </c:dLbls>
        <c:gapWidth val="150"/>
        <c:axId val="136214206"/>
        <c:axId val="897256872"/>
      </c:barChart>
      <c:catAx>
        <c:axId val="13621420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7256872"/>
        <c:crosses val="autoZero"/>
        <c:auto val="1"/>
        <c:lblAlgn val="ctr"/>
        <c:lblOffset val="100"/>
        <c:noMultiLvlLbl val="0"/>
      </c:catAx>
      <c:valAx>
        <c:axId val="89725687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621420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r>
              <a:rPr lang="zh-CN" altLang="en-US"/>
              <a:t>图</a:t>
            </a:r>
            <a:r>
              <a:rPr lang="en-US" altLang="zh-CN"/>
              <a:t>6  : </a:t>
            </a:r>
            <a:r>
              <a:rPr lang="zh-CN" altLang="en-US"/>
              <a:t>财政拨款支出决算构成情况图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Pt>
            <c:idx val="8"/>
            <c:bubble3D val="0"/>
            <c:spPr>
              <a:solidFill>
                <a:schemeClr val="accent3">
                  <a:lumMod val="60000"/>
                </a:schemeClr>
              </a:solidFill>
              <a:ln>
                <a:solidFill>
                  <a:schemeClr val="bg1"/>
                </a:solidFill>
              </a:ln>
              <a:effectLst/>
            </c:spPr>
          </c:dPt>
          <c:dPt>
            <c:idx val="9"/>
            <c:bubble3D val="0"/>
            <c:spPr>
              <a:solidFill>
                <a:schemeClr val="accent4">
                  <a:lumMod val="60000"/>
                </a:schemeClr>
              </a:solidFill>
              <a:ln>
                <a:solidFill>
                  <a:schemeClr val="bg1"/>
                </a:solidFill>
              </a:ln>
              <a:effectLst/>
            </c:spPr>
          </c:dPt>
          <c:dPt>
            <c:idx val="10"/>
            <c:bubble3D val="0"/>
            <c:spPr>
              <a:solidFill>
                <a:schemeClr val="accent5">
                  <a:lumMod val="60000"/>
                </a:schemeClr>
              </a:solidFill>
              <a:ln>
                <a:solidFill>
                  <a:schemeClr val="bg1"/>
                </a:solidFill>
              </a:ln>
              <a:effectLst/>
            </c:spPr>
          </c:dPt>
          <c:dPt>
            <c:idx val="11"/>
            <c:bubble3D val="0"/>
            <c:spPr>
              <a:solidFill>
                <a:schemeClr val="accent6">
                  <a:lumMod val="60000"/>
                </a:schemeClr>
              </a:solidFill>
              <a:ln>
                <a:solidFill>
                  <a:schemeClr val="bg1"/>
                </a:solidFill>
              </a:ln>
              <a:effectLst/>
            </c:spPr>
          </c:dPt>
          <c:dPt>
            <c:idx val="12"/>
            <c:bubble3D val="0"/>
            <c:spPr>
              <a:solidFill>
                <a:schemeClr val="accent1">
                  <a:lumMod val="80000"/>
                  <a:lumOff val="20000"/>
                </a:schemeClr>
              </a:solidFill>
              <a:ln>
                <a:solidFill>
                  <a:schemeClr val="bg1"/>
                </a:solidFill>
              </a:ln>
              <a:effectLst/>
            </c:spPr>
          </c:dPt>
          <c:dPt>
            <c:idx val="13"/>
            <c:bubble3D val="0"/>
            <c:spPr>
              <a:solidFill>
                <a:schemeClr val="accent2">
                  <a:lumMod val="80000"/>
                  <a:lumOff val="20000"/>
                </a:schemeClr>
              </a:solidFill>
              <a:ln>
                <a:solidFill>
                  <a:schemeClr val="bg1"/>
                </a:solidFill>
              </a:ln>
              <a:effectLst/>
            </c:spPr>
          </c:dPt>
          <c:dPt>
            <c:idx val="14"/>
            <c:bubble3D val="0"/>
            <c:spPr>
              <a:solidFill>
                <a:schemeClr val="accent3">
                  <a:lumMod val="80000"/>
                  <a:lumOff val="20000"/>
                </a:schemeClr>
              </a:solidFill>
              <a:ln>
                <a:solidFill>
                  <a:schemeClr val="bg1"/>
                </a:solidFill>
              </a:ln>
              <a:effectLst/>
            </c:spPr>
          </c:dPt>
          <c:dPt>
            <c:idx val="15"/>
            <c:bubble3D val="0"/>
            <c:spPr>
              <a:solidFill>
                <a:schemeClr val="accent4">
                  <a:lumMod val="80000"/>
                  <a:lumOff val="20000"/>
                </a:schemeClr>
              </a:solidFill>
              <a:ln>
                <a:solidFill>
                  <a:schemeClr val="bg1"/>
                </a:solidFill>
              </a:ln>
              <a:effectLst/>
            </c:spPr>
          </c:dPt>
          <c:dPt>
            <c:idx val="16"/>
            <c:bubble3D val="0"/>
            <c:spPr>
              <a:solidFill>
                <a:schemeClr val="accent5">
                  <a:lumMod val="80000"/>
                  <a:lumOff val="20000"/>
                </a:schemeClr>
              </a:solidFill>
              <a:ln>
                <a:solidFill>
                  <a:schemeClr val="bg1"/>
                </a:solidFill>
              </a:ln>
              <a:effectLst/>
            </c:spPr>
          </c:dPt>
          <c:dPt>
            <c:idx val="17"/>
            <c:bubble3D val="0"/>
            <c:spPr>
              <a:solidFill>
                <a:schemeClr val="accent6">
                  <a:lumMod val="80000"/>
                  <a:lumOff val="20000"/>
                </a:schemeClr>
              </a:solidFill>
              <a:ln>
                <a:solidFill>
                  <a:schemeClr val="bg1"/>
                </a:solidFill>
              </a:ln>
              <a:effectLst/>
            </c:spPr>
          </c:dPt>
          <c:dPt>
            <c:idx val="18"/>
            <c:bubble3D val="0"/>
            <c:spPr>
              <a:solidFill>
                <a:schemeClr val="accent1">
                  <a:lumMod val="80000"/>
                </a:schemeClr>
              </a:solidFill>
              <a:ln>
                <a:solidFill>
                  <a:schemeClr val="bg1"/>
                </a:solidFill>
              </a:ln>
              <a:effectLst/>
            </c:spPr>
          </c:dPt>
          <c:dPt>
            <c:idx val="19"/>
            <c:bubble3D val="0"/>
            <c:spPr>
              <a:solidFill>
                <a:schemeClr val="accent2">
                  <a:lumMod val="80000"/>
                </a:schemeClr>
              </a:solidFill>
              <a:ln>
                <a:solidFill>
                  <a:schemeClr val="bg1"/>
                </a:solidFill>
              </a:ln>
              <a:effectLst/>
            </c:spPr>
          </c:dPt>
          <c:dPt>
            <c:idx val="20"/>
            <c:bubble3D val="0"/>
            <c:spPr>
              <a:solidFill>
                <a:schemeClr val="accent3">
                  <a:lumMod val="80000"/>
                </a:schemeClr>
              </a:solidFill>
              <a:ln>
                <a:solidFill>
                  <a:schemeClr val="bg1"/>
                </a:solidFill>
              </a:ln>
              <a:effectLst/>
            </c:spPr>
          </c:dPt>
          <c:dPt>
            <c:idx val="21"/>
            <c:bubble3D val="0"/>
            <c:spPr>
              <a:solidFill>
                <a:schemeClr val="accent4">
                  <a:lumMod val="80000"/>
                </a:schemeClr>
              </a:solidFill>
              <a:ln>
                <a:solidFill>
                  <a:schemeClr val="bg1"/>
                </a:solidFill>
              </a:ln>
              <a:effectLst/>
            </c:spPr>
          </c:dPt>
          <c:dPt>
            <c:idx val="22"/>
            <c:bubble3D val="0"/>
            <c:spPr>
              <a:solidFill>
                <a:schemeClr val="accent5">
                  <a:lumMod val="80000"/>
                </a:schemeClr>
              </a:solidFill>
              <a:ln>
                <a:solidFill>
                  <a:schemeClr val="bg1"/>
                </a:solidFill>
              </a:ln>
              <a:effectLst/>
            </c:spPr>
          </c:dPt>
          <c:dPt>
            <c:idx val="23"/>
            <c:bubble3D val="0"/>
            <c:spPr>
              <a:solidFill>
                <a:schemeClr val="accent6">
                  <a:lumMod val="80000"/>
                </a:schemeClr>
              </a:solidFill>
              <a:ln>
                <a:solidFill>
                  <a:schemeClr val="bg1"/>
                </a:solidFill>
              </a:ln>
              <a:effectLst/>
            </c:spPr>
          </c:dPt>
          <c:dPt>
            <c:idx val="24"/>
            <c:bubble3D val="0"/>
            <c:spPr>
              <a:solidFill>
                <a:schemeClr val="accent1">
                  <a:lumMod val="60000"/>
                  <a:lumOff val="40000"/>
                </a:schemeClr>
              </a:solidFill>
              <a:ln>
                <a:solidFill>
                  <a:schemeClr val="bg1"/>
                </a:solidFill>
              </a:ln>
              <a:effectLst/>
            </c:spPr>
          </c:dPt>
          <c:dPt>
            <c:idx val="25"/>
            <c:bubble3D val="0"/>
            <c:spPr>
              <a:solidFill>
                <a:schemeClr val="accent2">
                  <a:lumMod val="60000"/>
                  <a:lumOff val="40000"/>
                </a:schemeClr>
              </a:solidFill>
              <a:ln>
                <a:solidFill>
                  <a:schemeClr val="bg1"/>
                </a:solidFill>
              </a:ln>
              <a:effectLst/>
            </c:spPr>
          </c:dPt>
          <c:dLbls>
            <c:delete val="1"/>
          </c:dLbls>
          <c:cat>
            <c:strRef>
              <c:f>Sheet1!$A$2:$A$27</c:f>
              <c:strCache>
                <c:ptCount val="26"/>
                <c:pt idx="0">
                  <c:v>一般公共服务支出</c:v>
                </c:pt>
                <c:pt idx="1">
                  <c:v>外交支出</c:v>
                </c:pt>
                <c:pt idx="2">
                  <c:v>国防支出</c:v>
                </c:pt>
                <c:pt idx="3">
                  <c:v>公共安全支出</c:v>
                </c:pt>
                <c:pt idx="4">
                  <c:v>教育支出</c:v>
                </c:pt>
                <c:pt idx="5">
                  <c:v>科学技术支出</c:v>
                </c:pt>
                <c:pt idx="6">
                  <c:v>文化旅游体育与传媒支出</c:v>
                </c:pt>
                <c:pt idx="7">
                  <c:v>社会保障和就业支出</c:v>
                </c:pt>
                <c:pt idx="8">
                  <c:v>卫生健康支出</c:v>
                </c:pt>
                <c:pt idx="9">
                  <c:v>节能环保支出</c:v>
                </c:pt>
                <c:pt idx="10">
                  <c:v>城乡社区支出</c:v>
                </c:pt>
                <c:pt idx="11">
                  <c:v>农林水支出</c:v>
                </c:pt>
                <c:pt idx="12">
                  <c:v>交通运输支出</c:v>
                </c:pt>
                <c:pt idx="13">
                  <c:v>资源勘探工业信息等支出</c:v>
                </c:pt>
                <c:pt idx="14">
                  <c:v>商业服务业等支出</c:v>
                </c:pt>
                <c:pt idx="15">
                  <c:v>金融支出</c:v>
                </c:pt>
                <c:pt idx="16">
                  <c:v>援助其他地区支出</c:v>
                </c:pt>
                <c:pt idx="17">
                  <c:v>自然资源海洋气象等支出</c:v>
                </c:pt>
                <c:pt idx="18">
                  <c:v>住房保障支出</c:v>
                </c:pt>
                <c:pt idx="19">
                  <c:v>粮油物资储备支出</c:v>
                </c:pt>
                <c:pt idx="20">
                  <c:v>国有资本经营预算支出</c:v>
                </c:pt>
                <c:pt idx="21">
                  <c:v>灾害防治及应急管理支出</c:v>
                </c:pt>
                <c:pt idx="22">
                  <c:v>其他支出</c:v>
                </c:pt>
                <c:pt idx="23">
                  <c:v>债务还本支出</c:v>
                </c:pt>
                <c:pt idx="24">
                  <c:v>债务付息支出</c:v>
                </c:pt>
                <c:pt idx="25">
                  <c:v>抗疫特别国债安排的支出</c:v>
                </c:pt>
              </c:strCache>
            </c:strRef>
          </c:cat>
          <c:val>
            <c:numRef>
              <c:f>Sheet1!$B$2:$B$27</c:f>
              <c:numCache>
                <c:formatCode>General</c:formatCode>
                <c:ptCount val="26"/>
                <c:pt idx="0">
                  <c:v>0</c:v>
                </c:pt>
                <c:pt idx="1">
                  <c:v>0</c:v>
                </c:pt>
                <c:pt idx="2">
                  <c:v>0</c:v>
                </c:pt>
                <c:pt idx="3">
                  <c:v>0</c:v>
                </c:pt>
                <c:pt idx="4">
                  <c:v>0</c:v>
                </c:pt>
                <c:pt idx="5">
                  <c:v>0</c:v>
                </c:pt>
                <c:pt idx="6">
                  <c:v>0</c:v>
                </c:pt>
                <c:pt idx="7">
                  <c:v>613.37</c:v>
                </c:pt>
                <c:pt idx="8">
                  <c:v>17203.15</c:v>
                </c:pt>
                <c:pt idx="9">
                  <c:v>0</c:v>
                </c:pt>
                <c:pt idx="10">
                  <c:v>0</c:v>
                </c:pt>
                <c:pt idx="11">
                  <c:v>0</c:v>
                </c:pt>
                <c:pt idx="12">
                  <c:v>0</c:v>
                </c:pt>
                <c:pt idx="13">
                  <c:v>0</c:v>
                </c:pt>
                <c:pt idx="14">
                  <c:v>0</c:v>
                </c:pt>
                <c:pt idx="15">
                  <c:v>0</c:v>
                </c:pt>
                <c:pt idx="16">
                  <c:v>0</c:v>
                </c:pt>
                <c:pt idx="17">
                  <c:v>0</c:v>
                </c:pt>
                <c:pt idx="18">
                  <c:v>179.99</c:v>
                </c:pt>
                <c:pt idx="19">
                  <c:v>0</c:v>
                </c:pt>
                <c:pt idx="20">
                  <c:v>0</c:v>
                </c:pt>
                <c:pt idx="21">
                  <c:v>0</c:v>
                </c:pt>
                <c:pt idx="22">
                  <c:v>8500</c:v>
                </c:pt>
                <c:pt idx="23">
                  <c:v>0</c:v>
                </c:pt>
                <c:pt idx="24">
                  <c:v>0</c:v>
                </c:pt>
                <c:pt idx="25">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tags>
    <s:tag s:spid="_x0000_s1026">
      <s:item s:name="KSO_DOCER_RESOURCE_TRACE_INFO" s:val="{&quot;id&quot;:&quot;&quot;,&quot;origin&quot;:0,&quot;type&quot;:&quot;wordart&quot;,&quot;user&quot;:&quot;292216292&quot;}"/>
    </s:tag>
  </s:tag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25</Pages>
  <Words>611</Words>
  <Characters>2169</Characters>
  <Lines>86</Lines>
  <Paragraphs>24</Paragraphs>
  <TotalTime>21</TotalTime>
  <ScaleCrop>false</ScaleCrop>
  <LinksUpToDate>false</LinksUpToDate>
  <CharactersWithSpaces>2170</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2023-08-04T15:55:00Z</dcterms:created>
  <dc:creator>王明新TIAD</dc:creator>
  <cp:lastModifiedBy>baixin</cp:lastModifiedBy>
  <cp:lastPrinted>2023-08-04T09:00:00Z</cp:lastPrinted>
  <dcterms:modified xsi:type="dcterms:W3CDTF">2025-09-19T16:22:36Z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B9D4097774744A28A58B1072CF95DB35_13</vt:lpwstr>
  </property>
  <property fmtid="{D5CDD505-2E9C-101B-9397-08002B2CF9AE}" pid="4" name="KSOTemplateUUID">
    <vt:lpwstr>v1.0_mb_S7ajbG3IpAnL1wSthNCxfw==</vt:lpwstr>
  </property>
  <property fmtid="{D5CDD505-2E9C-101B-9397-08002B2CF9AE}" pid="5" name="KSOTemplateDocerSaveRecord">
    <vt:lpwstr>eyJoZGlkIjoiYjA3YzVjY2RhYzM1OWI4MmYzZjdlYWUzZWM2YTQyNTYiLCJ1c2VySWQiOiIxNTIwMzY1OTkzIn0=</vt:lpwstr>
  </property>
</Properties>
</file>