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????"/>
          <w:sz w:val="44"/>
          <w:szCs w:val="44"/>
        </w:rPr>
      </w:pPr>
      <w:r>
        <w:rPr>
          <w:rFonts w:hint="eastAsia" w:ascii="??????"/>
          <w:sz w:val="44"/>
          <w:szCs w:val="44"/>
        </w:rPr>
        <w:t>遵化市委党校决算公开目录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第一部门  遵化市委党校部门概况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一、部门职责</w:t>
      </w:r>
    </w:p>
    <w:p>
      <w:pPr>
        <w:spacing w:line="500" w:lineRule="exact"/>
        <w:ind w:firstLine="630"/>
        <w:rPr>
          <w:rFonts w:ascii="??????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二、部门机构设置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遵化市委党校2016年度部门决算报表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??????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《收入支出决算总表》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二、《收入决算表》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三、《支出决算表》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四、《财政拨款收入支出决算总表》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五、《一般公共预算财政拨款支出决算表》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六、《一般公共预算财政拨款基本支出决算表》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七、《政府性基金预算财政拨款收入支出决算表》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八、《国有资本经营预算财政拨款支出决算表》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九、《“三公”经费及相关信息统计表》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十、《政府采购情况表》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遵化市委党校2016年部门决算情况说明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、收入支出决算总体情况及增减变化说明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二、收入决算情况说明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三、支出决算情况说明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四、财政拨款收入支出决算总体情况说明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“三公”经费及相关信息情况说明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机关运行经费的支出情况的说明</w:t>
      </w:r>
    </w:p>
    <w:p>
      <w:pPr>
        <w:spacing w:line="500" w:lineRule="exact"/>
        <w:ind w:left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七、政府采购情况的说明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八、国有资产信息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九、绩效预算开展情况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第四部分名词解释</w:t>
      </w:r>
    </w:p>
    <w:p>
      <w:pPr>
        <w:spacing w:line="500" w:lineRule="exact"/>
        <w:ind w:firstLine="640" w:firstLineChars="200"/>
        <w:rPr>
          <w:rFonts w:ascii="仿宋" w:hAnsi="仿宋" w:cs="仿宋" w:eastAsia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1058"/>
    <w:multiLevelType w:val="singleLevel"/>
    <w:tmpl w:val="59AE1058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F3229"/>
    <w:rsid w:val="5356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2017-11-11T07:31:14Z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