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2016年</w:t>
      </w:r>
      <w:r>
        <w:rPr>
          <w:rFonts w:hint="eastAsia"/>
          <w:sz w:val="48"/>
          <w:szCs w:val="48"/>
          <w:lang w:eastAsia="zh-CN"/>
        </w:rPr>
        <w:t>干休所</w:t>
      </w:r>
      <w:r>
        <w:rPr>
          <w:rFonts w:hint="eastAsia"/>
          <w:sz w:val="48"/>
          <w:szCs w:val="48"/>
        </w:rPr>
        <w:t>预算公开情况说明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一、部门职责及机构设置等基本情况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干休所主要职责：负责管理军队离退休干部的接收安置工作；负责军队无军籍退休退职职工接收安置工作；指导军队离退休干部休养所的服务管理工作。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干休所预算收支总表见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附表3-1至3-3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干休所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财政拨款收支情况表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附表3-4至3-9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干休所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职责分类绩效目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: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做好军休干部和军队无军籍职工的接收安置工作，全面落实军休干部“两个待遇”，保障和维护好他们的合法权益；“十三五”期间，做好三星级“军休服务管理机构”创建工作。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政府采购预算情况。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六、国有资产信息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2015年12月31日，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干休所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七、有关事项说明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：干休所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经费预算与2015年对比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，基本持平。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无三公经费预算。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35C2"/>
    <w:multiLevelType w:val="singleLevel"/>
    <w:tmpl w:val="583D35C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02D8F"/>
    <w:rsid w:val="0753689B"/>
    <w:rsid w:val="0DE9148B"/>
    <w:rsid w:val="17441FF2"/>
    <w:rsid w:val="1EF02D8F"/>
    <w:rsid w:val="27687D9C"/>
    <w:rsid w:val="2AA44E84"/>
    <w:rsid w:val="2DC17F2A"/>
    <w:rsid w:val="38B12478"/>
    <w:rsid w:val="396A1904"/>
    <w:rsid w:val="42AD63E5"/>
    <w:rsid w:val="42AF55A8"/>
    <w:rsid w:val="474C39E8"/>
    <w:rsid w:val="496F08D6"/>
    <w:rsid w:val="52C1439F"/>
    <w:rsid w:val="5D052A93"/>
    <w:rsid w:val="66113A9E"/>
    <w:rsid w:val="6C070F14"/>
    <w:rsid w:val="712B3738"/>
    <w:rsid w:val="766E19EA"/>
    <w:rsid w:val="7FF262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2016-11-29T06:39:00Z</dcterms:created>
  <dc:creator>Administrator</dc:creator>
  <cp:lastModifiedBy>Administrator</cp:lastModifiedBy>
  <cp:lastPrinted>2016-11-29T06:48:00Z</cp:lastPrinted>
  <dcterms:modified xsi:type="dcterms:W3CDTF">2016-11-30T09:05:46Z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