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E5" w:rsidRDefault="004113DD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B5BE5" w:rsidRDefault="004113DD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AB5BE5" w:rsidRDefault="006D7C57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2020</w:t>
      </w:r>
      <w:r w:rsidR="004113DD">
        <w:rPr>
          <w:rFonts w:ascii="方正小标宋简体" w:eastAsia="方正小标宋简体" w:hint="eastAsia"/>
          <w:b/>
          <w:bCs/>
          <w:sz w:val="52"/>
          <w:szCs w:val="52"/>
        </w:rPr>
        <w:t>年遵化市西留村乡人民政府预算</w:t>
      </w:r>
    </w:p>
    <w:p w:rsidR="00AB5BE5" w:rsidRDefault="004113DD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（草案）</w:t>
      </w:r>
    </w:p>
    <w:p w:rsidR="00AB5BE5" w:rsidRDefault="004113DD">
      <w:pPr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/>
          <w:b/>
          <w:bCs/>
          <w:sz w:val="44"/>
        </w:rPr>
        <w:t xml:space="preserve"> </w:t>
      </w:r>
    </w:p>
    <w:p w:rsidR="00AB5BE5" w:rsidRDefault="004113D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AB5BE5" w:rsidRDefault="004113DD">
      <w:pPr>
        <w:jc w:val="center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遵化市西留村乡人民政府编制</w:t>
      </w:r>
    </w:p>
    <w:p w:rsidR="00AB5BE5" w:rsidRDefault="004113DD">
      <w:pPr>
        <w:jc w:val="center"/>
        <w:rPr>
          <w:rFonts w:ascii="方正仿宋简体" w:eastAsia="方正仿宋简体"/>
          <w:b/>
          <w:sz w:val="32"/>
        </w:rPr>
      </w:pPr>
      <w:r>
        <w:rPr>
          <w:rFonts w:ascii="方正仿宋简体" w:eastAsia="方正仿宋简体" w:hint="eastAsia"/>
          <w:b/>
          <w:sz w:val="32"/>
        </w:rPr>
        <w:t>遵化市财政局审核</w:t>
      </w:r>
    </w:p>
    <w:p w:rsidR="00AB5BE5" w:rsidRDefault="00AB5BE5"/>
    <w:p w:rsidR="00AB5BE5" w:rsidRDefault="004113DD">
      <w:pPr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:rsidR="00AB5BE5" w:rsidRDefault="00AB5BE5">
      <w:pPr>
        <w:rPr>
          <w:rFonts w:ascii="方正小标宋_GBK" w:eastAsia="方正小标宋_GBK"/>
          <w:sz w:val="36"/>
        </w:rPr>
      </w:pPr>
    </w:p>
    <w:p w:rsidR="00AB5BE5" w:rsidRDefault="004113DD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:rsidR="00AB5BE5" w:rsidRDefault="00AB5BE5">
      <w:pPr>
        <w:ind w:leftChars="200" w:left="420"/>
        <w:jc w:val="center"/>
      </w:pPr>
    </w:p>
    <w:p w:rsidR="00AB5BE5" w:rsidRDefault="00AB5BE5">
      <w:pPr>
        <w:jc w:val="center"/>
        <w:sectPr w:rsidR="00AB5BE5">
          <w:headerReference w:type="default" r:id="rId7"/>
          <w:footerReference w:type="default" r:id="rId8"/>
          <w:pgSz w:w="11907" w:h="16839"/>
          <w:pgMar w:top="1531" w:right="1134" w:bottom="1474" w:left="1134" w:header="851" w:footer="992" w:gutter="0"/>
          <w:cols w:space="720"/>
          <w:docGrid w:type="lines" w:linePitch="312"/>
        </w:sectPr>
      </w:pPr>
    </w:p>
    <w:p w:rsidR="00AB5BE5" w:rsidRDefault="00AB5BE5"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</w:p>
    <w:p w:rsidR="00AB5BE5" w:rsidRDefault="00AB5BE5"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</w:p>
    <w:p w:rsidR="00AB5BE5" w:rsidRDefault="00AB5BE5"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</w:p>
    <w:p w:rsidR="00AB5BE5" w:rsidRDefault="004113DD">
      <w:pPr>
        <w:jc w:val="center"/>
        <w:rPr>
          <w:rFonts w:ascii="方正小标宋_GBK" w:eastAsia="方正小标宋_GBK"/>
          <w:b/>
          <w:bCs/>
          <w:sz w:val="48"/>
          <w:szCs w:val="48"/>
        </w:rPr>
      </w:pPr>
      <w:r>
        <w:rPr>
          <w:rFonts w:ascii="方正小标宋_GBK" w:eastAsia="方正小标宋_GBK" w:hint="eastAsia"/>
          <w:b/>
          <w:bCs/>
          <w:sz w:val="48"/>
          <w:szCs w:val="48"/>
        </w:rPr>
        <w:t>目    录</w:t>
      </w:r>
    </w:p>
    <w:p w:rsidR="00AB5BE5" w:rsidRDefault="004113DD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 xml:space="preserve"> </w:t>
      </w:r>
    </w:p>
    <w:p w:rsidR="00AB5BE5" w:rsidRDefault="004113DD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第一部分 部门预算情况</w:t>
      </w:r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 w:rsidR="004113DD">
        <w:rPr>
          <w:rFonts w:ascii="方正仿宋_GBK" w:eastAsia="方正仿宋_GBK" w:cs="方正仿宋_GBK"/>
          <w:sz w:val="28"/>
          <w:szCs w:val="28"/>
        </w:rPr>
        <w:instrText xml:space="preserve"> TOC \o "1-1" \h \z \u \t "-1"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hyperlink w:anchor="_Toc506333637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年度发展规划目标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3</w:t>
        </w:r>
      </w:hyperlink>
    </w:p>
    <w:p w:rsidR="006D7C57" w:rsidRDefault="00E274C0" w:rsidP="001E26F4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38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部门职责</w:t>
        </w:r>
        <w:r w:rsidR="004113DD">
          <w:rPr>
            <w:rStyle w:val="a3"/>
            <w:rFonts w:ascii="方正仿宋_GBK" w:eastAsia="方正仿宋_GBK" w:cs="方正仿宋_GBK"/>
            <w:sz w:val="28"/>
            <w:szCs w:val="28"/>
          </w:rPr>
          <w:t>-</w:t>
        </w:r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工作活动绩效目标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6</w:t>
        </w:r>
      </w:hyperlink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39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部门收支预算总表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1</w:t>
        </w:r>
        <w:r w:rsidR="00731247">
          <w:rPr>
            <w:rFonts w:ascii="方正仿宋_GBK" w:eastAsia="方正仿宋_GBK" w:cs="方正仿宋_GBK" w:hint="eastAsia"/>
            <w:sz w:val="28"/>
            <w:szCs w:val="28"/>
          </w:rPr>
          <w:t>2</w:t>
        </w:r>
      </w:hyperlink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40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部门基本支出预算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710021">
          <w:rPr>
            <w:rFonts w:ascii="方正仿宋_GBK" w:eastAsia="方正仿宋_GBK" w:cs="方正仿宋_GBK" w:hint="eastAsia"/>
            <w:sz w:val="28"/>
            <w:szCs w:val="28"/>
          </w:rPr>
          <w:t>1</w:t>
        </w:r>
      </w:hyperlink>
      <w:r w:rsidR="00731247">
        <w:rPr>
          <w:rFonts w:ascii="方正仿宋_GBK" w:eastAsia="方正仿宋_GBK" w:cs="方正仿宋_GBK" w:hint="eastAsia"/>
          <w:sz w:val="28"/>
          <w:szCs w:val="28"/>
        </w:rPr>
        <w:t>3</w:t>
      </w:r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41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部门项目支出预算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2</w:t>
        </w:r>
        <w:r w:rsidR="00731247">
          <w:rPr>
            <w:rFonts w:ascii="方正仿宋_GBK" w:eastAsia="方正仿宋_GBK" w:cs="方正仿宋_GBK" w:hint="eastAsia"/>
            <w:sz w:val="28"/>
            <w:szCs w:val="28"/>
          </w:rPr>
          <w:t>0</w:t>
        </w:r>
      </w:hyperlink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42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部门预算政府经济分类表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2</w:t>
        </w:r>
      </w:hyperlink>
      <w:r w:rsidR="00731247">
        <w:rPr>
          <w:rFonts w:ascii="方正仿宋_GBK" w:eastAsia="方正仿宋_GBK" w:cs="方正仿宋_GBK" w:hint="eastAsia"/>
          <w:sz w:val="28"/>
          <w:szCs w:val="28"/>
        </w:rPr>
        <w:t>1</w:t>
      </w:r>
    </w:p>
    <w:p w:rsidR="00AB5BE5" w:rsidRDefault="00E274C0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506333643" w:history="1">
        <w:r w:rsidR="004113DD">
          <w:rPr>
            <w:rStyle w:val="a3"/>
            <w:rFonts w:ascii="方正仿宋_GBK" w:eastAsia="方正仿宋_GBK" w:cs="方正仿宋_GBK" w:hint="eastAsia"/>
            <w:sz w:val="28"/>
            <w:szCs w:val="28"/>
          </w:rPr>
          <w:t>部门“三公”及会议培训经费预算</w:t>
        </w:r>
        <w:r w:rsidR="004113DD">
          <w:rPr>
            <w:rFonts w:ascii="方正仿宋_GBK" w:eastAsia="方正仿宋_GBK" w:cs="方正仿宋_GBK"/>
            <w:sz w:val="28"/>
            <w:szCs w:val="28"/>
          </w:rPr>
          <w:tab/>
        </w:r>
        <w:r w:rsidR="004113DD">
          <w:rPr>
            <w:rFonts w:ascii="方正仿宋_GBK" w:eastAsia="方正仿宋_GBK" w:cs="方正仿宋_GBK" w:hint="eastAsia"/>
            <w:sz w:val="28"/>
            <w:szCs w:val="28"/>
          </w:rPr>
          <w:t>2</w:t>
        </w:r>
      </w:hyperlink>
      <w:r w:rsidR="00731247">
        <w:rPr>
          <w:rFonts w:ascii="方正仿宋_GBK" w:eastAsia="方正仿宋_GBK" w:cs="方正仿宋_GBK" w:hint="eastAsia"/>
          <w:sz w:val="28"/>
          <w:szCs w:val="28"/>
        </w:rPr>
        <w:t>2</w:t>
      </w:r>
    </w:p>
    <w:p w:rsidR="00AB5BE5" w:rsidRDefault="00E274C0">
      <w:pPr>
        <w:ind w:leftChars="200" w:left="420"/>
        <w:jc w:val="center"/>
      </w:pP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 w:rsidR="00AB5BE5" w:rsidRDefault="00AB5BE5">
      <w:pPr>
        <w:jc w:val="center"/>
        <w:rPr>
          <w:rFonts w:ascii="方正小标宋_GBK" w:eastAsia="方正小标宋_GBK"/>
          <w:sz w:val="44"/>
        </w:rPr>
        <w:sectPr w:rsidR="00AB5BE5">
          <w:pgSz w:w="11907" w:h="16839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AB5BE5" w:rsidRDefault="004113D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/>
          <w:sz w:val="44"/>
        </w:rPr>
        <w:lastRenderedPageBreak/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第一部分 部门预算情况</w:t>
      </w:r>
    </w:p>
    <w:p w:rsidR="00AB5BE5" w:rsidRDefault="004113DD">
      <w:pPr>
        <w:spacing w:line="480" w:lineRule="exact"/>
        <w:ind w:firstLineChars="200" w:firstLine="640"/>
        <w:rPr>
          <w:rFonts w:ascii="方正黑体简体" w:eastAsia="方正黑体简体" w:hAnsi="仿宋" w:cs="仿宋"/>
          <w:sz w:val="32"/>
          <w:szCs w:val="32"/>
        </w:rPr>
      </w:pPr>
      <w:r>
        <w:rPr>
          <w:rFonts w:ascii="方正黑体简体" w:eastAsia="方正黑体简体" w:hAnsi="仿宋" w:cs="仿宋" w:hint="eastAsia"/>
          <w:sz w:val="32"/>
          <w:szCs w:val="32"/>
        </w:rPr>
        <w:t>一、遵化市西留村乡人民政府年度发展规划目标</w:t>
      </w:r>
    </w:p>
    <w:p w:rsidR="00AB5BE5" w:rsidRDefault="004113DD">
      <w:pPr>
        <w:spacing w:line="480" w:lineRule="exact"/>
        <w:ind w:firstLineChars="200" w:firstLine="640"/>
        <w:jc w:val="left"/>
        <w:rPr>
          <w:rFonts w:ascii="方正仿宋简体" w:eastAsia="方正仿宋简体" w:hAnsi="仿宋" w:cs="仿宋"/>
          <w:b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贯彻落实党和国家在农村的各项方针政策和法律法规，做好农业、农村、农民工作，现阶段，主要围绕以下四个方面全面履行职责</w:t>
      </w:r>
      <w:r>
        <w:rPr>
          <w:rFonts w:ascii="方正仿宋简体" w:eastAsia="方正仿宋简体" w:hAnsi="仿宋" w:cs="仿宋" w:hint="eastAsia"/>
          <w:b/>
          <w:sz w:val="32"/>
          <w:szCs w:val="32"/>
        </w:rPr>
        <w:t>：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b/>
          <w:sz w:val="32"/>
          <w:szCs w:val="32"/>
        </w:rPr>
        <w:t>（一）促进经济发展，增加农民收入</w:t>
      </w:r>
      <w:r>
        <w:rPr>
          <w:rFonts w:ascii="方正仿宋简体" w:eastAsia="方正仿宋简体" w:hAnsi="仿宋" w:cs="仿宋" w:hint="eastAsia"/>
          <w:sz w:val="32"/>
          <w:szCs w:val="32"/>
        </w:rPr>
        <w:t>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乡化进程；营造良好的发展环境，提高经济发展的质量和水平，促进招商引资和项目建设工作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b/>
          <w:sz w:val="32"/>
          <w:szCs w:val="32"/>
        </w:rPr>
        <w:t>（二）提供公共服务，着力改善民生。</w:t>
      </w:r>
      <w:r>
        <w:rPr>
          <w:rFonts w:ascii="方正仿宋简体" w:eastAsia="方正仿宋简体" w:hAnsi="仿宋" w:cs="仿宋" w:hint="eastAsia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</w:t>
      </w:r>
      <w:r>
        <w:rPr>
          <w:rFonts w:ascii="方正仿宋简体" w:eastAsia="方正仿宋简体" w:hAnsi="仿宋" w:cs="仿宋" w:hint="eastAsia"/>
          <w:sz w:val="32"/>
          <w:szCs w:val="32"/>
        </w:rPr>
        <w:lastRenderedPageBreak/>
        <w:t>防和残疾人康复工作；加强农村基础设施建设，改善农民生活环境，积极稳妥有序推进农村新民居建设；建立健全农村社会保障体系，解除农民后顾之忧。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b/>
          <w:sz w:val="32"/>
          <w:szCs w:val="32"/>
        </w:rPr>
        <w:t>（三）加强社会管理，维护农村稳定。</w:t>
      </w:r>
      <w:r>
        <w:rPr>
          <w:rFonts w:ascii="方正仿宋简体" w:eastAsia="方正仿宋简体" w:hAnsi="仿宋" w:cs="仿宋" w:hint="eastAsia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b/>
          <w:sz w:val="32"/>
          <w:szCs w:val="32"/>
        </w:rPr>
        <w:t>（四）推进基层民主，促进农村和谐。</w:t>
      </w:r>
      <w:r>
        <w:rPr>
          <w:rFonts w:ascii="方正仿宋简体" w:eastAsia="方正仿宋简体" w:hAnsi="仿宋" w:cs="仿宋" w:hint="eastAsia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 w:rsidR="00AB5BE5" w:rsidRDefault="004113DD">
      <w:pPr>
        <w:spacing w:line="480" w:lineRule="exact"/>
        <w:ind w:firstLineChars="200" w:firstLine="640"/>
        <w:rPr>
          <w:rFonts w:ascii="方正楷体简体" w:eastAsia="方正楷体简体" w:hAnsi="仿宋" w:cs="仿宋"/>
          <w:b/>
          <w:sz w:val="32"/>
          <w:szCs w:val="32"/>
        </w:rPr>
      </w:pPr>
      <w:r>
        <w:rPr>
          <w:rFonts w:ascii="方正楷体简体" w:eastAsia="方正楷体简体" w:hAnsi="仿宋" w:cs="仿宋" w:hint="eastAsia"/>
          <w:b/>
          <w:sz w:val="32"/>
          <w:szCs w:val="32"/>
        </w:rPr>
        <w:t>（五）做好市政府领导交办的其它工作任务。</w:t>
      </w:r>
    </w:p>
    <w:p w:rsidR="00AB5BE5" w:rsidRDefault="004113DD">
      <w:pPr>
        <w:spacing w:line="480" w:lineRule="exact"/>
        <w:ind w:firstLineChars="200" w:firstLine="640"/>
        <w:rPr>
          <w:rFonts w:ascii="方正黑体简体" w:eastAsia="方正黑体简体" w:hAnsi="仿宋" w:cs="仿宋"/>
          <w:sz w:val="32"/>
          <w:szCs w:val="32"/>
        </w:rPr>
      </w:pPr>
      <w:r>
        <w:rPr>
          <w:rFonts w:ascii="方正黑体简体" w:eastAsia="方正黑体简体" w:hAnsi="仿宋" w:cs="仿宋" w:hint="eastAsia"/>
          <w:sz w:val="32"/>
          <w:szCs w:val="32"/>
        </w:rPr>
        <w:t>二、  职责分类绩效目标：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（一）负责政务信息的收集、整理、反馈工作；组织对市政府重要工作、重大决策的调查研究，</w:t>
      </w:r>
      <w:r>
        <w:rPr>
          <w:rFonts w:ascii="方正仿宋简体" w:eastAsia="方正仿宋简体" w:hAnsi="仿宋" w:cs="仿宋" w:hint="eastAsia"/>
          <w:sz w:val="32"/>
          <w:szCs w:val="32"/>
        </w:rPr>
        <w:lastRenderedPageBreak/>
        <w:t>及时向市政府领导提出建议，当好参谋。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（二）负责乡政府各种会议及活动的准备和服务工作以及，议定事项的落实。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（三）负责政府机关的档案、印章、信件管理和机要保密工作。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（四）围绕乡政府中心工作和上级政府经济社会发展的重要问题，开展调查研究，为领导决策提供有针对性、实用性、可操作性和超前性的对策和建议，并对决策执行情况进行跟踪调查和反馈。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（五）协调乡政府各部门之间的关系。负责对上级重要文件、市政府会议精神传达、决定事项及市政府领导批示的执行落实情况。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（七）负责行政审批上报服务工作。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（八）负责全乡农业和农村工作的综合、协调、指导。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（九）负责全乡小城乡建设、工业发展、环保、交通、拆迁等工作的综合、协调、督导。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（十）负责全乡财税、流通、市场建设、金融等工作的综合、协调、督导。</w:t>
      </w:r>
    </w:p>
    <w:p w:rsidR="00AB5BE5" w:rsidRDefault="004113DD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（十一）负责档案行政管理工作。</w:t>
      </w:r>
    </w:p>
    <w:p w:rsidR="00AB5BE5" w:rsidRDefault="004113DD">
      <w:pPr>
        <w:ind w:firstLineChars="200" w:firstLine="640"/>
        <w:outlineLvl w:val="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（十二）做好市政府领导交办的其它工作任务。</w:t>
      </w:r>
    </w:p>
    <w:p w:rsidR="00AB5BE5" w:rsidRDefault="00AB5BE5">
      <w:pPr>
        <w:jc w:val="center"/>
        <w:outlineLvl w:val="0"/>
        <w:rPr>
          <w:rFonts w:ascii="方正仿宋简体" w:eastAsia="方正仿宋简体" w:hAnsi="仿宋" w:cs="仿宋"/>
          <w:sz w:val="32"/>
          <w:szCs w:val="32"/>
        </w:rPr>
      </w:pPr>
    </w:p>
    <w:p w:rsidR="00AB5BE5" w:rsidRDefault="004113DD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部门职责-工作活动绩效目标</w:t>
      </w:r>
    </w:p>
    <w:p w:rsidR="00AB5BE5" w:rsidRDefault="00AB5BE5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57"/>
        <w:gridCol w:w="926"/>
        <w:gridCol w:w="3485"/>
        <w:gridCol w:w="3643"/>
        <w:gridCol w:w="1516"/>
        <w:gridCol w:w="944"/>
        <w:gridCol w:w="825"/>
        <w:gridCol w:w="825"/>
        <w:gridCol w:w="751"/>
      </w:tblGrid>
      <w:tr w:rsidR="00AB5BE5">
        <w:trPr>
          <w:trHeight w:val="227"/>
          <w:tblHeader/>
          <w:jc w:val="center"/>
        </w:trPr>
        <w:tc>
          <w:tcPr>
            <w:tcW w:w="10827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33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AB5BE5" w:rsidRDefault="004113D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AB5BE5">
        <w:trPr>
          <w:trHeight w:val="227"/>
          <w:tblHeader/>
          <w:jc w:val="center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AB5BE5">
        <w:trPr>
          <w:trHeight w:val="90"/>
          <w:tblHeader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AB5BE5">
        <w:trPr>
          <w:trHeight w:val="1331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一、政务服务与政务管理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政务公开、乡镇政府会议管理、政务联络工作。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突出政务、加强事务管理，力求重点工作出精品。难点工作求突破、基础工作有创新、常规工作见特色。以机关干部工作作风为依据，增强工作综合服务实力。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582"/>
          <w:jc w:val="center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1、政务公开、会议管理、政务联络。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不断提高信息公开工作业务水平；协助乡镇政府领导组织会议决定事项的落实；做好上级政府及有关部门政务往来与经济交流工作，负责乡镇政府领导公务活动的接待安排。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提升政务公开服务水平。承办会议，有效推动经济发展，保障重大决策落实，积极贯彻工作部署，创新工作机制，提升服务水平。围绕我乡镇中心工作，有效促进对外经贸协作和外地高科技项目合作。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组织对外联络（次）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</w:t>
            </w:r>
          </w:p>
        </w:tc>
      </w:tr>
      <w:tr w:rsidR="00AB5BE5">
        <w:trPr>
          <w:trHeight w:val="612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对外联络服务满意度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履行信息公开职责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143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承办会议次数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＜4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二、应急管理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负责乡镇政府值班工作，及时报告重大情况，协助乡镇政府领导组织处理突发事件。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有效保证应急突发事件应对处置，完善应急体系，有效组织应急演练，进一步提升应急工作水平。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1、应急管理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加强乡镇政府值班工作，及时报告重要情况，传达和落实乡政府领导重要指示，协助乡镇政府领导完成组织处理突发事件应急处置工作。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完善应急体系，确保快速、有效处置突发事件，提高事件应对实效。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应急事件处置情况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三、政府电子政务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政务信息工作和机关电子政务工作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保障政府网络系统安全运行，切实提高技术保障能力和服务水平。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1、政府电子政务管理与服务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政务信息工作和机关电子政务工作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保障政府网络系统安全运行，切实提高技术保障能力和服务水平。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网络系统升级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＜80%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四、综合业务、事务管理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0750A8">
            <w:pPr>
              <w:spacing w:line="300" w:lineRule="exact"/>
              <w:jc w:val="left"/>
              <w:rPr>
                <w:rFonts w:ascii="方正书宋_GBK" w:eastAsia="方正书宋_GBK"/>
                <w:b/>
                <w:color w:val="FF0000"/>
              </w:rPr>
            </w:pPr>
            <w:r>
              <w:rPr>
                <w:rFonts w:ascii="方正书宋_GBK" w:eastAsia="方正书宋_GBK" w:hint="eastAsia"/>
                <w:b/>
              </w:rPr>
              <w:t>645.7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紧紧围绕乡镇政府中心工作，积极与乡镇领导协调谋大事，解难事，不断提高参政水平，努力为领导提供服务层次和优质服务。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以服务领导和机关保障有力为目标，增强优质后勤管理水平，通过加强公车管理，降低运行成本，为创建节约型机关打下了良好的基础。采取保障乡镇政府领导和机关工作办公环境的措施，提升服务管理水平，保障乡镇领导和机关工作的正常运转。及时了解国内外形势、党和国家的方针政策以及上级重要部署和要求，及时为老干部提供优质高效服务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1、综合业务、事务管理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0750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  <w:b/>
                <w:bCs/>
              </w:rPr>
              <w:t>645.7</w:t>
            </w: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助乡镇政府领导组织起草或审核以镇政府、镇政府办公室名义发布的公文；办理各部门报送的文电；对部门间出现的争议问题提出处理意见；组织起草镇政府领导重要讲话及其他重要文稿；组织专题调研；组织共青团、妇联、信访等各项工作及活动；</w:t>
            </w:r>
            <w:r>
              <w:rPr>
                <w:rFonts w:ascii="方正书宋_GBK" w:eastAsia="方正书宋_GBK" w:hint="eastAsia"/>
              </w:rPr>
              <w:lastRenderedPageBreak/>
              <w:t>承办镇政府领导交办的其他事项。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采取保障乡镇政府领导和机关工作办公环境的措施，提升了服务管理水平，保障了乡镇处领导和机关工作的正常运转。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各项综合业务管理工作完成率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各项综合事务管理工作完成率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五、信息收集、督查调研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围绕乡镇政府党委总体工作部署开展综合调研，收集和处理信息、反映动态；承担乡镇政府党委重要工作部署贯彻落实的督导检查，上级领导和乡镇政府党委领导批示件的传达和催办落实。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信息真实完整，领导满意，批示率高。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1、信息收集、督查调研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乡镇政府党委的重大决策部署收集、整理和反馈信息；社情民意调查；系统信息网络的协调和指导工作。乡镇政府党委重大决策部署贯彻落实的督促检查；乡镇政府党委领导同志有关批示件的催办落实；承担乡镇政府党委领导同志批示件及情况的综汇工作；围绕乡镇政府党委重大决策的贯彻落实进行调查研究；全乡镇政府党委系统督查网络的协调和指导工作。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信息真实完整，领导满意，批示率高。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领导满意度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信息采集上报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六、干部管理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负责乡镇政府村两级党组织建设，指导全乡镇政府党员教育工作、管理和发展工作，负责干部培养选拔和安置；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健全乡镇政府村两级党的组织制度、党内生活制度建设；指导村两委工作，培养锻炼干部，提高干部整体素质，不断提高干部素质和业务能力。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1、党</w:t>
            </w:r>
            <w:r>
              <w:rPr>
                <w:rFonts w:ascii="方正书宋_GBK" w:eastAsia="方正书宋_GBK" w:hint="eastAsia"/>
                <w:b/>
              </w:rPr>
              <w:lastRenderedPageBreak/>
              <w:t>员和党组织建设、干部管理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负责乡镇政府村两级党组织建设；指</w:t>
            </w:r>
            <w:r>
              <w:rPr>
                <w:rFonts w:ascii="方正书宋_GBK" w:eastAsia="方正书宋_GBK" w:hint="eastAsia"/>
              </w:rPr>
              <w:lastRenderedPageBreak/>
              <w:t>导全乡镇政府党员教育工作；组织落实培养选拔后备干部、妇女干部。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加强组织建设和党员管理，不断提高</w:t>
            </w:r>
            <w:r>
              <w:rPr>
                <w:rFonts w:ascii="方正书宋_GBK" w:eastAsia="方正书宋_GBK" w:hint="eastAsia"/>
              </w:rPr>
              <w:lastRenderedPageBreak/>
              <w:t>执政能力和领导水平；组织落实培养选拔后备干部、妇女干部。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干部选拔工作</w:t>
            </w:r>
            <w:r>
              <w:rPr>
                <w:rFonts w:ascii="方正书宋_GBK" w:eastAsia="方正书宋_GBK" w:hint="eastAsia"/>
              </w:rPr>
              <w:lastRenderedPageBreak/>
              <w:t>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七、保险业务及退休管理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负责各类保险的筹集、支付、管理；负责乡镇政府离退休人员的审核工作。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做好全镇政府各类保险管理工作及退休管理工作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1、保险及退休管理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做好保险及退休管理工作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各类保险及时足额收缴并做好管理工作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保险收缴情况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八、城乡规划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对由市政府审批的规划进行监督实施。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加强城乡规划管理，协调城乡空间布局，改善人居环境，促进城乡经济社会全面协调可持续发展。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1、城乡规划制订、实施与监督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审查、督导依法编制城乡规划；加强和改进规划管理技术手段，对依法批准的城乡规划进行监督实施。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完成本级规划编制，健全规划体系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规划完成率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九、城乡建设管理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拟定村庄和小城镇建设政策并指导实施；指导乡镇政府、乡村庄规划的编制和实施；指导农村住房建设、住房安全和危房改造；改善小城镇和村庄人居环境。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加强管理，提高城市承载能力和宜居度。加强村乡镇政府建设，改善农村人居环境，实现城乡统筹发展。协调和指导推进城乡镇政府化工作，加快城乡镇政府化进程。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1、推进城乡镇</w:t>
            </w:r>
            <w:r>
              <w:rPr>
                <w:rFonts w:ascii="方正书宋_GBK" w:eastAsia="方正书宋_GBK" w:hint="eastAsia"/>
                <w:b/>
              </w:rPr>
              <w:lastRenderedPageBreak/>
              <w:t>政府化建设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推进小城镇和集镇人居环境改善，加快城市建设投融资体制改革，协调和</w:t>
            </w:r>
            <w:r>
              <w:rPr>
                <w:rFonts w:ascii="方正书宋_GBK" w:eastAsia="方正书宋_GBK" w:hint="eastAsia"/>
              </w:rPr>
              <w:lastRenderedPageBreak/>
              <w:t>指导推进城镇化工作。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加强村乡镇政府建设，改善农村人居环境，实现城乡统筹发展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危房改造完成率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十、计划生育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提供各类计划生育技术服务，建立利益导向机制，开展出生人口性别比治理以及流动人口计划生育管理等各项工作。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稳定适度的低生育水平，有效保障计划生育家庭生活水平，提高妇女生殖健康水平，降低出生缺陷的发生，有效遏制出生人口性别比偏高问题。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1、计划生育奖励扶持政策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采取奖励、扶助、社会保障等机制，引导家庭和个人采取计划生育措施，提高计划生育家庭发展能力。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增强群众自觉实行计划生育的积极性，稳定适度的低生育水平，提高计划生育家庭发展能力，增强计划生育家庭的凝聚力及成员幸福感。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计划生育家庭特别扶助政策落实率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农村部分计划生育家庭奖励扶助政策落实率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&lt;90%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十一、完善农村经营管理体制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引导农村土地合理流转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规范流转行为，优化资源配置，加快新农村建设和城乡镇政府化进程。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1、促进土地流转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建设土地流转有形市场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指导全乡镇政府建立运转顺畅、便捷高效的农村土地承包经营权流转服务平台，带动土地流转依法、有序开展。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土地流转提高率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十二、扶持农产品生产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对生产者采取直接补贴的办法，支持推广优良品种，提高农产品产量、质量，提高生产经营效益。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提高农产品产量，提高经济效益，增加农民收入。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1、实</w:t>
            </w:r>
            <w:r>
              <w:rPr>
                <w:rFonts w:ascii="方正书宋_GBK" w:eastAsia="方正书宋_GBK" w:hint="eastAsia"/>
                <w:b/>
              </w:rPr>
              <w:lastRenderedPageBreak/>
              <w:t>施良种补贴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按照国家、省部署，对全县主要粮食</w:t>
            </w:r>
            <w:r>
              <w:rPr>
                <w:rFonts w:ascii="方正书宋_GBK" w:eastAsia="方正书宋_GBK" w:hint="eastAsia"/>
              </w:rPr>
              <w:lastRenderedPageBreak/>
              <w:t>作物实施良种补贴。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小麦、玉米、水稻、棉花良种补贴全</w:t>
            </w:r>
            <w:r>
              <w:rPr>
                <w:rFonts w:ascii="方正书宋_GBK" w:eastAsia="方正书宋_GBK" w:hint="eastAsia"/>
              </w:rPr>
              <w:lastRenderedPageBreak/>
              <w:t>覆盖。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主要农作物良</w:t>
            </w:r>
            <w:r>
              <w:rPr>
                <w:rFonts w:ascii="方正书宋_GBK" w:eastAsia="方正书宋_GBK" w:hint="eastAsia"/>
              </w:rPr>
              <w:lastRenderedPageBreak/>
              <w:t>种补贴覆盖率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≥98%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≥92%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&lt;92%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十三、林业生态建设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组织全乡镇政府退耕还林工作，加强森林资源保护管理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完成上级部门下达的任务，有效改善生态环境。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1、退耕还林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组织实施退耕还林、荒山荒地造林及巩固退耕成果等工程，兑现政策补助资金。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所辖地区的生态状况得到明显改善。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退耕还林任务完成率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≥80%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&lt;80%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十四、林业科技支撑和公共服务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组织、协调全乡镇政府森林火灾的预防与扑救工作，承担全乡镇政府森林防火指挥部的具体工作。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预防和减少自然灾害对森林资源的损失，保护森林资源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1、林业防灾减灾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组织、协调全乡镇政府森林火灾的预防与扑救工作，承担全乡镇政府森林防火指挥部的具体工作。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预防和减少自然灾害对森林资源的损失，保护森林资源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森林火灾受害控制率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&lt;0.1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&lt;0.2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&lt;0.3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≥0.3</w:t>
            </w:r>
            <w:r>
              <w:rPr>
                <w:rFonts w:ascii="方正书宋_GBK" w:eastAsia="方正书宋_GBK"/>
              </w:rPr>
              <w:t>‰</w:t>
            </w: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十五、水利水电项目建设与管理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水利水电项目的建设与维护管理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按期完成水利水电项目建设和维修管护任务，对社会稳定的经济发展起到积极作用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227"/>
          <w:jc w:val="center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1、农田水利建设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AB5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建设小型农田水利设施，实施节水灌溉、灌区续建配套与节水改造等，推广综合节水技术。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提高农业用水效率、改善农业生产条件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任务完成率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＜90%</w:t>
            </w:r>
          </w:p>
        </w:tc>
      </w:tr>
    </w:tbl>
    <w:p w:rsidR="00AB5BE5" w:rsidRDefault="00AB5BE5">
      <w:pPr>
        <w:spacing w:line="48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</w:p>
    <w:p w:rsidR="00AB5BE5" w:rsidRDefault="00AB5BE5">
      <w:pPr>
        <w:spacing w:line="300" w:lineRule="exact"/>
        <w:jc w:val="left"/>
        <w:sectPr w:rsidR="00AB5BE5">
          <w:pgSz w:w="16839" w:h="11907" w:orient="landscape"/>
          <w:pgMar w:top="1871" w:right="1474" w:bottom="1871" w:left="1588" w:header="851" w:footer="992" w:gutter="0"/>
          <w:cols w:space="720"/>
          <w:docGrid w:type="lines" w:linePitch="312"/>
        </w:sectPr>
      </w:pPr>
    </w:p>
    <w:p w:rsidR="00AB5BE5" w:rsidRPr="000750A8" w:rsidRDefault="00AB5BE5">
      <w:pPr>
        <w:spacing w:line="300" w:lineRule="exact"/>
        <w:jc w:val="left"/>
      </w:pPr>
    </w:p>
    <w:p w:rsidR="00AB5BE5" w:rsidRDefault="004113DD">
      <w:pPr>
        <w:jc w:val="center"/>
        <w:outlineLvl w:val="1"/>
        <w:rPr>
          <w:rFonts w:ascii="方正小标宋_GBK" w:eastAsia="方正小标宋_GBK"/>
          <w:sz w:val="44"/>
        </w:rPr>
      </w:pPr>
      <w:bookmarkStart w:id="0" w:name="_Toc506407412"/>
      <w:r>
        <w:rPr>
          <w:rFonts w:ascii="方正小标宋_GBK" w:eastAsia="方正小标宋_GBK" w:hint="eastAsia"/>
          <w:sz w:val="44"/>
        </w:rPr>
        <w:t>遵化市西留村乡人民政府收支预算</w:t>
      </w:r>
      <w:bookmarkEnd w:id="0"/>
    </w:p>
    <w:p w:rsidR="00AB5BE5" w:rsidRDefault="00AB5BE5">
      <w:pPr>
        <w:jc w:val="center"/>
      </w:pPr>
    </w:p>
    <w:p w:rsidR="00AB5BE5" w:rsidRDefault="004113DD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AB5BE5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4340</w:t>
            </w:r>
            <w:r>
              <w:rPr>
                <w:rFonts w:ascii="方正小标宋_GBK" w:eastAsia="方正小标宋_GBK" w:hint="eastAsia"/>
                <w:sz w:val="24"/>
              </w:rPr>
              <w:t>16遵化市西留村乡人民政府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5BE5" w:rsidRDefault="004113DD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AB5BE5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AB5BE5" w:rsidRDefault="000A0AF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645.7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AB5BE5" w:rsidRDefault="000A0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645.7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vAlign w:val="center"/>
          </w:tcPr>
          <w:p w:rsidR="00AB5BE5" w:rsidRDefault="000A0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645.7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AB5B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AB5BE5" w:rsidRDefault="000A0AF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645.7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vAlign w:val="center"/>
          </w:tcPr>
          <w:p w:rsidR="00AB5BE5" w:rsidRDefault="004113DD" w:rsidP="000A0AF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              </w:t>
            </w:r>
            <w:r w:rsidR="000A0AFE">
              <w:rPr>
                <w:rFonts w:ascii="方正书宋_GBK" w:eastAsia="方正书宋_GBK" w:hint="eastAsia"/>
              </w:rPr>
              <w:t>542.03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vAlign w:val="center"/>
          </w:tcPr>
          <w:p w:rsidR="00AB5BE5" w:rsidRDefault="000A0A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70.67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AB5BE5" w:rsidRDefault="004113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33.00</w:t>
            </w:r>
          </w:p>
        </w:tc>
      </w:tr>
      <w:tr w:rsidR="00AB5BE5">
        <w:trPr>
          <w:trHeight w:val="425"/>
          <w:jc w:val="center"/>
        </w:trPr>
        <w:tc>
          <w:tcPr>
            <w:tcW w:w="901" w:type="dxa"/>
            <w:vAlign w:val="center"/>
          </w:tcPr>
          <w:p w:rsidR="00AB5BE5" w:rsidRDefault="004113D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 w:rsidR="00AB5BE5" w:rsidRDefault="00411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vAlign w:val="center"/>
          </w:tcPr>
          <w:p w:rsidR="00AB5BE5" w:rsidRDefault="00AB5BE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AB5BE5" w:rsidRDefault="00AB5BE5">
      <w:pPr>
        <w:spacing w:line="300" w:lineRule="exact"/>
        <w:jc w:val="left"/>
        <w:sectPr w:rsidR="00AB5BE5">
          <w:pgSz w:w="11907" w:h="16839"/>
          <w:pgMar w:top="1020" w:right="1134" w:bottom="1020" w:left="1134" w:header="851" w:footer="992" w:gutter="0"/>
          <w:cols w:space="720"/>
          <w:docGrid w:type="lines" w:linePitch="312"/>
        </w:sectPr>
      </w:pPr>
    </w:p>
    <w:p w:rsidR="002D693B" w:rsidRDefault="002D693B" w:rsidP="002D693B">
      <w:pPr>
        <w:jc w:val="center"/>
        <w:outlineLvl w:val="1"/>
        <w:rPr>
          <w:rFonts w:hAnsi="宋体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2D693B" w:rsidTr="004F4A17">
        <w:trPr>
          <w:cantSplit/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93B" w:rsidTr="004F4A17">
        <w:trPr>
          <w:cantSplit/>
          <w:trHeight w:val="227"/>
          <w:tblHeader/>
          <w:jc w:val="center"/>
        </w:trPr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2D693B" w:rsidTr="004F4A17">
        <w:trPr>
          <w:cantSplit/>
          <w:trHeight w:val="227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  计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  预算拨款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  拨款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  核拨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  收入</w:t>
            </w: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542.03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542.03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487.89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487.89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1、基本工资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160.22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160.22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2、津贴补贴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104.80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104.80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（1）地区附加津贴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83.75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83.75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（2）艰苦边远地区津贴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（3）（特殊）岗位津贴（补贴）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1）国家出台与实际天数无关的岗位津贴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2）国家出台按实际天数发放的岗位津贴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（4）规范津贴补贴后仍继续保留的补贴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1）回族补贴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0.01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2）职工劳模荣誉津贴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（5）乡镇补贴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19.88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19.88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（6）上述项目之外的津贴补贴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3、奖金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8.35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8.35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4、社会保障缴费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134.17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134.17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2080505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（1）基本养老保险费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48.87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48.87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2080506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（2）职业年金缴费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24.44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24.44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2101101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（3）基本医疗保险费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21.38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21.38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2101101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（4）大病医疗保险费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2101101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（5）公务员医疗补助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24.44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24.44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2101101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（6）全额离退休人员医疗保险费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10.45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10.45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（7）事业单位失业保险费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（8）工伤保险费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1.53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1.53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（9）生育保险费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（10）其他社保缴费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5、伙食补助费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6、绩效工资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51.80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51.80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50501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（1）基础绩效工资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35.53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35.53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50501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（2）奖励绩效工资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16.27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16.27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50501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（3）应纳入绩效工资的津贴补贴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7、自收自支及招聘人员支出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20.15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20.15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（1）自收自支及招聘人员工资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（2）自收自支及招聘人员养老保险、失业险及工伤保险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2.21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2.21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（3）自收自支人员职业年金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1.03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（4）自收自支及招聘人员医疗保险及生育险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1.93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1.93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50103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（5）自收自支及招聘人员住房公积金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1.54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1.54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2130152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（6）自收自支及招聘人员住宅取暖费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8、预留增资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54.14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54.14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1、离休费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（1）离休金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（2）离休人员补贴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（3）离休人员特殊补贴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（4）离休人员上述项目之外的补贴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（5）社保机构开支人员单位应负担的离休费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2、退休费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（1）退休金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（2）退休人员补贴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（3）退休人员特殊补贴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（4）退休人员上述项目之外的补贴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（5）社保机构开支人员单位应负担的退休费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3、退职（役）费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（1）退职生活费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（2）退职人员补贴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（3）退职人员特殊补贴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（4）退职人员上述项目之外的补贴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（5）社保机构开支人员单位应负担的退职生活费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4、抚恤金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5、生活补助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6、医疗费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7、助学金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8、奖励金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（1)独生子女父母奖励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（2)其他奖励金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2210201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30113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50103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9、住房公积金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36.66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36.66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10、待规范津贴补贴人员提租补贴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（1）在职人员提租补贴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（2）离休人员提租补贴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（3）退休人员提租补贴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（4）退职（役）人员提租补贴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11、购房补贴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12、其他对个人和家庭的补助支出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1）在职住宅取暖费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2）离休住宅取暖费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3）退休住宅取暖费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4）退职住宅取暖费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（2）其他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93B" w:rsidRDefault="002D693B" w:rsidP="002D693B">
      <w:pPr>
        <w:widowControl/>
        <w:jc w:val="left"/>
        <w:sectPr w:rsid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2D693B" w:rsidRDefault="002D693B" w:rsidP="002D693B">
      <w:pPr>
        <w:jc w:val="center"/>
        <w:outlineLvl w:val="1"/>
        <w:rPr>
          <w:rFonts w:hAnsi="宋体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2D693B" w:rsidTr="004F4A17">
        <w:trPr>
          <w:cantSplit/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93B" w:rsidTr="004F4A17">
        <w:trPr>
          <w:cantSplit/>
          <w:trHeight w:val="227"/>
          <w:tblHeader/>
          <w:jc w:val="center"/>
        </w:trPr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2D693B" w:rsidTr="004F4A17">
        <w:trPr>
          <w:cantSplit/>
          <w:trHeight w:val="227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  计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  预算拨款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  拨款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  核拨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  收入</w:t>
            </w: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70.67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70.67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1、基础定额项目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61.85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61.85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（1）办公费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8.40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（2）水费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（3）电费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（4）邮电费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1）公务移动通讯费用补贴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0.90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2）其他邮电费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（5）办公取暖费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（6）物业管理费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（7）差旅费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1.68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1.68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（8）维修（护）费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0.84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50202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（9）会议费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50203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（10）培训费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31002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50306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（11）办公设备购置费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50207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（12）因公出国（境）费用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（13）公务用车运行维护费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50208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1）燃料费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7.35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7.35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50208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2）维修费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3.60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50208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3）保险费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1.05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50208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4）其他交通费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（14）离退休干部经费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1）离休干部公用经费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2）离休干部特需费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3）离休干部住宅公用电话费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4）离休人员福利费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5）退休干部公用经费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6）退休干部特需费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7）退休干部住宅公用电话费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8）退休人员福利费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9）退职人员福利费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10）离休干部参观休养经费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（15）公车补贴费用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14.64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14.64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（16）印刷费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（17）咨询费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（18）手续费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（19）租赁费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50204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（20）专用材料费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50204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（21）被装购置费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50204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（22）专用燃料费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（23）劳务费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50205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（24）委托业务费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（25）其他业务费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4.62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4.62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2、按规定比例计提项目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8.82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8.82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50206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（1）公务接待费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0.67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（2）工会经费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3.82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3.82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2010301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（3）福利费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4.33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4.33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（4）党组织活动经费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3、特殊因素项目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（1）业务用房运行费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（2）办公用房运行补助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（3）网络运行维护费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（4）大宗印刷费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50201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（5）专项邮电费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31003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50306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（6）专项购置费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50208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（7）执法执勤及特种业务车辆运行费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（8）临时办公室经费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（9）中央空调及电梯运行费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227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50299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（10）不可预见费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93B" w:rsidRDefault="002D693B" w:rsidP="002D693B">
      <w:pPr>
        <w:widowControl/>
        <w:jc w:val="left"/>
        <w:sectPr w:rsid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2D693B" w:rsidRDefault="002D693B" w:rsidP="002D693B">
      <w:pPr>
        <w:jc w:val="center"/>
        <w:outlineLvl w:val="1"/>
        <w:rPr>
          <w:rFonts w:hAnsi="宋体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2D693B" w:rsidTr="004F4A17">
        <w:trPr>
          <w:cantSplit/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93B" w:rsidTr="004F4A17">
        <w:trPr>
          <w:cantSplit/>
          <w:tblHeader/>
          <w:jc w:val="center"/>
        </w:trPr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2D693B" w:rsidTr="004F4A17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 计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  预算拨款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  拨款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  核拨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  收入</w:t>
            </w:r>
          </w:p>
        </w:tc>
      </w:tr>
      <w:tr w:rsidR="002D693B" w:rsidTr="004F4A17">
        <w:trPr>
          <w:cantSplit/>
          <w:jc w:val="center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ordWrap w:val="0"/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33.00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33.00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jc w:val="center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乡镇环境治理经费（西留村）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2120501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18.00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18.00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jc w:val="center"/>
        </w:trPr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ordWrap w:val="0"/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乡镇维稳经费（西留村）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2010302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93B" w:rsidRDefault="002D693B" w:rsidP="002D693B">
      <w:pPr>
        <w:widowControl/>
        <w:jc w:val="left"/>
        <w:sectPr w:rsid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2D693B" w:rsidRDefault="002D693B" w:rsidP="002D693B">
      <w:pPr>
        <w:jc w:val="center"/>
        <w:outlineLvl w:val="1"/>
        <w:rPr>
          <w:rFonts w:hAnsi="宋体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472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2D693B" w:rsidTr="004F4A17">
        <w:trPr>
          <w:cantSplit/>
          <w:trHeight w:val="425"/>
          <w:tblHeader/>
          <w:jc w:val="center"/>
        </w:trPr>
        <w:tc>
          <w:tcPr>
            <w:tcW w:w="27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2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93B" w:rsidTr="004F4A17">
        <w:trPr>
          <w:cantSplit/>
          <w:trHeight w:val="425"/>
          <w:tblHeader/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2D693B" w:rsidTr="004F4A17">
        <w:trPr>
          <w:cantSplit/>
          <w:trHeight w:val="425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  计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645.70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645.70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501机关工资福利支出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474.30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474.30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502机关商品和服务支出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103.67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103.67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503机关资本性支出（一）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504机关资本性支出（二）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505对事业单位经常性补助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51.80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51.80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506对事业单位资本性补助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507对企业补助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508对企业资本性支出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509对个人和家庭的补助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15.93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15.93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511债务利息及费用支出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513转移性支出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425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599其他支出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93B" w:rsidRDefault="002D693B" w:rsidP="002D693B">
      <w:pPr>
        <w:widowControl/>
        <w:jc w:val="left"/>
        <w:sectPr w:rsid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2D693B" w:rsidRDefault="002D693B" w:rsidP="002D693B">
      <w:pPr>
        <w:jc w:val="center"/>
        <w:outlineLvl w:val="1"/>
        <w:rPr>
          <w:rFonts w:hAnsi="宋体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50"/>
        <w:gridCol w:w="1817"/>
        <w:gridCol w:w="2267"/>
        <w:gridCol w:w="2269"/>
        <w:gridCol w:w="2267"/>
        <w:gridCol w:w="2267"/>
      </w:tblGrid>
      <w:tr w:rsidR="002D693B" w:rsidTr="004F4A17">
        <w:trPr>
          <w:cantSplit/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434016遵化市西留村乡人民政府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D693B" w:rsidTr="004F4A17">
        <w:trPr>
          <w:cantSplit/>
          <w:trHeight w:val="567"/>
          <w:tblHeader/>
          <w:jc w:val="center"/>
        </w:trPr>
        <w:tc>
          <w:tcPr>
            <w:tcW w:w="11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2D693B" w:rsidTr="004F4A17">
        <w:trPr>
          <w:cantSplit/>
          <w:trHeight w:val="567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13.07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13.07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12.67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12.67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一、因公出国（境）费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二、公务用车购置及运维费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其中：公务用车购置费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        公务用车运行维护费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12.00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三、公务接待费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0.67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0.67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四、会议费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2D693B" w:rsidTr="004F4A17">
        <w:trPr>
          <w:cantSplit/>
          <w:trHeight w:val="567"/>
          <w:jc w:val="center"/>
        </w:trPr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五、培训费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93B" w:rsidRDefault="002D693B" w:rsidP="004F4A1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2D693B" w:rsidRDefault="002D693B" w:rsidP="002D693B">
      <w:pPr>
        <w:widowControl/>
        <w:jc w:val="left"/>
        <w:sectPr w:rsid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AB5BE5" w:rsidRPr="002D693B" w:rsidRDefault="00AB5BE5" w:rsidP="002D693B">
      <w:pPr>
        <w:rPr>
          <w:rFonts w:ascii="方正小标宋_GBK" w:eastAsia="方正小标宋_GBK"/>
          <w:sz w:val="32"/>
        </w:rPr>
        <w:sectPr w:rsidR="00AB5BE5" w:rsidRP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AB5BE5" w:rsidRPr="002D693B" w:rsidRDefault="00AB5BE5" w:rsidP="002D693B">
      <w:pPr>
        <w:rPr>
          <w:rFonts w:ascii="方正小标宋_GBK" w:eastAsia="方正小标宋_GBK"/>
          <w:sz w:val="32"/>
        </w:rPr>
        <w:sectPr w:rsidR="00AB5BE5" w:rsidRP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AB5BE5" w:rsidRPr="002D693B" w:rsidRDefault="00AB5BE5" w:rsidP="002D693B">
      <w:pPr>
        <w:rPr>
          <w:rFonts w:ascii="方正小标宋_GBK" w:eastAsia="方正小标宋_GBK"/>
          <w:sz w:val="32"/>
        </w:rPr>
        <w:sectPr w:rsidR="00AB5BE5" w:rsidRPr="002D693B">
          <w:pgSz w:w="16839" w:h="11907" w:orient="landscape"/>
          <w:pgMar w:top="1361" w:right="1020" w:bottom="1361" w:left="1020" w:header="851" w:footer="992" w:gutter="0"/>
          <w:cols w:space="720"/>
          <w:docGrid w:type="lines" w:linePitch="312"/>
        </w:sectPr>
      </w:pPr>
    </w:p>
    <w:p w:rsidR="006D7C57" w:rsidRDefault="006D7C57"/>
    <w:sectPr w:rsidR="006D7C57" w:rsidSect="00AB5BE5">
      <w:pgSz w:w="16839" w:h="11907" w:orient="landscape"/>
      <w:pgMar w:top="1134" w:right="1020" w:bottom="1134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F8" w:rsidRDefault="000470F8">
      <w:r>
        <w:separator/>
      </w:r>
    </w:p>
  </w:endnote>
  <w:endnote w:type="continuationSeparator" w:id="1">
    <w:p w:rsidR="000470F8" w:rsidRDefault="0004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E5" w:rsidRDefault="00E274C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8.7pt;height:20.7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B5BE5" w:rsidRDefault="00E274C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113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3124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F8" w:rsidRDefault="000470F8">
      <w:r>
        <w:separator/>
      </w:r>
    </w:p>
  </w:footnote>
  <w:footnote w:type="continuationSeparator" w:id="1">
    <w:p w:rsidR="000470F8" w:rsidRDefault="0004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E5" w:rsidRDefault="00AB5B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31"/>
    <w:rsid w:val="000470F8"/>
    <w:rsid w:val="000750A8"/>
    <w:rsid w:val="000A0AFE"/>
    <w:rsid w:val="00152234"/>
    <w:rsid w:val="00172A27"/>
    <w:rsid w:val="001E26F4"/>
    <w:rsid w:val="00226913"/>
    <w:rsid w:val="00295C90"/>
    <w:rsid w:val="002D693B"/>
    <w:rsid w:val="003E0409"/>
    <w:rsid w:val="004113DD"/>
    <w:rsid w:val="00434D0E"/>
    <w:rsid w:val="005646F8"/>
    <w:rsid w:val="006D7C57"/>
    <w:rsid w:val="00710021"/>
    <w:rsid w:val="00731247"/>
    <w:rsid w:val="00812D27"/>
    <w:rsid w:val="008F278F"/>
    <w:rsid w:val="009E1D2C"/>
    <w:rsid w:val="00A15438"/>
    <w:rsid w:val="00AB5BE5"/>
    <w:rsid w:val="00AF22B6"/>
    <w:rsid w:val="00BD1058"/>
    <w:rsid w:val="00BE2545"/>
    <w:rsid w:val="00BF5AC2"/>
    <w:rsid w:val="00C37C7A"/>
    <w:rsid w:val="00D0013E"/>
    <w:rsid w:val="00D4615D"/>
    <w:rsid w:val="00DF7B11"/>
    <w:rsid w:val="00E274C0"/>
    <w:rsid w:val="00F44F90"/>
    <w:rsid w:val="00F60BA9"/>
    <w:rsid w:val="00F73F49"/>
    <w:rsid w:val="00FC3BBD"/>
    <w:rsid w:val="476C6759"/>
    <w:rsid w:val="4FBB2445"/>
    <w:rsid w:val="6376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/>
    <w:lsdException w:name="toc 2" w:semiHidden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5BE5"/>
    <w:rPr>
      <w:color w:val="0000FF"/>
      <w:u w:val="single"/>
    </w:rPr>
  </w:style>
  <w:style w:type="paragraph" w:styleId="1">
    <w:name w:val="toc 1"/>
    <w:basedOn w:val="a"/>
    <w:next w:val="a"/>
    <w:uiPriority w:val="39"/>
    <w:semiHidden/>
    <w:rsid w:val="00AB5BE5"/>
  </w:style>
  <w:style w:type="paragraph" w:styleId="2">
    <w:name w:val="toc 2"/>
    <w:basedOn w:val="a"/>
    <w:next w:val="a"/>
    <w:semiHidden/>
    <w:rsid w:val="00AB5BE5"/>
    <w:pPr>
      <w:ind w:leftChars="200" w:left="420"/>
    </w:pPr>
  </w:style>
  <w:style w:type="paragraph" w:styleId="a4">
    <w:name w:val="header"/>
    <w:basedOn w:val="a"/>
    <w:link w:val="Char"/>
    <w:uiPriority w:val="99"/>
    <w:rsid w:val="00AB5B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0"/>
    <w:uiPriority w:val="99"/>
    <w:rsid w:val="00AB5B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AB5BE5"/>
    <w:rPr>
      <w:sz w:val="18"/>
      <w:szCs w:val="18"/>
    </w:rPr>
  </w:style>
  <w:style w:type="character" w:styleId="a7">
    <w:name w:val="FollowedHyperlink"/>
    <w:basedOn w:val="a0"/>
    <w:uiPriority w:val="99"/>
    <w:unhideWhenUsed/>
    <w:rsid w:val="002D693B"/>
    <w:rPr>
      <w:color w:val="800080" w:themeColor="followedHyperlink"/>
      <w:u w:val="single"/>
    </w:rPr>
  </w:style>
  <w:style w:type="character" w:customStyle="1" w:styleId="Char">
    <w:name w:val="页眉 Char"/>
    <w:basedOn w:val="a0"/>
    <w:link w:val="a4"/>
    <w:uiPriority w:val="99"/>
    <w:rsid w:val="002D693B"/>
    <w:rPr>
      <w:kern w:val="2"/>
      <w:sz w:val="18"/>
      <w:szCs w:val="24"/>
    </w:rPr>
  </w:style>
  <w:style w:type="character" w:customStyle="1" w:styleId="Char0">
    <w:name w:val="页脚 Char"/>
    <w:basedOn w:val="a0"/>
    <w:link w:val="a5"/>
    <w:uiPriority w:val="99"/>
    <w:rsid w:val="002D693B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F4CE-9A0D-4A8D-980F-941DF2C9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1860</Words>
  <Characters>10603</Characters>
  <Application>Microsoft Office Word</Application>
  <DocSecurity>0</DocSecurity>
  <PresentationFormat/>
  <Lines>88</Lines>
  <Paragraphs>24</Paragraphs>
  <Slides>0</Slides>
  <Notes>0</Notes>
  <HiddenSlides>0</HiddenSlides>
  <MMClips>0</MMClips>
  <ScaleCrop>false</ScaleCrop>
  <Company>Lenovo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hydn</dc:creator>
  <cp:lastModifiedBy>hydn</cp:lastModifiedBy>
  <cp:revision>6</cp:revision>
  <dcterms:created xsi:type="dcterms:W3CDTF">2020-03-26T04:48:00Z</dcterms:created>
  <dcterms:modified xsi:type="dcterms:W3CDTF">2020-03-31T01:25:00Z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